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0E219D">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4607C7">
              <w:rPr>
                <w:rFonts w:ascii="Arial Narrow" w:eastAsia="Calibri" w:hAnsi="Arial Narrow"/>
                <w:color w:val="000000"/>
                <w:sz w:val="16"/>
                <w:szCs w:val="16"/>
                <w:lang w:eastAsia="en-US"/>
              </w:rPr>
              <w:t>04374</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firstRow="1" w:lastRow="0" w:firstColumn="1" w:lastColumn="0" w:noHBand="0" w:noVBand="0"/>
        </w:tblPrEx>
        <w:trPr>
          <w:gridAfter w:val="1"/>
          <w:wAfter w:w="48" w:type="dxa"/>
          <w:trHeight w:val="209"/>
        </w:trPr>
        <w:tc>
          <w:tcPr>
            <w:tcW w:w="5400" w:type="dxa"/>
            <w:gridSpan w:val="2"/>
          </w:tcPr>
          <w:p w:rsidR="002667A9" w:rsidRPr="003B244D" w:rsidRDefault="002667A9" w:rsidP="004607C7">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4607C7">
              <w:rPr>
                <w:rFonts w:ascii="Arial Narrow" w:eastAsia="Calibri" w:hAnsi="Arial Narrow"/>
                <w:color w:val="000000"/>
                <w:sz w:val="16"/>
                <w:szCs w:val="16"/>
                <w:lang w:val="es-MX" w:eastAsia="en-US"/>
              </w:rPr>
              <w:t>02-</w:t>
            </w:r>
            <w:r w:rsidR="004E763F">
              <w:rPr>
                <w:rFonts w:ascii="Arial Narrow" w:eastAsia="Calibri" w:hAnsi="Arial Narrow"/>
                <w:color w:val="000000"/>
                <w:sz w:val="16"/>
                <w:szCs w:val="16"/>
                <w:lang w:val="es-MX" w:eastAsia="en-US"/>
              </w:rPr>
              <w:t>I</w:t>
            </w:r>
            <w:r w:rsidR="004607C7">
              <w:rPr>
                <w:rFonts w:ascii="Arial Narrow" w:eastAsia="Calibri" w:hAnsi="Arial Narrow"/>
                <w:color w:val="000000"/>
                <w:sz w:val="16"/>
                <w:szCs w:val="16"/>
                <w:lang w:val="es-MX" w:eastAsia="en-US"/>
              </w:rPr>
              <w:t>V</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firstRow="1" w:lastRow="0" w:firstColumn="1" w:lastColumn="0" w:noHBand="0" w:noVBand="0"/>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w:t>
      </w:r>
      <w:proofErr w:type="spellStart"/>
      <w:r w:rsidRPr="00121721">
        <w:rPr>
          <w:rFonts w:ascii="Arial Narrow" w:hAnsi="Arial Narrow"/>
          <w:b/>
          <w:bCs/>
          <w:sz w:val="22"/>
          <w:szCs w:val="22"/>
        </w:rPr>
        <w:t>Chih</w:t>
      </w:r>
      <w:proofErr w:type="spellEnd"/>
      <w:r w:rsidRPr="00121721">
        <w:rPr>
          <w:rFonts w:ascii="Arial Narrow" w:hAnsi="Arial Narrow"/>
          <w:b/>
          <w:bCs/>
          <w:sz w:val="22"/>
          <w:szCs w:val="22"/>
        </w:rPr>
        <w:t xml:space="preserve">., </w:t>
      </w:r>
      <w:r w:rsidRPr="001E4C4D">
        <w:rPr>
          <w:rFonts w:ascii="Arial Narrow" w:hAnsi="Arial Narrow"/>
          <w:b/>
          <w:bCs/>
          <w:sz w:val="22"/>
          <w:szCs w:val="22"/>
        </w:rPr>
        <w:t xml:space="preserve">a </w:t>
      </w:r>
      <w:r w:rsidR="004607C7">
        <w:rPr>
          <w:rFonts w:ascii="Arial Narrow" w:hAnsi="Arial Narrow"/>
          <w:b/>
          <w:bCs/>
          <w:sz w:val="22"/>
          <w:szCs w:val="22"/>
        </w:rPr>
        <w:t>03</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5D53A6">
        <w:rPr>
          <w:rFonts w:ascii="Arial Narrow" w:hAnsi="Arial Narrow"/>
          <w:b/>
          <w:bCs/>
          <w:sz w:val="22"/>
          <w:szCs w:val="22"/>
        </w:rPr>
        <w:t>abril</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4607C7">
        <w:rPr>
          <w:rFonts w:ascii="Arial Narrow" w:eastAsia="Calibri" w:hAnsi="Arial Narrow"/>
          <w:b/>
          <w:color w:val="000000"/>
          <w:sz w:val="22"/>
          <w:szCs w:val="22"/>
          <w:lang w:val="es-MX" w:eastAsia="en-US"/>
        </w:rPr>
        <w:t>JOSE LUIS GONZALEZ RAMIREZ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4607C7">
        <w:rPr>
          <w:rFonts w:ascii="Arial Narrow" w:eastAsia="Calibri" w:hAnsi="Arial Narrow"/>
          <w:color w:val="000000"/>
          <w:sz w:val="22"/>
          <w:szCs w:val="22"/>
          <w:lang w:val="es-MX" w:eastAsia="en-US"/>
        </w:rPr>
        <w:t>04374</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1E7469">
        <w:rPr>
          <w:rFonts w:ascii="Arial Narrow" w:eastAsia="Calibri" w:hAnsi="Arial Narrow"/>
          <w:color w:val="000000"/>
          <w:sz w:val="22"/>
          <w:szCs w:val="22"/>
          <w:lang w:val="es-ES_tradnl" w:eastAsia="en-US"/>
        </w:rPr>
        <w:t>02</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1E7469">
        <w:rPr>
          <w:rFonts w:ascii="Arial Narrow" w:eastAsia="Calibri" w:hAnsi="Arial Narrow"/>
          <w:color w:val="000000"/>
          <w:sz w:val="22"/>
          <w:szCs w:val="22"/>
          <w:lang w:val="es-ES_tradnl" w:eastAsia="en-US"/>
        </w:rPr>
        <w:t>abril</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proofErr w:type="spellStart"/>
      <w:r w:rsidR="00342D28">
        <w:rPr>
          <w:rFonts w:ascii="Arial Narrow" w:eastAsia="Calibri" w:hAnsi="Arial Narrow"/>
          <w:color w:val="000000"/>
          <w:sz w:val="22"/>
          <w:szCs w:val="22"/>
          <w:lang w:val="es-ES_tradnl" w:eastAsia="en-US"/>
        </w:rPr>
        <w:t>Infomex</w:t>
      </w:r>
      <w:proofErr w:type="spellEnd"/>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p>
    <w:p w:rsidR="00EC3977" w:rsidRPr="00FA0D81" w:rsidRDefault="00966327" w:rsidP="001E7469">
      <w:pPr>
        <w:pStyle w:val="Prrafodelista"/>
        <w:numPr>
          <w:ilvl w:val="0"/>
          <w:numId w:val="19"/>
        </w:numPr>
        <w:spacing w:line="0" w:lineRule="atLeast"/>
        <w:jc w:val="both"/>
        <w:rPr>
          <w:rFonts w:ascii="Arial Narrow" w:hAnsi="Arial Narrow"/>
          <w:color w:val="000000"/>
        </w:rPr>
      </w:pPr>
      <w:r w:rsidRPr="00FA0D81">
        <w:rPr>
          <w:rFonts w:ascii="Arial Narrow" w:hAnsi="Arial Narrow"/>
          <w:color w:val="000000"/>
        </w:rPr>
        <w:t>“</w:t>
      </w:r>
      <w:r w:rsidR="001E7469" w:rsidRPr="001E7469">
        <w:rPr>
          <w:rFonts w:ascii="Arial Narrow" w:hAnsi="Arial Narrow"/>
          <w:color w:val="000000"/>
          <w:lang w:val="es-ES"/>
        </w:rPr>
        <w:t>Solicito las cédulas de evaluación de cada uno de los postulantes que pasaron a la etapa de entrevistas en la pasada convocatoria para la selección de un integrante del Comité de Participación Ciudadana del Sistema Estatal Anti corrupción</w:t>
      </w:r>
      <w:r w:rsidR="00E15A64" w:rsidRPr="00FA0D81">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lastRenderedPageBreak/>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DF198F" w:rsidRPr="002E6AA0" w:rsidRDefault="002B45D1" w:rsidP="00965FA4">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E37CA2" w:rsidRDefault="00E37CA2" w:rsidP="00220513">
      <w:pPr>
        <w:jc w:val="both"/>
        <w:rPr>
          <w:rFonts w:ascii="Arial Narrow" w:hAnsi="Arial Narrow"/>
          <w:sz w:val="22"/>
          <w:szCs w:val="22"/>
          <w:lang w:val="es-MX"/>
        </w:rPr>
      </w:pPr>
    </w:p>
    <w:p w:rsidR="00792FF4" w:rsidRDefault="006D591F" w:rsidP="00077BDF">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792FF4">
        <w:rPr>
          <w:rFonts w:ascii="Arial Narrow" w:hAnsi="Arial Narrow"/>
          <w:sz w:val="22"/>
          <w:szCs w:val="22"/>
        </w:rPr>
        <w:t xml:space="preserve"> de Asuntos Legislativos</w:t>
      </w:r>
      <w:r w:rsidR="006E6CDA">
        <w:rPr>
          <w:rFonts w:ascii="Arial Narrow" w:hAnsi="Arial Narrow"/>
          <w:sz w:val="22"/>
          <w:szCs w:val="22"/>
        </w:rPr>
        <w:t xml:space="preserve"> </w:t>
      </w:r>
      <w:r w:rsidR="00FA0D81">
        <w:rPr>
          <w:rFonts w:ascii="Arial Narrow" w:hAnsi="Arial Narrow"/>
          <w:sz w:val="22"/>
          <w:szCs w:val="22"/>
        </w:rPr>
        <w:t xml:space="preserve">y Jurídicos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320D6C" w:rsidRDefault="00320D6C" w:rsidP="00320D6C">
      <w:pPr>
        <w:ind w:left="720"/>
        <w:jc w:val="both"/>
        <w:rPr>
          <w:rFonts w:ascii="Arial Narrow" w:hAnsi="Arial Narrow"/>
          <w:sz w:val="22"/>
          <w:szCs w:val="22"/>
        </w:rPr>
      </w:pP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En atención al oficio UT-LXVI/246/19, relativo al requerimiento de datos que obran en poder de esta Secretaría, necesarios para emitir respuesta a la solicitud de información con folio No. 043742019, me permito comentarle que:</w:t>
      </w:r>
    </w:p>
    <w:p w:rsidR="001E7469" w:rsidRPr="001E7469" w:rsidRDefault="001E7469" w:rsidP="001E7469">
      <w:pPr>
        <w:ind w:left="1416"/>
        <w:jc w:val="both"/>
        <w:rPr>
          <w:rFonts w:ascii="Arial Narrow" w:eastAsiaTheme="minorHAnsi" w:hAnsi="Arial Narrow" w:cs="Arial"/>
          <w:sz w:val="22"/>
          <w:szCs w:val="22"/>
          <w:lang w:val="es-MX" w:eastAsia="en-US"/>
        </w:rPr>
      </w:pP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El artículo 18 de la Ley del Sistema Estatal Anticorrupción, establece el procedimiento para la integración del Comité Estatal de Participación Ciudadana:</w:t>
      </w:r>
    </w:p>
    <w:p w:rsidR="001E7469" w:rsidRPr="001E7469" w:rsidRDefault="001E7469" w:rsidP="001E7469">
      <w:pPr>
        <w:spacing w:before="100" w:beforeAutospacing="1" w:after="100" w:afterAutospacing="1"/>
        <w:ind w:left="1416"/>
        <w:jc w:val="both"/>
        <w:rPr>
          <w:rFonts w:ascii="Arial Narrow" w:eastAsia="Calibri" w:hAnsi="Arial Narrow" w:cs="Arial"/>
          <w:sz w:val="20"/>
          <w:szCs w:val="20"/>
          <w:lang w:val="es-MX" w:eastAsia="en-US"/>
        </w:rPr>
      </w:pPr>
      <w:r w:rsidRPr="001E7469">
        <w:rPr>
          <w:rFonts w:ascii="Arial Narrow" w:eastAsia="Calibri" w:hAnsi="Arial Narrow" w:cs="Arial"/>
          <w:b/>
          <w:sz w:val="20"/>
          <w:szCs w:val="20"/>
          <w:lang w:val="es-MX" w:eastAsia="en-US"/>
        </w:rPr>
        <w:t>“Artículo 18.</w:t>
      </w:r>
      <w:r w:rsidRPr="001E7469">
        <w:rPr>
          <w:rFonts w:ascii="Arial Narrow" w:eastAsia="Calibri" w:hAnsi="Arial Narrow" w:cs="Arial"/>
          <w:sz w:val="20"/>
          <w:szCs w:val="20"/>
          <w:lang w:val="es-MX" w:eastAsia="en-US"/>
        </w:rPr>
        <w:t xml:space="preserve"> Quienes integren el Comité Estatal de Participación Ciudadana serán nombrados conforme al procedimiento siguiente:</w:t>
      </w:r>
    </w:p>
    <w:p w:rsidR="001E7469" w:rsidRPr="001E7469" w:rsidRDefault="001E7469" w:rsidP="001E7469">
      <w:pPr>
        <w:spacing w:before="100" w:beforeAutospacing="1" w:after="100" w:afterAutospacing="1"/>
        <w:ind w:left="2550"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I.</w:t>
      </w:r>
      <w:r w:rsidRPr="001E7469">
        <w:rPr>
          <w:rFonts w:ascii="Arial Narrow" w:eastAsia="Calibri" w:hAnsi="Arial Narrow" w:cs="Arial"/>
          <w:sz w:val="20"/>
          <w:szCs w:val="20"/>
          <w:lang w:val="es-MX" w:eastAsia="en-US"/>
        </w:rPr>
        <w:tab/>
        <w:t>El Congreso del Estado, constituirá una Comisión de selección integrada por nueve personas ciudadanas, por un periodo de tres años, de la manera siguiente:</w:t>
      </w:r>
    </w:p>
    <w:p w:rsidR="001E7469" w:rsidRPr="001E7469" w:rsidRDefault="001E7469" w:rsidP="001E7469">
      <w:pPr>
        <w:spacing w:before="100" w:beforeAutospacing="1" w:after="100" w:afterAutospacing="1"/>
        <w:ind w:left="3117"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 xml:space="preserve">a) </w:t>
      </w:r>
      <w:r w:rsidRPr="001E7469">
        <w:rPr>
          <w:rFonts w:ascii="Arial Narrow" w:eastAsia="Calibri" w:hAnsi="Arial Narrow" w:cs="Arial"/>
          <w:sz w:val="20"/>
          <w:szCs w:val="20"/>
          <w:lang w:val="es-MX" w:eastAsia="en-US"/>
        </w:rPr>
        <w:tab/>
        <w:t xml:space="preserve">La Comisión respectiva convocará a las instituciones de educación superior y de investigación, a organizaciones de la sociedad civil especializadas en materia de fiscalización, de rendición de cuentas y combate a la corrupción, para proponer a las y los candidatos a fin de integrar la Comisión de selección, para lo cual deberán enviar los documentos que acrediten el perfil solicitado en la convocatoria, en un plazo no mayor a quince días, para seleccionar a nueve miembros basándose en los elementos decisorios que se hayan </w:t>
      </w:r>
      <w:proofErr w:type="spellStart"/>
      <w:r w:rsidRPr="001E7469">
        <w:rPr>
          <w:rFonts w:ascii="Arial Narrow" w:eastAsia="Calibri" w:hAnsi="Arial Narrow" w:cs="Arial"/>
          <w:sz w:val="20"/>
          <w:szCs w:val="20"/>
          <w:lang w:val="es-MX" w:eastAsia="en-US"/>
        </w:rPr>
        <w:t>incorporadoen</w:t>
      </w:r>
      <w:proofErr w:type="spellEnd"/>
      <w:r w:rsidRPr="001E7469">
        <w:rPr>
          <w:rFonts w:ascii="Arial Narrow" w:eastAsia="Calibri" w:hAnsi="Arial Narrow" w:cs="Arial"/>
          <w:sz w:val="20"/>
          <w:szCs w:val="20"/>
          <w:lang w:val="es-MX" w:eastAsia="en-US"/>
        </w:rPr>
        <w:t xml:space="preserve"> la convocatoria, tomando en cuenta que se hayan destacado por su contribución en materia de fiscalización, de rendición de cuentas y combate a la corrupción.</w:t>
      </w:r>
    </w:p>
    <w:p w:rsidR="001E7469" w:rsidRPr="001E7469" w:rsidRDefault="001E7469" w:rsidP="001E7469">
      <w:pPr>
        <w:spacing w:before="100" w:beforeAutospacing="1" w:after="100" w:afterAutospacing="1"/>
        <w:ind w:left="3117"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 xml:space="preserve">b) </w:t>
      </w:r>
      <w:r w:rsidRPr="001E7469">
        <w:rPr>
          <w:rFonts w:ascii="Arial Narrow" w:eastAsia="Calibri" w:hAnsi="Arial Narrow" w:cs="Arial"/>
          <w:sz w:val="20"/>
          <w:szCs w:val="20"/>
          <w:lang w:val="es-MX" w:eastAsia="en-US"/>
        </w:rPr>
        <w:tab/>
        <w:t>Una vez que el Congreso reciba las propuestas, la Comisión respectiva deberá:</w:t>
      </w:r>
    </w:p>
    <w:p w:rsidR="001E7469" w:rsidRPr="001E7469" w:rsidRDefault="001E7469" w:rsidP="001E7469">
      <w:pPr>
        <w:numPr>
          <w:ilvl w:val="0"/>
          <w:numId w:val="28"/>
        </w:numPr>
        <w:tabs>
          <w:tab w:val="left" w:pos="-9639"/>
        </w:tabs>
        <w:spacing w:before="100" w:beforeAutospacing="1" w:after="200" w:afterAutospacing="1"/>
        <w:ind w:left="3684" w:hanging="57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ab/>
        <w:t>Revisar, contabilizar y ordenar las propuestas de las o los candidatos a ocupar el cargo de comisionado.</w:t>
      </w:r>
    </w:p>
    <w:p w:rsidR="001E7469" w:rsidRPr="001E7469" w:rsidRDefault="001E7469" w:rsidP="001E7469">
      <w:pPr>
        <w:numPr>
          <w:ilvl w:val="0"/>
          <w:numId w:val="28"/>
        </w:numPr>
        <w:tabs>
          <w:tab w:val="left" w:pos="-9639"/>
        </w:tabs>
        <w:spacing w:before="100" w:beforeAutospacing="1" w:after="200" w:afterAutospacing="1"/>
        <w:ind w:left="3684" w:hanging="57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ab/>
        <w:t>Desechar aquellas que notoriamente incumplieron.</w:t>
      </w:r>
    </w:p>
    <w:p w:rsidR="001E7469" w:rsidRPr="001E7469" w:rsidRDefault="001E7469" w:rsidP="001E7469">
      <w:pPr>
        <w:numPr>
          <w:ilvl w:val="0"/>
          <w:numId w:val="28"/>
        </w:numPr>
        <w:tabs>
          <w:tab w:val="left" w:pos="-9639"/>
        </w:tabs>
        <w:spacing w:before="100" w:beforeAutospacing="1" w:after="200" w:afterAutospacing="1"/>
        <w:ind w:left="3684" w:hanging="57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ab/>
        <w:t>Dar paso a las entrevistas de personas que cumplieron los requisitos establecidos en dicha convocatoria.</w:t>
      </w:r>
    </w:p>
    <w:p w:rsidR="001E7469" w:rsidRPr="001E7469" w:rsidRDefault="001E7469" w:rsidP="001E7469">
      <w:pPr>
        <w:numPr>
          <w:ilvl w:val="0"/>
          <w:numId w:val="28"/>
        </w:numPr>
        <w:tabs>
          <w:tab w:val="left" w:pos="-9639"/>
        </w:tabs>
        <w:spacing w:before="100" w:beforeAutospacing="1" w:after="200" w:afterAutospacing="1"/>
        <w:ind w:left="3684" w:hanging="57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lastRenderedPageBreak/>
        <w:tab/>
        <w:t xml:space="preserve">Poner a consideración del pleno del Congreso del Estado a las o los mejores quince aspirantes, para que sean al menos las dos terceras partes de las o los </w:t>
      </w:r>
      <w:r w:rsidRPr="001E7469">
        <w:rPr>
          <w:rFonts w:ascii="Arial Narrow" w:eastAsia="Calibri" w:hAnsi="Arial Narrow" w:cs="Arial"/>
          <w:sz w:val="20"/>
          <w:szCs w:val="20"/>
          <w:lang w:val="es-ES_tradnl" w:eastAsia="en-US"/>
        </w:rPr>
        <w:t>Diputados presentes</w:t>
      </w:r>
      <w:r w:rsidRPr="001E7469">
        <w:rPr>
          <w:rFonts w:ascii="Arial Narrow" w:eastAsia="Calibri" w:hAnsi="Arial Narrow" w:cs="Arial"/>
          <w:sz w:val="20"/>
          <w:szCs w:val="20"/>
          <w:lang w:val="es-MX" w:eastAsia="en-US"/>
        </w:rPr>
        <w:t xml:space="preserve"> los que elijan a quienes integrarán la Comisión de selección. Para ello, la Comisión respectiva deberá acompañar de un informe en el que se asienten los motivos por los cuales fueron seleccionados.</w:t>
      </w:r>
    </w:p>
    <w:p w:rsidR="001E7469" w:rsidRPr="001E7469" w:rsidRDefault="001E7469" w:rsidP="001E7469">
      <w:pPr>
        <w:spacing w:before="100" w:beforeAutospacing="1" w:after="100" w:afterAutospacing="1"/>
        <w:ind w:left="3117"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 xml:space="preserve">c) </w:t>
      </w:r>
      <w:r w:rsidRPr="001E7469">
        <w:rPr>
          <w:rFonts w:ascii="Arial Narrow" w:eastAsia="Calibri" w:hAnsi="Arial Narrow" w:cs="Arial"/>
          <w:sz w:val="20"/>
          <w:szCs w:val="20"/>
          <w:lang w:val="es-MX" w:eastAsia="en-US"/>
        </w:rPr>
        <w:tab/>
        <w:t>La votación se hará por cédula donde en primera ronda de votación se incluyan a todos los aspirantes de la lista que presentó la Comisión respectiva y cada Diputada o Diputado deberá únicamente votar a nueve, ni más ni menos.</w:t>
      </w:r>
    </w:p>
    <w:p w:rsidR="001E7469" w:rsidRPr="001E7469" w:rsidRDefault="001E7469" w:rsidP="001E7469">
      <w:pPr>
        <w:spacing w:before="100" w:beforeAutospacing="1" w:after="100" w:afterAutospacing="1"/>
        <w:ind w:left="311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En caso de no haber obtenido los nueve perfiles, se harán otras rondas en las que se integrarán únicamente a los que no hayan alcanzado la votación requerida, así sucesivamente hasta que se hayan completado la totalidad de quienes integrarán la Comisión de selección.</w:t>
      </w:r>
    </w:p>
    <w:p w:rsidR="001E7469" w:rsidRPr="001E7469" w:rsidRDefault="001E7469" w:rsidP="001E7469">
      <w:pPr>
        <w:spacing w:before="100" w:beforeAutospacing="1" w:after="100" w:afterAutospacing="1"/>
        <w:ind w:left="311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En la conformación de la Comisión de selección, no habrá más de cinco Comisionados de un mismo sexo.</w:t>
      </w:r>
    </w:p>
    <w:p w:rsidR="001E7469" w:rsidRPr="001E7469" w:rsidRDefault="001E7469" w:rsidP="001E7469">
      <w:pPr>
        <w:spacing w:before="100" w:beforeAutospacing="1" w:after="100" w:afterAutospacing="1"/>
        <w:ind w:left="311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En el procedimiento de designación se garantizará la transparencia e independencia.</w:t>
      </w:r>
    </w:p>
    <w:p w:rsidR="001E7469" w:rsidRPr="001E7469" w:rsidRDefault="001E7469" w:rsidP="001E7469">
      <w:pPr>
        <w:spacing w:before="100" w:beforeAutospacing="1" w:after="100" w:afterAutospacing="1"/>
        <w:ind w:left="311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El cargo de miembro de la Comisión de selección será honorario. Quienes funjan como miembros no podrán ser designados como integrantes del Comité Estatal de Participación Ciudadana por un periodo de dos años contados a partir de la disolución de la Comisión de selección.</w:t>
      </w:r>
    </w:p>
    <w:p w:rsidR="001E7469" w:rsidRPr="001E7469" w:rsidRDefault="001E7469" w:rsidP="001E7469">
      <w:pPr>
        <w:spacing w:before="100" w:beforeAutospacing="1" w:after="100" w:afterAutospacing="1"/>
        <w:ind w:left="2550"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II.</w:t>
      </w:r>
      <w:r w:rsidRPr="001E7469">
        <w:rPr>
          <w:rFonts w:ascii="Arial Narrow" w:eastAsia="Calibri" w:hAnsi="Arial Narrow" w:cs="Arial"/>
          <w:sz w:val="20"/>
          <w:szCs w:val="20"/>
          <w:lang w:val="es-MX" w:eastAsia="en-US"/>
        </w:rPr>
        <w:tab/>
        <w:t>La Comisión de selección deberá emitir una convocatoria, con el objeto de realizar una amplia consulta pública dirigida a la sociedad en general, para que presenten sus postulaciones de aspirantes a ocupar el cargo.</w:t>
      </w:r>
    </w:p>
    <w:p w:rsidR="001E7469" w:rsidRPr="001E7469" w:rsidRDefault="001E7469" w:rsidP="001E7469">
      <w:pPr>
        <w:spacing w:before="100" w:beforeAutospacing="1" w:after="100" w:afterAutospacing="1"/>
        <w:ind w:left="2550"/>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Para ello, definirá la metodología, plazos y criterios de selección de los integrantes del Comité Estatal de Participación Ciudadana y deberá hacerlos públicos; en donde deberá considerar al menos las siguientes características:</w:t>
      </w:r>
    </w:p>
    <w:p w:rsidR="001E7469" w:rsidRPr="001E7469" w:rsidRDefault="001E7469" w:rsidP="001E7469">
      <w:pPr>
        <w:numPr>
          <w:ilvl w:val="1"/>
          <w:numId w:val="27"/>
        </w:numPr>
        <w:tabs>
          <w:tab w:val="left" w:pos="-9356"/>
          <w:tab w:val="left" w:pos="-7371"/>
        </w:tabs>
        <w:spacing w:before="100" w:beforeAutospacing="1" w:after="200" w:afterAutospacing="1"/>
        <w:ind w:left="3117"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ab/>
        <w:t>El método de registro y evaluación de las personas aspirantes;</w:t>
      </w:r>
    </w:p>
    <w:p w:rsidR="001E7469" w:rsidRPr="001E7469" w:rsidRDefault="001E7469" w:rsidP="001E7469">
      <w:pPr>
        <w:numPr>
          <w:ilvl w:val="0"/>
          <w:numId w:val="27"/>
        </w:numPr>
        <w:spacing w:before="100" w:beforeAutospacing="1" w:after="200" w:afterAutospacing="1"/>
        <w:ind w:left="3117"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ab/>
        <w:t>Hacer pública la lista de las y los aspirantes;</w:t>
      </w:r>
    </w:p>
    <w:p w:rsidR="001E7469" w:rsidRPr="001E7469" w:rsidRDefault="001E7469" w:rsidP="001E7469">
      <w:pPr>
        <w:numPr>
          <w:ilvl w:val="0"/>
          <w:numId w:val="27"/>
        </w:numPr>
        <w:spacing w:before="100" w:beforeAutospacing="1" w:after="200" w:afterAutospacing="1"/>
        <w:ind w:left="3117"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ab/>
        <w:t>Hacer públicos los documentos que hayan sido entregados para su inscripción en versiones públicas;</w:t>
      </w:r>
    </w:p>
    <w:p w:rsidR="001E7469" w:rsidRPr="001E7469" w:rsidRDefault="001E7469" w:rsidP="001E7469">
      <w:pPr>
        <w:numPr>
          <w:ilvl w:val="0"/>
          <w:numId w:val="27"/>
        </w:numPr>
        <w:spacing w:before="100" w:beforeAutospacing="1" w:after="200" w:afterAutospacing="1"/>
        <w:ind w:left="3117"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Hacer público el cronograma de audiencias;</w:t>
      </w:r>
    </w:p>
    <w:p w:rsidR="001E7469" w:rsidRPr="001E7469" w:rsidRDefault="001E7469" w:rsidP="001E7469">
      <w:pPr>
        <w:numPr>
          <w:ilvl w:val="0"/>
          <w:numId w:val="27"/>
        </w:numPr>
        <w:spacing w:before="100" w:beforeAutospacing="1" w:after="200" w:afterAutospacing="1"/>
        <w:ind w:left="3117"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ab/>
        <w:t>Podrán efectuarse audiencias públicas en las que se invitará a participar a personas especialistas en investigación y temas académicos así como a organizaciones de la sociedad civil con especialización en la materia, y</w:t>
      </w:r>
    </w:p>
    <w:p w:rsidR="001E7469" w:rsidRPr="001E7469" w:rsidRDefault="001E7469" w:rsidP="001E7469">
      <w:pPr>
        <w:numPr>
          <w:ilvl w:val="0"/>
          <w:numId w:val="27"/>
        </w:numPr>
        <w:spacing w:before="100" w:beforeAutospacing="1" w:after="200" w:afterAutospacing="1"/>
        <w:ind w:left="3117" w:hanging="567"/>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tab/>
        <w:t xml:space="preserve">El plazo en que se deberá hacer la designación que al efecto se determine, y que se tomará, en sesión pública, por el voto de la mayoría de sus miembros presentes. En caso de empate tendrá voto de calidad quien la Comisión de selección eligió para ocupar la presidencia. </w:t>
      </w:r>
    </w:p>
    <w:p w:rsidR="001E7469" w:rsidRPr="001E7469" w:rsidRDefault="001E7469" w:rsidP="001E7469">
      <w:pPr>
        <w:spacing w:before="100" w:beforeAutospacing="1" w:after="100" w:afterAutospacing="1"/>
        <w:ind w:left="1842"/>
        <w:jc w:val="both"/>
        <w:rPr>
          <w:rFonts w:ascii="Arial Narrow" w:eastAsia="Calibri" w:hAnsi="Arial Narrow" w:cs="Arial"/>
          <w:sz w:val="20"/>
          <w:szCs w:val="20"/>
          <w:lang w:val="es-MX" w:eastAsia="en-US"/>
        </w:rPr>
      </w:pPr>
      <w:r w:rsidRPr="001E7469">
        <w:rPr>
          <w:rFonts w:ascii="Arial Narrow" w:eastAsia="Calibri" w:hAnsi="Arial Narrow" w:cs="Arial"/>
          <w:sz w:val="20"/>
          <w:szCs w:val="20"/>
          <w:lang w:val="es-MX" w:eastAsia="en-US"/>
        </w:rPr>
        <w:lastRenderedPageBreak/>
        <w:t>En caso de que se generen vacantes imprevistas, el proceso de selección de la o el nuevo integrante no podrá exceder el límite de noventa días y quien resulte electo desempeñará el encargo por el tiempo restante de la vacante a ocupar.”</w:t>
      </w: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Como puede observarse, compete a la Comisión de Selección definir la metodología, plazos y criterios de selección de los integrantes del Comité Estatal de Participación Ciudadana, en otras palabras, lleva el procedimiento de selección, por lo que es este órgano el que genera, conserva y difunde la información correspondiente.</w:t>
      </w:r>
    </w:p>
    <w:p w:rsidR="001E7469" w:rsidRPr="001E7469" w:rsidRDefault="001E7469" w:rsidP="001E7469">
      <w:pPr>
        <w:ind w:left="1416"/>
        <w:jc w:val="both"/>
        <w:rPr>
          <w:rFonts w:ascii="Arial Narrow" w:eastAsiaTheme="minorHAnsi" w:hAnsi="Arial Narrow" w:cs="Arial"/>
          <w:sz w:val="22"/>
          <w:szCs w:val="22"/>
          <w:lang w:val="es-MX" w:eastAsia="en-US"/>
        </w:rPr>
      </w:pP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A mayor abundamiento, invocaremos los artículos 8, 9,10,15, 21, 24 y 25 de la Ley del Sistema Anticorrupción y 32, fracción V de la Ley de Transparencia y Acceso a la Información Pública, ambos ordenamientos jurídicos del estado de Chihuahua.</w:t>
      </w:r>
    </w:p>
    <w:p w:rsidR="001E7469" w:rsidRPr="001E7469" w:rsidRDefault="001E7469" w:rsidP="001E7469">
      <w:pPr>
        <w:ind w:left="1416"/>
        <w:jc w:val="both"/>
        <w:rPr>
          <w:rFonts w:ascii="Arial Narrow" w:eastAsiaTheme="minorHAnsi" w:hAnsi="Arial Narrow" w:cs="Arial"/>
          <w:sz w:val="22"/>
          <w:szCs w:val="22"/>
          <w:lang w:val="es-MX" w:eastAsia="en-US"/>
        </w:rPr>
      </w:pP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En dichos preceptos se establece que el Comité Coordinador Estatal es la instancia responsable de establecer mecanismos de coordinación entre las y los integrantes del Sistema Estatal y de este con el Sistema Nacional, y tendrá bajo su encargo el diseño, promoción y evaluación de políticas públicas de combate a la corrupción.</w:t>
      </w:r>
    </w:p>
    <w:p w:rsidR="001E7469" w:rsidRPr="001E7469" w:rsidRDefault="001E7469" w:rsidP="001E7469">
      <w:pPr>
        <w:ind w:left="1416"/>
        <w:jc w:val="both"/>
        <w:rPr>
          <w:rFonts w:ascii="Arial Narrow" w:eastAsiaTheme="minorHAnsi" w:hAnsi="Arial Narrow" w:cs="Arial"/>
          <w:sz w:val="22"/>
          <w:szCs w:val="22"/>
          <w:lang w:val="es-MX" w:eastAsia="en-US"/>
        </w:rPr>
      </w:pP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Dicho Comité se integra por:</w:t>
      </w:r>
    </w:p>
    <w:p w:rsidR="001E7469" w:rsidRPr="001E7469" w:rsidRDefault="001E7469" w:rsidP="001E7469">
      <w:pPr>
        <w:ind w:left="1416"/>
        <w:jc w:val="both"/>
        <w:rPr>
          <w:rFonts w:ascii="Arial Narrow" w:eastAsiaTheme="minorHAnsi" w:hAnsi="Arial Narrow" w:cs="Arial"/>
          <w:sz w:val="22"/>
          <w:szCs w:val="22"/>
          <w:lang w:val="es-MX" w:eastAsia="en-US"/>
        </w:rPr>
      </w:pPr>
    </w:p>
    <w:p w:rsidR="001E7469" w:rsidRPr="001E7469" w:rsidRDefault="001E7469" w:rsidP="001E7469">
      <w:pPr>
        <w:numPr>
          <w:ilvl w:val="0"/>
          <w:numId w:val="29"/>
        </w:numPr>
        <w:spacing w:before="100" w:beforeAutospacing="1" w:after="100" w:afterAutospacing="1"/>
        <w:ind w:left="2136"/>
        <w:contextualSpacing/>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Un o una representante del Comité de Participación Ciudadana, quien presidirá el Comité.</w:t>
      </w:r>
    </w:p>
    <w:p w:rsidR="001E7469" w:rsidRPr="001E7469" w:rsidRDefault="001E7469" w:rsidP="001E7469">
      <w:pPr>
        <w:numPr>
          <w:ilvl w:val="0"/>
          <w:numId w:val="29"/>
        </w:numPr>
        <w:spacing w:before="100" w:beforeAutospacing="1" w:after="100" w:afterAutospacing="1"/>
        <w:ind w:left="2136"/>
        <w:contextualSpacing/>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La persona titular de la Auditoría Superior del Estado.</w:t>
      </w:r>
    </w:p>
    <w:p w:rsidR="001E7469" w:rsidRPr="001E7469" w:rsidRDefault="001E7469" w:rsidP="001E7469">
      <w:pPr>
        <w:numPr>
          <w:ilvl w:val="0"/>
          <w:numId w:val="29"/>
        </w:numPr>
        <w:spacing w:before="100" w:beforeAutospacing="1" w:after="100" w:afterAutospacing="1"/>
        <w:ind w:left="2136"/>
        <w:contextualSpacing/>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La persona titular de la Fiscalía Especializada en Combate a la Corrupción.</w:t>
      </w:r>
    </w:p>
    <w:p w:rsidR="001E7469" w:rsidRPr="001E7469" w:rsidRDefault="001E7469" w:rsidP="001E7469">
      <w:pPr>
        <w:numPr>
          <w:ilvl w:val="0"/>
          <w:numId w:val="29"/>
        </w:numPr>
        <w:spacing w:before="100" w:beforeAutospacing="1" w:after="100" w:afterAutospacing="1"/>
        <w:ind w:left="2136"/>
        <w:contextualSpacing/>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La persona titular de la Secretaría responsable del Control Interno del Ejecutivo.</w:t>
      </w:r>
    </w:p>
    <w:p w:rsidR="001E7469" w:rsidRPr="001E7469" w:rsidRDefault="001E7469" w:rsidP="001E7469">
      <w:pPr>
        <w:numPr>
          <w:ilvl w:val="0"/>
          <w:numId w:val="29"/>
        </w:numPr>
        <w:spacing w:before="100" w:beforeAutospacing="1" w:after="100" w:afterAutospacing="1"/>
        <w:ind w:left="2136"/>
        <w:contextualSpacing/>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La persona que presida el Tribunal Estatal de Justicia Administrativa.</w:t>
      </w:r>
    </w:p>
    <w:p w:rsidR="001E7469" w:rsidRPr="001E7469" w:rsidRDefault="001E7469" w:rsidP="001E7469">
      <w:pPr>
        <w:numPr>
          <w:ilvl w:val="0"/>
          <w:numId w:val="29"/>
        </w:numPr>
        <w:spacing w:before="100" w:beforeAutospacing="1" w:after="100" w:afterAutospacing="1"/>
        <w:ind w:left="2136"/>
        <w:contextualSpacing/>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La persona que presida el organismo autónomo en materia de Transparencia y Acceso a la Información Pública.</w:t>
      </w:r>
    </w:p>
    <w:p w:rsidR="001E7469" w:rsidRPr="001E7469" w:rsidRDefault="001E7469" w:rsidP="001E7469">
      <w:pPr>
        <w:numPr>
          <w:ilvl w:val="0"/>
          <w:numId w:val="29"/>
        </w:numPr>
        <w:spacing w:before="100" w:beforeAutospacing="1" w:after="100" w:afterAutospacing="1"/>
        <w:ind w:left="2136"/>
        <w:contextualSpacing/>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Un o una representante del Consejo de la Judicatura</w:t>
      </w:r>
    </w:p>
    <w:p w:rsidR="001E7469" w:rsidRPr="001E7469" w:rsidRDefault="001E7469" w:rsidP="001E7469">
      <w:pPr>
        <w:ind w:left="1416"/>
        <w:jc w:val="both"/>
        <w:rPr>
          <w:rFonts w:ascii="Arial Narrow" w:eastAsiaTheme="minorHAnsi" w:hAnsi="Arial Narrow" w:cs="Arial"/>
          <w:sz w:val="22"/>
          <w:szCs w:val="22"/>
          <w:lang w:val="es-MX" w:eastAsia="en-US"/>
        </w:rPr>
      </w:pPr>
    </w:p>
    <w:p w:rsidR="001E7469" w:rsidRPr="001E7469" w:rsidRDefault="001E7469" w:rsidP="001E7469">
      <w:pPr>
        <w:ind w:left="1416"/>
        <w:jc w:val="both"/>
        <w:rPr>
          <w:rFonts w:ascii="Arial Narrow" w:eastAsiaTheme="minorHAnsi" w:hAnsi="Arial Narrow" w:cs="Arial"/>
          <w:sz w:val="22"/>
          <w:szCs w:val="22"/>
          <w:lang w:val="es-MX" w:eastAsia="en-US"/>
        </w:rPr>
      </w:pP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En ese sentido, queda claro que el H. Congreso del Estado carece de competencia para proporcionar lo relativo a cédulas de evaluación del citado Comité de Participación Ciudadana, pues este es nombrado por la Comisión de Selección, que por su naturaleza jurídica pudiera adquirir el carácter de sujeto obligado por la Ley de Transparencia local.</w:t>
      </w:r>
    </w:p>
    <w:p w:rsidR="001E7469" w:rsidRPr="001E7469" w:rsidRDefault="001E7469" w:rsidP="001E7469">
      <w:pPr>
        <w:ind w:left="1416"/>
        <w:jc w:val="both"/>
        <w:rPr>
          <w:rFonts w:ascii="Arial Narrow" w:eastAsiaTheme="minorHAnsi" w:hAnsi="Arial Narrow" w:cs="Arial"/>
          <w:sz w:val="22"/>
          <w:szCs w:val="22"/>
          <w:lang w:val="es-MX" w:eastAsia="en-US"/>
        </w:rPr>
      </w:pP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 xml:space="preserve">En consecuencia, la solicitud de información deberá dirigirse a la citada Comisión de Selección, cuyo portal de </w:t>
      </w:r>
      <w:proofErr w:type="spellStart"/>
      <w:r w:rsidRPr="001E7469">
        <w:rPr>
          <w:rFonts w:ascii="Arial Narrow" w:eastAsiaTheme="minorHAnsi" w:hAnsi="Arial Narrow" w:cs="Arial"/>
          <w:sz w:val="22"/>
          <w:szCs w:val="22"/>
          <w:lang w:val="es-MX" w:eastAsia="en-US"/>
        </w:rPr>
        <w:t>de</w:t>
      </w:r>
      <w:proofErr w:type="spellEnd"/>
      <w:r w:rsidRPr="001E7469">
        <w:rPr>
          <w:rFonts w:ascii="Arial Narrow" w:eastAsiaTheme="minorHAnsi" w:hAnsi="Arial Narrow" w:cs="Arial"/>
          <w:sz w:val="22"/>
          <w:szCs w:val="22"/>
          <w:lang w:val="es-MX" w:eastAsia="en-US"/>
        </w:rPr>
        <w:t xml:space="preserve"> internet es </w:t>
      </w:r>
      <w:hyperlink r:id="rId7" w:history="1">
        <w:r w:rsidRPr="001E7469">
          <w:rPr>
            <w:rFonts w:ascii="Arial Narrow" w:eastAsiaTheme="minorHAnsi" w:hAnsi="Arial Narrow" w:cstheme="minorBidi"/>
            <w:color w:val="0000FF" w:themeColor="hyperlink"/>
            <w:sz w:val="22"/>
            <w:szCs w:val="22"/>
            <w:u w:val="single"/>
            <w:lang w:val="es-MX" w:eastAsia="en-US"/>
          </w:rPr>
          <w:t>http://comisionseachihuahua.mx/</w:t>
        </w:r>
      </w:hyperlink>
      <w:r w:rsidRPr="001E7469">
        <w:rPr>
          <w:rFonts w:ascii="Arial Narrow" w:eastAsiaTheme="minorHAnsi" w:hAnsi="Arial Narrow" w:cs="Arial"/>
          <w:sz w:val="22"/>
          <w:szCs w:val="22"/>
          <w:lang w:val="es-MX" w:eastAsia="en-US"/>
        </w:rPr>
        <w:t xml:space="preserve"> o en su defecto al Comité de Participación Ciudadana como instancia integrante del Comité Coordinador del Sistema Estatal Anticorrupción.</w:t>
      </w:r>
    </w:p>
    <w:p w:rsidR="001E7469" w:rsidRPr="001E7469" w:rsidRDefault="001E7469" w:rsidP="001E7469">
      <w:pPr>
        <w:ind w:left="1416"/>
        <w:jc w:val="both"/>
        <w:rPr>
          <w:rFonts w:ascii="Arial Narrow" w:eastAsiaTheme="minorHAnsi" w:hAnsi="Arial Narrow" w:cs="Arial"/>
          <w:sz w:val="22"/>
          <w:szCs w:val="22"/>
          <w:lang w:val="es-MX" w:eastAsia="en-US"/>
        </w:rPr>
      </w:pP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t>No omito señalar que la declaración de incompetencia la confirmó el Comité de Transparencia, mediante resolución RCT-LXV/0092/2018.</w:t>
      </w:r>
    </w:p>
    <w:p w:rsidR="001E7469" w:rsidRPr="001E7469" w:rsidRDefault="001E7469" w:rsidP="001E7469">
      <w:pPr>
        <w:ind w:left="1416"/>
        <w:jc w:val="both"/>
        <w:rPr>
          <w:rFonts w:ascii="Arial Narrow" w:eastAsia="Calibri" w:hAnsi="Arial Narrow" w:cs="Arial"/>
          <w:sz w:val="22"/>
          <w:szCs w:val="22"/>
          <w:lang w:val="es-MX" w:eastAsia="en-US"/>
        </w:rPr>
      </w:pPr>
    </w:p>
    <w:p w:rsidR="0055216F" w:rsidRDefault="0055216F" w:rsidP="001E7469">
      <w:pPr>
        <w:ind w:left="1416"/>
        <w:jc w:val="both"/>
        <w:rPr>
          <w:rFonts w:ascii="Arial Narrow" w:eastAsiaTheme="minorHAnsi" w:hAnsi="Arial Narrow" w:cs="Arial"/>
          <w:sz w:val="22"/>
          <w:szCs w:val="22"/>
          <w:lang w:val="es-MX" w:eastAsia="en-US"/>
        </w:rPr>
      </w:pPr>
    </w:p>
    <w:p w:rsidR="001E7469" w:rsidRPr="001E7469" w:rsidRDefault="001E7469" w:rsidP="001E7469">
      <w:pPr>
        <w:ind w:left="1416"/>
        <w:jc w:val="both"/>
        <w:rPr>
          <w:rFonts w:ascii="Arial Narrow" w:eastAsiaTheme="minorHAnsi" w:hAnsi="Arial Narrow" w:cs="Arial"/>
          <w:sz w:val="22"/>
          <w:szCs w:val="22"/>
          <w:lang w:val="es-MX" w:eastAsia="en-US"/>
        </w:rPr>
      </w:pPr>
      <w:r w:rsidRPr="001E7469">
        <w:rPr>
          <w:rFonts w:ascii="Arial Narrow" w:eastAsiaTheme="minorHAnsi" w:hAnsi="Arial Narrow" w:cs="Arial"/>
          <w:sz w:val="22"/>
          <w:szCs w:val="22"/>
          <w:lang w:val="es-MX" w:eastAsia="en-US"/>
        </w:rPr>
        <w:lastRenderedPageBreak/>
        <w:t>Finalmente, 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2E6AA0" w:rsidRDefault="002E6AA0" w:rsidP="002E6AA0">
      <w:pPr>
        <w:ind w:left="720"/>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072844" w:rsidRDefault="00B85564" w:rsidP="00A85590">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bookmarkStart w:id="0" w:name="_GoBack"/>
      <w:bookmarkEnd w:id="0"/>
    </w:p>
    <w:p w:rsidR="0055216F" w:rsidRPr="007870A3" w:rsidRDefault="0055216F" w:rsidP="0055216F">
      <w:pPr>
        <w:ind w:left="720"/>
        <w:jc w:val="both"/>
        <w:rPr>
          <w:rFonts w:ascii="Arial Narrow" w:eastAsia="Calibri" w:hAnsi="Arial Narrow"/>
          <w:color w:val="000000"/>
          <w:sz w:val="22"/>
          <w:szCs w:val="22"/>
          <w:lang w:val="es-MX" w:eastAsia="en-US"/>
        </w:rPr>
      </w:pPr>
    </w:p>
    <w:p w:rsidR="00072844" w:rsidRPr="00A65664" w:rsidRDefault="00FE541A" w:rsidP="00072844">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D752C5" w:rsidRPr="00320D6C" w:rsidRDefault="00FC215C" w:rsidP="00320D6C">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tbl>
      <w:tblPr>
        <w:tblW w:w="0" w:type="auto"/>
        <w:tblInd w:w="2268" w:type="dxa"/>
        <w:tblLook w:val="01E0" w:firstRow="1" w:lastRow="1" w:firstColumn="1" w:lastColumn="1" w:noHBand="0" w:noVBand="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072844"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3B0AFB" w:rsidRPr="00666029"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tc>
      </w:tr>
    </w:tbl>
    <w:p w:rsidR="0055216F" w:rsidRDefault="0055216F" w:rsidP="00324A4D">
      <w:pPr>
        <w:rPr>
          <w:rFonts w:ascii="Arial Narrow" w:eastAsia="Calibri" w:hAnsi="Arial Narrow"/>
          <w:color w:val="000000"/>
          <w:sz w:val="22"/>
          <w:szCs w:val="22"/>
          <w:lang w:val="es-MX" w:eastAsia="en-US"/>
        </w:rPr>
      </w:pPr>
    </w:p>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default" r:id="rId8"/>
      <w:footerReference w:type="even" r:id="rId9"/>
      <w:footerReference w:type="default" r:id="rId10"/>
      <w:pgSz w:w="12242" w:h="15842" w:code="1"/>
      <w:pgMar w:top="851" w:right="1418" w:bottom="851"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AE7" w:rsidRDefault="00C70AE7">
      <w:r>
        <w:separator/>
      </w:r>
    </w:p>
  </w:endnote>
  <w:endnote w:type="continuationSeparator" w:id="0">
    <w:p w:rsidR="00C70AE7" w:rsidRDefault="00C7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CA2" w:rsidRDefault="000E12AE"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CA2" w:rsidRDefault="00C70AE7" w:rsidP="0077121F">
    <w:pPr>
      <w:pStyle w:val="Piedepgina"/>
    </w:pPr>
    <w:r>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 xml:space="preserve">Libertad </w:t>
                  </w:r>
                  <w:proofErr w:type="spellStart"/>
                  <w:r w:rsidRPr="00AB6508">
                    <w:rPr>
                      <w:rFonts w:ascii="Arial" w:hAnsi="Arial" w:cs="Arial"/>
                      <w:color w:val="FFFFFF"/>
                      <w:sz w:val="13"/>
                      <w:szCs w:val="13"/>
                    </w:rPr>
                    <w:t>n.</w:t>
                  </w:r>
                  <w:r w:rsidRPr="00AB6508">
                    <w:rPr>
                      <w:rFonts w:ascii="Arial" w:hAnsi="Arial" w:cs="Arial"/>
                      <w:color w:val="FFFFFF"/>
                      <w:sz w:val="13"/>
                      <w:szCs w:val="13"/>
                      <w:vertAlign w:val="superscript"/>
                    </w:rPr>
                    <w:t>o</w:t>
                  </w:r>
                  <w:proofErr w:type="spellEnd"/>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w:t>
                  </w:r>
                  <w:proofErr w:type="spellStart"/>
                  <w:r>
                    <w:rPr>
                      <w:rFonts w:ascii="Arial" w:hAnsi="Arial" w:cs="Arial"/>
                      <w:color w:val="FFFFFF"/>
                      <w:sz w:val="13"/>
                      <w:szCs w:val="13"/>
                    </w:rPr>
                    <w:t>Chih</w:t>
                  </w:r>
                  <w:proofErr w:type="spellEnd"/>
                  <w:r>
                    <w:rPr>
                      <w:rFonts w:ascii="Arial" w:hAnsi="Arial" w:cs="Arial"/>
                      <w:color w:val="FFFFFF"/>
                      <w:sz w:val="13"/>
                      <w:szCs w:val="13"/>
                    </w:rPr>
                    <w:t>.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C70AE7"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AE7" w:rsidRDefault="00C70AE7">
      <w:r>
        <w:separator/>
      </w:r>
    </w:p>
  </w:footnote>
  <w:footnote w:type="continuationSeparator" w:id="0">
    <w:p w:rsidR="00C70AE7" w:rsidRDefault="00C7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0E12AE"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0E12AE" w:rsidRPr="00D30BA7">
            <w:rPr>
              <w:rFonts w:ascii="Arial Narrow" w:hAnsi="Arial Narrow"/>
              <w:sz w:val="16"/>
              <w:szCs w:val="16"/>
            </w:rPr>
            <w:fldChar w:fldCharType="separate"/>
          </w:r>
          <w:r w:rsidR="0055216F">
            <w:rPr>
              <w:rFonts w:ascii="Arial Narrow" w:hAnsi="Arial Narrow"/>
              <w:noProof/>
              <w:sz w:val="16"/>
              <w:szCs w:val="16"/>
            </w:rPr>
            <w:t>1</w:t>
          </w:r>
          <w:r w:rsidR="000E12AE" w:rsidRPr="00D30BA7">
            <w:rPr>
              <w:rFonts w:ascii="Arial Narrow" w:hAnsi="Arial Narrow"/>
              <w:sz w:val="16"/>
              <w:szCs w:val="16"/>
            </w:rPr>
            <w:fldChar w:fldCharType="end"/>
          </w:r>
          <w:r w:rsidRPr="00D30BA7">
            <w:rPr>
              <w:rFonts w:ascii="Arial Narrow" w:hAnsi="Arial Narrow"/>
              <w:sz w:val="16"/>
              <w:szCs w:val="16"/>
            </w:rPr>
            <w:t xml:space="preserve"> de </w:t>
          </w:r>
          <w:r w:rsidR="0055216F">
            <w:rPr>
              <w:rFonts w:ascii="Arial Narrow" w:hAnsi="Arial Narrow"/>
              <w:sz w:val="16"/>
              <w:szCs w:val="16"/>
            </w:rPr>
            <w:t>5</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5" w15:restartNumberingAfterBreak="0">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7" w15:restartNumberingAfterBreak="0">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15:restartNumberingAfterBreak="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0" w15:restartNumberingAfterBreak="0">
    <w:nsid w:val="27D8501E"/>
    <w:multiLevelType w:val="hybridMultilevel"/>
    <w:tmpl w:val="8BD60B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7DE2242"/>
    <w:multiLevelType w:val="hybridMultilevel"/>
    <w:tmpl w:val="11A095A0"/>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9" w15:restartNumberingAfterBreak="0">
    <w:nsid w:val="48B91250"/>
    <w:multiLevelType w:val="hybridMultilevel"/>
    <w:tmpl w:val="6EE235D2"/>
    <w:lvl w:ilvl="0" w:tplc="7ACECB86">
      <w:start w:val="1"/>
      <w:numFmt w:val="lowerRoman"/>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0" w15:restartNumberingAfterBreak="0">
    <w:nsid w:val="4B9C651C"/>
    <w:multiLevelType w:val="hybridMultilevel"/>
    <w:tmpl w:val="F0E635C8"/>
    <w:lvl w:ilvl="0" w:tplc="911C8970">
      <w:start w:val="1"/>
      <w:numFmt w:val="lowerLetter"/>
      <w:lvlText w:val="%1)"/>
      <w:lvlJc w:val="left"/>
      <w:pPr>
        <w:ind w:left="720" w:hanging="360"/>
      </w:pPr>
      <w:rPr>
        <w:rFonts w:hint="default"/>
      </w:rPr>
    </w:lvl>
    <w:lvl w:ilvl="1" w:tplc="080A0017">
      <w:start w:val="1"/>
      <w:numFmt w:val="lowerLetter"/>
      <w:lvlText w:val="%2)"/>
      <w:lvlJc w:val="left"/>
      <w:pPr>
        <w:ind w:left="1353"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2" w15:restartNumberingAfterBreak="0">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4" w15:restartNumberingAfterBreak="0">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4"/>
  </w:num>
  <w:num w:numId="2">
    <w:abstractNumId w:val="22"/>
  </w:num>
  <w:num w:numId="3">
    <w:abstractNumId w:val="1"/>
  </w:num>
  <w:num w:numId="4">
    <w:abstractNumId w:val="0"/>
  </w:num>
  <w:num w:numId="5">
    <w:abstractNumId w:val="23"/>
  </w:num>
  <w:num w:numId="6">
    <w:abstractNumId w:val="13"/>
  </w:num>
  <w:num w:numId="7">
    <w:abstractNumId w:val="7"/>
  </w:num>
  <w:num w:numId="8">
    <w:abstractNumId w:val="6"/>
  </w:num>
  <w:num w:numId="9">
    <w:abstractNumId w:val="28"/>
  </w:num>
  <w:num w:numId="10">
    <w:abstractNumId w:val="16"/>
  </w:num>
  <w:num w:numId="11">
    <w:abstractNumId w:val="27"/>
  </w:num>
  <w:num w:numId="12">
    <w:abstractNumId w:val="4"/>
  </w:num>
  <w:num w:numId="13">
    <w:abstractNumId w:val="18"/>
  </w:num>
  <w:num w:numId="14">
    <w:abstractNumId w:val="24"/>
  </w:num>
  <w:num w:numId="15">
    <w:abstractNumId w:val="9"/>
  </w:num>
  <w:num w:numId="16">
    <w:abstractNumId w:val="12"/>
  </w:num>
  <w:num w:numId="17">
    <w:abstractNumId w:val="8"/>
  </w:num>
  <w:num w:numId="18">
    <w:abstractNumId w:val="21"/>
  </w:num>
  <w:num w:numId="19">
    <w:abstractNumId w:val="3"/>
  </w:num>
  <w:num w:numId="20">
    <w:abstractNumId w:val="15"/>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6"/>
  </w:num>
  <w:num w:numId="24">
    <w:abstractNumId w:val="5"/>
  </w:num>
  <w:num w:numId="25">
    <w:abstractNumId w:val="25"/>
  </w:num>
  <w:num w:numId="26">
    <w:abstractNumId w:val="11"/>
  </w:num>
  <w:num w:numId="27">
    <w:abstractNumId w:val="20"/>
  </w:num>
  <w:num w:numId="28">
    <w:abstractNumId w:val="19"/>
  </w:num>
  <w:num w:numId="29">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844"/>
    <w:rsid w:val="00072FA3"/>
    <w:rsid w:val="00074432"/>
    <w:rsid w:val="00074DF9"/>
    <w:rsid w:val="00074F0D"/>
    <w:rsid w:val="000753F4"/>
    <w:rsid w:val="000756A3"/>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6C9"/>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2AE"/>
    <w:rsid w:val="000E1BD4"/>
    <w:rsid w:val="000E219D"/>
    <w:rsid w:val="000E3F86"/>
    <w:rsid w:val="000E449E"/>
    <w:rsid w:val="000E463E"/>
    <w:rsid w:val="000E4C6C"/>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5987"/>
    <w:rsid w:val="00156198"/>
    <w:rsid w:val="00156E69"/>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67"/>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469"/>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6AA0"/>
    <w:rsid w:val="002E7192"/>
    <w:rsid w:val="002E7C8A"/>
    <w:rsid w:val="002F00A7"/>
    <w:rsid w:val="002F0780"/>
    <w:rsid w:val="002F098B"/>
    <w:rsid w:val="002F0A9E"/>
    <w:rsid w:val="002F0D83"/>
    <w:rsid w:val="002F10BB"/>
    <w:rsid w:val="002F13C3"/>
    <w:rsid w:val="002F196B"/>
    <w:rsid w:val="002F1A4C"/>
    <w:rsid w:val="002F1EDB"/>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80A"/>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0D6C"/>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7C7"/>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F3F"/>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55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16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3A6"/>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321"/>
    <w:rsid w:val="006168F3"/>
    <w:rsid w:val="00616CEE"/>
    <w:rsid w:val="00616F9A"/>
    <w:rsid w:val="00617B28"/>
    <w:rsid w:val="006200B1"/>
    <w:rsid w:val="00620AEC"/>
    <w:rsid w:val="00620CCB"/>
    <w:rsid w:val="006235B1"/>
    <w:rsid w:val="00623794"/>
    <w:rsid w:val="006240D1"/>
    <w:rsid w:val="006240D5"/>
    <w:rsid w:val="006250C7"/>
    <w:rsid w:val="00625DAF"/>
    <w:rsid w:val="00626410"/>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073C8"/>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27EB6"/>
    <w:rsid w:val="00730439"/>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0A3"/>
    <w:rsid w:val="007878C1"/>
    <w:rsid w:val="00787B64"/>
    <w:rsid w:val="00787FAA"/>
    <w:rsid w:val="00790D51"/>
    <w:rsid w:val="00791E4F"/>
    <w:rsid w:val="00792FF4"/>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D7C77"/>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70B"/>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834"/>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018"/>
    <w:rsid w:val="009C327D"/>
    <w:rsid w:val="009C3881"/>
    <w:rsid w:val="009C3F8E"/>
    <w:rsid w:val="009C5579"/>
    <w:rsid w:val="009D017E"/>
    <w:rsid w:val="009D03DD"/>
    <w:rsid w:val="009D0992"/>
    <w:rsid w:val="009D1661"/>
    <w:rsid w:val="009D18BF"/>
    <w:rsid w:val="009D1E8E"/>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3C6C"/>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4"/>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590"/>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6D6D"/>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4B5"/>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04"/>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AE7"/>
    <w:rsid w:val="00C70C98"/>
    <w:rsid w:val="00C7116E"/>
    <w:rsid w:val="00C71677"/>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3F76"/>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7AE"/>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3070"/>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1FD"/>
    <w:rsid w:val="00D6087C"/>
    <w:rsid w:val="00D61690"/>
    <w:rsid w:val="00D61DA1"/>
    <w:rsid w:val="00D62692"/>
    <w:rsid w:val="00D630D6"/>
    <w:rsid w:val="00D657DB"/>
    <w:rsid w:val="00D65D55"/>
    <w:rsid w:val="00D66892"/>
    <w:rsid w:val="00D66F51"/>
    <w:rsid w:val="00D67A03"/>
    <w:rsid w:val="00D70568"/>
    <w:rsid w:val="00D71CE5"/>
    <w:rsid w:val="00D71E70"/>
    <w:rsid w:val="00D71F9A"/>
    <w:rsid w:val="00D727CF"/>
    <w:rsid w:val="00D74C3A"/>
    <w:rsid w:val="00D752C5"/>
    <w:rsid w:val="00D76B16"/>
    <w:rsid w:val="00D811C3"/>
    <w:rsid w:val="00D81B8A"/>
    <w:rsid w:val="00D821D6"/>
    <w:rsid w:val="00D82B65"/>
    <w:rsid w:val="00D82DCD"/>
    <w:rsid w:val="00D843C3"/>
    <w:rsid w:val="00D84A55"/>
    <w:rsid w:val="00D852E2"/>
    <w:rsid w:val="00D85C2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002"/>
    <w:rsid w:val="00DC73BE"/>
    <w:rsid w:val="00DC7C64"/>
    <w:rsid w:val="00DD04B4"/>
    <w:rsid w:val="00DD115C"/>
    <w:rsid w:val="00DD1555"/>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D27"/>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6D5D"/>
    <w:rsid w:val="00E4731D"/>
    <w:rsid w:val="00E477F0"/>
    <w:rsid w:val="00E47AC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1268"/>
    <w:rsid w:val="00E73D8D"/>
    <w:rsid w:val="00E73E48"/>
    <w:rsid w:val="00E74753"/>
    <w:rsid w:val="00E74FDB"/>
    <w:rsid w:val="00E75461"/>
    <w:rsid w:val="00E75D39"/>
    <w:rsid w:val="00E761F5"/>
    <w:rsid w:val="00E76BE8"/>
    <w:rsid w:val="00E801BE"/>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CEE"/>
    <w:rsid w:val="00FE3D2A"/>
    <w:rsid w:val="00FE4424"/>
    <w:rsid w:val="00FE4984"/>
    <w:rsid w:val="00FE539C"/>
    <w:rsid w:val="00FE541A"/>
    <w:rsid w:val="00FE5CCA"/>
    <w:rsid w:val="00FE5D64"/>
    <w:rsid w:val="00FE6059"/>
    <w:rsid w:val="00FE6097"/>
    <w:rsid w:val="00FE66FB"/>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6"/>
    <o:shapelayout v:ext="edit">
      <o:idmap v:ext="edit" data="1"/>
    </o:shapelayout>
  </w:shapeDefaults>
  <w:decimalSymbol w:val="."/>
  <w:listSeparator w:val=","/>
  <w15:docId w15:val="{4539F3F4-3622-4AFA-B9E5-67E0F4D66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Puest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27605278">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misionseachihuahua.m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2017</Words>
  <Characters>11099</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13090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2019-02-27T19:31:00Z</cp:lastPrinted>
  <dcterms:created xsi:type="dcterms:W3CDTF">2019-04-03T17:02:00Z</dcterms:created>
  <dcterms:modified xsi:type="dcterms:W3CDTF">2019-04-03T17:17:00Z</dcterms:modified>
</cp:coreProperties>
</file>