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0E219D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E45BE4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03841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C6415">
        <w:rPr>
          <w:rFonts w:ascii="Arial Narrow" w:hAnsi="Arial Narrow"/>
          <w:b/>
          <w:bCs/>
          <w:sz w:val="22"/>
          <w:szCs w:val="22"/>
        </w:rPr>
        <w:t>26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DC641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Ernesto Cervantes Juárez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E45BE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03841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70E8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EC3977" w:rsidRPr="00375126" w:rsidRDefault="00966327" w:rsidP="00DC6415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E45BE4" w:rsidRPr="00E45BE4">
        <w:rPr>
          <w:rFonts w:ascii="Arial Narrow" w:hAnsi="Arial Narrow"/>
          <w:color w:val="000000"/>
        </w:rPr>
        <w:t>Se informe el monto de los recursos públicos asignados y entregados al Grupo Parlamentario Partido del Trabajo OCTUBRE de 2018. Lo anterior de conformidad con lo establecido por el artículo 13 del Reglamento Interior y de Prácticas Parlamentarias del Poder Legislativo.</w:t>
      </w:r>
      <w:r w:rsidR="00E15A64" w:rsidRPr="00375126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FA0D81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B41554" w:rsidRPr="00361B0B" w:rsidRDefault="00B41554" w:rsidP="00361B0B">
      <w:pPr>
        <w:ind w:left="2124"/>
        <w:jc w:val="both"/>
        <w:rPr>
          <w:rFonts w:ascii="Arial Narrow" w:hAnsi="Arial Narrow"/>
          <w:sz w:val="22"/>
          <w:szCs w:val="22"/>
        </w:rPr>
      </w:pPr>
    </w:p>
    <w:p w:rsidR="009040B6" w:rsidRPr="009040B6" w:rsidRDefault="009040B6" w:rsidP="009040B6">
      <w:pPr>
        <w:spacing w:after="100" w:afterAutospacing="1"/>
        <w:ind w:left="1080"/>
        <w:jc w:val="both"/>
        <w:rPr>
          <w:rFonts w:ascii="Arial Narrow" w:hAnsi="Arial Narrow" w:cs="Arial"/>
          <w:sz w:val="22"/>
          <w:szCs w:val="22"/>
        </w:rPr>
      </w:pPr>
      <w:r w:rsidRPr="009040B6">
        <w:rPr>
          <w:rFonts w:ascii="Arial Narrow" w:hAnsi="Arial Narrow" w:cs="Arial"/>
          <w:sz w:val="22"/>
          <w:szCs w:val="22"/>
        </w:rPr>
        <w:t xml:space="preserve">En respuesta al oficio No. UT-LXVI/142/19 derivado de la Solicitud de Información con número de folio </w:t>
      </w:r>
      <w:r w:rsidRPr="009040B6">
        <w:rPr>
          <w:rFonts w:ascii="Arial Narrow" w:hAnsi="Arial Narrow" w:cs="Arial"/>
          <w:b/>
          <w:sz w:val="22"/>
          <w:szCs w:val="22"/>
        </w:rPr>
        <w:t xml:space="preserve">038412019, </w:t>
      </w:r>
      <w:r w:rsidRPr="009040B6">
        <w:rPr>
          <w:rFonts w:ascii="Arial Narrow" w:hAnsi="Arial Narrow" w:cs="Arial"/>
          <w:sz w:val="22"/>
          <w:szCs w:val="22"/>
        </w:rPr>
        <w:t>en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9040B6">
        <w:rPr>
          <w:rFonts w:ascii="Arial Narrow" w:hAnsi="Arial Narrow" w:cs="Arial"/>
          <w:sz w:val="22"/>
          <w:szCs w:val="22"/>
        </w:rPr>
        <w:t>el cual hace el siguiente requerimiento:</w:t>
      </w:r>
    </w:p>
    <w:p w:rsidR="009040B6" w:rsidRPr="009040B6" w:rsidRDefault="009040B6" w:rsidP="009040B6">
      <w:pPr>
        <w:pStyle w:val="Prrafodelista"/>
        <w:numPr>
          <w:ilvl w:val="0"/>
          <w:numId w:val="30"/>
        </w:numPr>
        <w:spacing w:after="100" w:afterAutospacing="1" w:line="240" w:lineRule="auto"/>
        <w:ind w:left="1800"/>
        <w:jc w:val="both"/>
        <w:rPr>
          <w:rFonts w:ascii="Arial Narrow" w:hAnsi="Arial Narrow" w:cs="Arial"/>
          <w:lang w:val="es-ES"/>
        </w:rPr>
      </w:pPr>
      <w:r w:rsidRPr="009040B6">
        <w:rPr>
          <w:rFonts w:ascii="Arial Narrow" w:hAnsi="Arial Narrow" w:cs="Arial"/>
          <w:lang w:val="es-ES"/>
        </w:rPr>
        <w:t xml:space="preserve">Se informe el monto de los recursos públicos asignados y entregados al Grupo Parlamentario Partido del Trabajo OCTUBRE de 2018. Lo anterior de conformidad con lo establecido por el artículo 13 del Reglamento Interior y de Prácticas Parlamentarias del Poder Legislativo.   </w:t>
      </w:r>
    </w:p>
    <w:p w:rsidR="009040B6" w:rsidRPr="009040B6" w:rsidRDefault="009040B6" w:rsidP="009040B6">
      <w:pPr>
        <w:spacing w:after="100" w:afterAutospacing="1"/>
        <w:ind w:left="1080"/>
        <w:jc w:val="both"/>
        <w:rPr>
          <w:rFonts w:ascii="Arial Narrow" w:hAnsi="Arial Narrow" w:cs="Arial"/>
          <w:sz w:val="22"/>
          <w:szCs w:val="22"/>
        </w:rPr>
      </w:pPr>
      <w:r w:rsidRPr="009040B6">
        <w:rPr>
          <w:rFonts w:ascii="Arial Narrow" w:hAnsi="Arial Narrow" w:cs="Arial"/>
          <w:sz w:val="22"/>
          <w:szCs w:val="22"/>
        </w:rPr>
        <w:t>Se informa que el monto de los recursos públicos asignados y entregados al Grupo Parlamentario Partido del Trabajo en el mes de OCTUBRE de 2018 es por la cantidad de $150,000.00 (Ciento cincuenta mil pesos 00/100 M.N.).</w:t>
      </w:r>
    </w:p>
    <w:p w:rsidR="003935EC" w:rsidRDefault="003935EC" w:rsidP="00187F45">
      <w:pPr>
        <w:ind w:left="1416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1F6567" w:rsidRDefault="001F6567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E70E88" w:rsidRDefault="00FE541A" w:rsidP="00E70E88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B41554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B41554" w:rsidRDefault="00B41554" w:rsidP="00B41554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B41554" w:rsidRPr="009401E8" w:rsidRDefault="00B41554" w:rsidP="00B41554">
      <w:pPr>
        <w:ind w:left="1080"/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0B775E" w:rsidRDefault="000B775E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A44AFD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28C" w:rsidRDefault="00BE528C">
      <w:r>
        <w:separator/>
      </w:r>
    </w:p>
  </w:endnote>
  <w:endnote w:type="continuationSeparator" w:id="1">
    <w:p w:rsidR="00BE528C" w:rsidRDefault="00BE5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770346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770346" w:rsidP="0077121F">
    <w:pPr>
      <w:pStyle w:val="Piedepgina"/>
    </w:pPr>
    <w:r w:rsidRPr="00770346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770346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B1" w:rsidRDefault="00FE6EB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28C" w:rsidRDefault="00BE528C">
      <w:r>
        <w:separator/>
      </w:r>
    </w:p>
  </w:footnote>
  <w:footnote w:type="continuationSeparator" w:id="1">
    <w:p w:rsidR="00BE528C" w:rsidRDefault="00BE52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770346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770346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9040B6">
            <w:rPr>
              <w:rFonts w:ascii="Arial Narrow" w:hAnsi="Arial Narrow"/>
              <w:noProof/>
              <w:sz w:val="16"/>
              <w:szCs w:val="16"/>
            </w:rPr>
            <w:t>1</w:t>
          </w:r>
          <w:r w:rsidR="00770346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FE6EB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2743F"/>
    <w:multiLevelType w:val="hybridMultilevel"/>
    <w:tmpl w:val="BF84B9D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1F4173"/>
    <w:multiLevelType w:val="hybridMultilevel"/>
    <w:tmpl w:val="1B90B0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523B0"/>
    <w:multiLevelType w:val="hybridMultilevel"/>
    <w:tmpl w:val="A13AC5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0"/>
  </w:num>
  <w:num w:numId="5">
    <w:abstractNumId w:val="22"/>
  </w:num>
  <w:num w:numId="6">
    <w:abstractNumId w:val="14"/>
  </w:num>
  <w:num w:numId="7">
    <w:abstractNumId w:val="9"/>
  </w:num>
  <w:num w:numId="8">
    <w:abstractNumId w:val="7"/>
  </w:num>
  <w:num w:numId="9">
    <w:abstractNumId w:val="29"/>
  </w:num>
  <w:num w:numId="10">
    <w:abstractNumId w:val="17"/>
  </w:num>
  <w:num w:numId="11">
    <w:abstractNumId w:val="27"/>
  </w:num>
  <w:num w:numId="12">
    <w:abstractNumId w:val="5"/>
  </w:num>
  <w:num w:numId="13">
    <w:abstractNumId w:val="19"/>
  </w:num>
  <w:num w:numId="14">
    <w:abstractNumId w:val="23"/>
  </w:num>
  <w:num w:numId="15">
    <w:abstractNumId w:val="11"/>
  </w:num>
  <w:num w:numId="16">
    <w:abstractNumId w:val="13"/>
  </w:num>
  <w:num w:numId="17">
    <w:abstractNumId w:val="10"/>
  </w:num>
  <w:num w:numId="18">
    <w:abstractNumId w:val="20"/>
  </w:num>
  <w:num w:numId="19">
    <w:abstractNumId w:val="4"/>
  </w:num>
  <w:num w:numId="20">
    <w:abstractNumId w:val="16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</w:num>
  <w:num w:numId="24">
    <w:abstractNumId w:val="6"/>
  </w:num>
  <w:num w:numId="25">
    <w:abstractNumId w:val="24"/>
  </w:num>
  <w:num w:numId="26">
    <w:abstractNumId w:val="25"/>
  </w:num>
  <w:num w:numId="27">
    <w:abstractNumId w:val="12"/>
  </w:num>
  <w:num w:numId="28">
    <w:abstractNumId w:val="28"/>
  </w:num>
  <w:num w:numId="29">
    <w:abstractNumId w:val="8"/>
  </w:num>
  <w:num w:numId="30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4450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44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1CF2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A54"/>
    <w:rsid w:val="00074DF9"/>
    <w:rsid w:val="00074F0D"/>
    <w:rsid w:val="000753F4"/>
    <w:rsid w:val="000756A3"/>
    <w:rsid w:val="00076170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0EBE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B775E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A84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21A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C37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3FBF"/>
    <w:rsid w:val="00155987"/>
    <w:rsid w:val="00156198"/>
    <w:rsid w:val="00156E65"/>
    <w:rsid w:val="00156E69"/>
    <w:rsid w:val="00157281"/>
    <w:rsid w:val="00160453"/>
    <w:rsid w:val="00160D08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DAF"/>
    <w:rsid w:val="00172FD1"/>
    <w:rsid w:val="0017308C"/>
    <w:rsid w:val="00174648"/>
    <w:rsid w:val="0017669F"/>
    <w:rsid w:val="00176B18"/>
    <w:rsid w:val="001773E6"/>
    <w:rsid w:val="00177932"/>
    <w:rsid w:val="00180383"/>
    <w:rsid w:val="001804A0"/>
    <w:rsid w:val="00181668"/>
    <w:rsid w:val="001818F8"/>
    <w:rsid w:val="00181C4D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87F45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81C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4C97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45B2"/>
    <w:rsid w:val="001F5647"/>
    <w:rsid w:val="001F6567"/>
    <w:rsid w:val="001F738A"/>
    <w:rsid w:val="001F7DF8"/>
    <w:rsid w:val="00200918"/>
    <w:rsid w:val="00200FBB"/>
    <w:rsid w:val="00201550"/>
    <w:rsid w:val="00202169"/>
    <w:rsid w:val="00202D45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3BA8"/>
    <w:rsid w:val="00234053"/>
    <w:rsid w:val="00235249"/>
    <w:rsid w:val="00235F2E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2A"/>
    <w:rsid w:val="00246F92"/>
    <w:rsid w:val="00247442"/>
    <w:rsid w:val="002500A6"/>
    <w:rsid w:val="002514D7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784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69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080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07F2B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6B9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1B0B"/>
    <w:rsid w:val="003626A9"/>
    <w:rsid w:val="00362845"/>
    <w:rsid w:val="003637A9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5126"/>
    <w:rsid w:val="003754F6"/>
    <w:rsid w:val="00376EC3"/>
    <w:rsid w:val="003773A2"/>
    <w:rsid w:val="003777D0"/>
    <w:rsid w:val="003816D0"/>
    <w:rsid w:val="00381973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0C3B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3B0"/>
    <w:rsid w:val="00490D1C"/>
    <w:rsid w:val="0049155C"/>
    <w:rsid w:val="0049194B"/>
    <w:rsid w:val="00491FE2"/>
    <w:rsid w:val="004934B2"/>
    <w:rsid w:val="0049493A"/>
    <w:rsid w:val="00495690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5C79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70B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38F"/>
    <w:rsid w:val="00606866"/>
    <w:rsid w:val="00607296"/>
    <w:rsid w:val="00607927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6B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4B13"/>
    <w:rsid w:val="006250C7"/>
    <w:rsid w:val="00625DAF"/>
    <w:rsid w:val="00626751"/>
    <w:rsid w:val="00626B7A"/>
    <w:rsid w:val="00626EDE"/>
    <w:rsid w:val="006310A5"/>
    <w:rsid w:val="006323C7"/>
    <w:rsid w:val="00632F10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4636"/>
    <w:rsid w:val="00656937"/>
    <w:rsid w:val="0065699F"/>
    <w:rsid w:val="00660F4A"/>
    <w:rsid w:val="00662FEF"/>
    <w:rsid w:val="00663414"/>
    <w:rsid w:val="0066427C"/>
    <w:rsid w:val="00664561"/>
    <w:rsid w:val="00664B8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3C45"/>
    <w:rsid w:val="00674333"/>
    <w:rsid w:val="00675399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89A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2958"/>
    <w:rsid w:val="006C3368"/>
    <w:rsid w:val="006C57F3"/>
    <w:rsid w:val="006C5871"/>
    <w:rsid w:val="006C6446"/>
    <w:rsid w:val="006C7092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22E1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24CF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346"/>
    <w:rsid w:val="0077057E"/>
    <w:rsid w:val="00770C48"/>
    <w:rsid w:val="0077121F"/>
    <w:rsid w:val="0077160F"/>
    <w:rsid w:val="007719E4"/>
    <w:rsid w:val="007748C8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BDC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B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54"/>
    <w:rsid w:val="00826F92"/>
    <w:rsid w:val="008276AF"/>
    <w:rsid w:val="00827DDB"/>
    <w:rsid w:val="00830952"/>
    <w:rsid w:val="00832DE4"/>
    <w:rsid w:val="008338A0"/>
    <w:rsid w:val="00833A6F"/>
    <w:rsid w:val="00834E45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0B83"/>
    <w:rsid w:val="008A1098"/>
    <w:rsid w:val="008A1D1B"/>
    <w:rsid w:val="008A319B"/>
    <w:rsid w:val="008A32CD"/>
    <w:rsid w:val="008A38F2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4EC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180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0B6"/>
    <w:rsid w:val="009045CA"/>
    <w:rsid w:val="009047AF"/>
    <w:rsid w:val="00904A68"/>
    <w:rsid w:val="0090629F"/>
    <w:rsid w:val="0090711C"/>
    <w:rsid w:val="0090784F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470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37E3B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3BE3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2603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0E0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670FB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4984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44CC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5C8C"/>
    <w:rsid w:val="00B16572"/>
    <w:rsid w:val="00B16E89"/>
    <w:rsid w:val="00B17A08"/>
    <w:rsid w:val="00B200A1"/>
    <w:rsid w:val="00B2039D"/>
    <w:rsid w:val="00B222AD"/>
    <w:rsid w:val="00B22A3E"/>
    <w:rsid w:val="00B23864"/>
    <w:rsid w:val="00B24957"/>
    <w:rsid w:val="00B26ED2"/>
    <w:rsid w:val="00B2719D"/>
    <w:rsid w:val="00B31843"/>
    <w:rsid w:val="00B31936"/>
    <w:rsid w:val="00B32339"/>
    <w:rsid w:val="00B3412A"/>
    <w:rsid w:val="00B3484E"/>
    <w:rsid w:val="00B34BED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554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6EFA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2E8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112B"/>
    <w:rsid w:val="00BD2338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28C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0F0"/>
    <w:rsid w:val="00C125A4"/>
    <w:rsid w:val="00C13060"/>
    <w:rsid w:val="00C13209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1F55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1114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1B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433"/>
    <w:rsid w:val="00CE5C80"/>
    <w:rsid w:val="00CE7257"/>
    <w:rsid w:val="00CF07B1"/>
    <w:rsid w:val="00CF086E"/>
    <w:rsid w:val="00CF0B08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73E"/>
    <w:rsid w:val="00D36DCD"/>
    <w:rsid w:val="00D36F4D"/>
    <w:rsid w:val="00D3775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C55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15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4F6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3EB2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5025"/>
    <w:rsid w:val="00E065B7"/>
    <w:rsid w:val="00E065F3"/>
    <w:rsid w:val="00E06A27"/>
    <w:rsid w:val="00E06FDF"/>
    <w:rsid w:val="00E07846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470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2CFF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5BE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0E88"/>
    <w:rsid w:val="00E71268"/>
    <w:rsid w:val="00E73D8D"/>
    <w:rsid w:val="00E73E48"/>
    <w:rsid w:val="00E74753"/>
    <w:rsid w:val="00E74FDB"/>
    <w:rsid w:val="00E75461"/>
    <w:rsid w:val="00E75D39"/>
    <w:rsid w:val="00E761F5"/>
    <w:rsid w:val="00E76A28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146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6FD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9AC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07830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869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265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52B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482"/>
    <w:rsid w:val="00F675BE"/>
    <w:rsid w:val="00F702F2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046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C79B6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3A5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44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1021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6629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2</cp:revision>
  <cp:lastPrinted>2018-10-29T16:48:00Z</cp:lastPrinted>
  <dcterms:created xsi:type="dcterms:W3CDTF">2019-03-26T20:46:00Z</dcterms:created>
  <dcterms:modified xsi:type="dcterms:W3CDTF">2019-03-26T20:46:00Z</dcterms:modified>
</cp:coreProperties>
</file>