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AC2F7D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</w:t>
            </w:r>
            <w:r w:rsidR="005864B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054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5864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55F10">
        <w:rPr>
          <w:rFonts w:ascii="Arial Narrow" w:hAnsi="Arial Narrow"/>
          <w:b/>
          <w:bCs/>
          <w:sz w:val="22"/>
          <w:szCs w:val="22"/>
        </w:rPr>
        <w:t>19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55F10" w:rsidRDefault="00B55F10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B55F10" w:rsidRDefault="00B55F10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B55F10" w:rsidRDefault="00B55F10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B55F1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Aristeo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B55F1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</w:t>
      </w:r>
      <w:r w:rsidR="005864B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054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F3079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B55F10" w:rsidRDefault="00966327" w:rsidP="00E70E88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B55F10" w:rsidRPr="00B55F10">
        <w:rPr>
          <w:rFonts w:ascii="Arial Narrow" w:hAnsi="Arial Narrow"/>
          <w:color w:val="000000"/>
        </w:rPr>
        <w:t>Solicitud en archivo adjunto</w:t>
      </w:r>
    </w:p>
    <w:p w:rsidR="00513E14" w:rsidRPr="00B55F10" w:rsidRDefault="00513E14" w:rsidP="00513E1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513E14">
        <w:rPr>
          <w:rFonts w:ascii="Arial Narrow" w:hAnsi="Arial Narrow"/>
          <w:color w:val="000000"/>
        </w:rPr>
        <w:t>Debido a la cantidad de caracteres adjunto archivo con la información complementaria requerida</w:t>
      </w:r>
    </w:p>
    <w:p w:rsidR="00513E14" w:rsidRPr="00513E14" w:rsidRDefault="00513E14" w:rsidP="00513E14">
      <w:pPr>
        <w:ind w:left="1416"/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</w:pPr>
      <w:r w:rsidRPr="00513E14"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  <w:t>Por medio de la presente solicito información detallada sobre lo siguiente:</w:t>
      </w:r>
    </w:p>
    <w:p w:rsidR="00513E14" w:rsidRPr="00513E14" w:rsidRDefault="00513E14" w:rsidP="00513E14">
      <w:pPr>
        <w:ind w:left="2136"/>
        <w:rPr>
          <w:rFonts w:ascii="Arial Narrow" w:hAnsi="Arial Narrow"/>
          <w:sz w:val="22"/>
          <w:szCs w:val="22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 xml:space="preserve">Monto asignado, en lo que va de la presente legislatura, y para el presente año de ejercicio,  a cada una de las Comisiones que integran El Poder Legislativo </w:t>
      </w:r>
      <w:r w:rsidRPr="00513E14"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  <w:t>(De dictamen legislativo, de Fiscalización, Jurisdiccionales, y Especiales)</w:t>
      </w:r>
      <w:r w:rsidRPr="00513E14">
        <w:rPr>
          <w:rFonts w:ascii="Arial Narrow" w:hAnsi="Arial Narrow"/>
          <w:sz w:val="22"/>
          <w:szCs w:val="22"/>
        </w:rPr>
        <w:t xml:space="preserve">  </w:t>
      </w:r>
    </w:p>
    <w:p w:rsidR="00513E14" w:rsidRPr="00513E14" w:rsidRDefault="00513E14" w:rsidP="00513E14">
      <w:pPr>
        <w:ind w:left="2136"/>
        <w:rPr>
          <w:rFonts w:ascii="Arial Narrow" w:hAnsi="Arial Narrow"/>
          <w:sz w:val="22"/>
          <w:szCs w:val="22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lastRenderedPageBreak/>
        <w:t xml:space="preserve">Monto asignado, a lo largo de la legislatura anterior a cada una de las Comisiones que integran El Poder Legislativo </w:t>
      </w:r>
      <w:r w:rsidRPr="00513E14"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  <w:t>(De dictamen legislativo, de Fiscalización, Jurisdiccionales, y Especiales)</w:t>
      </w:r>
      <w:r w:rsidRPr="00513E14">
        <w:rPr>
          <w:rFonts w:ascii="Arial Narrow" w:hAnsi="Arial Narrow"/>
          <w:sz w:val="22"/>
          <w:szCs w:val="22"/>
        </w:rPr>
        <w:t xml:space="preserve">  </w:t>
      </w:r>
    </w:p>
    <w:p w:rsidR="00513E14" w:rsidRPr="00513E14" w:rsidRDefault="00513E14" w:rsidP="00513E14">
      <w:pPr>
        <w:ind w:left="2136"/>
        <w:rPr>
          <w:rFonts w:ascii="Arial Narrow" w:hAnsi="Arial Narrow"/>
          <w:sz w:val="22"/>
          <w:szCs w:val="22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 xml:space="preserve">Criterio que rige la asignación de los recursos para las Comisiones que integran El Poder Legislativo </w:t>
      </w:r>
      <w:r w:rsidRPr="00513E14"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  <w:t>(De dictamen legislativo, de Fiscalización, Jurisdiccionales, y Especiales)</w:t>
      </w:r>
      <w:r w:rsidRPr="00513E14">
        <w:rPr>
          <w:rFonts w:ascii="Arial Narrow" w:hAnsi="Arial Narrow"/>
          <w:sz w:val="22"/>
          <w:szCs w:val="22"/>
        </w:rPr>
        <w:t xml:space="preserve">  y quien aprueba la asignación de los mismos.</w:t>
      </w:r>
    </w:p>
    <w:p w:rsidR="00513E14" w:rsidRPr="00513E14" w:rsidRDefault="00513E14" w:rsidP="00513E14">
      <w:pPr>
        <w:ind w:left="1776"/>
        <w:rPr>
          <w:rFonts w:ascii="Arial Narrow" w:hAnsi="Arial Narrow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 xml:space="preserve">Que se especifique en que ha gastado – y como se justifica el gasto – cada una de las actuales comisiones del Poder Legislativo </w:t>
      </w:r>
      <w:r w:rsidRPr="00513E14">
        <w:rPr>
          <w:rFonts w:ascii="Arial Narrow" w:hAnsi="Arial Narrow" w:cs="Helvetica"/>
          <w:color w:val="1D2129"/>
          <w:sz w:val="22"/>
          <w:szCs w:val="22"/>
          <w:shd w:val="clear" w:color="auto" w:fill="FFFFFF"/>
        </w:rPr>
        <w:t>De dictamen legislativo, de Fiscalización, Jurisdiccionales, y Especiales)</w:t>
      </w:r>
      <w:r w:rsidRPr="00513E14">
        <w:rPr>
          <w:rFonts w:ascii="Arial Narrow" w:hAnsi="Arial Narrow"/>
          <w:sz w:val="22"/>
          <w:szCs w:val="22"/>
        </w:rPr>
        <w:t xml:space="preserve">  </w:t>
      </w:r>
    </w:p>
    <w:p w:rsidR="00513E14" w:rsidRPr="00513E14" w:rsidRDefault="00513E14" w:rsidP="00513E14">
      <w:pPr>
        <w:ind w:left="1776"/>
        <w:rPr>
          <w:rFonts w:ascii="Arial Narrow" w:hAnsi="Arial Narrow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>Qué se informe si un diputado recibe una percepción –pago, bonificación, compensación, estímulo, etc) extraordinario a su salario base y compensación, por su desempeño dentro de las comisiones del Poder Legislativo</w:t>
      </w:r>
    </w:p>
    <w:p w:rsidR="00513E14" w:rsidRPr="00513E14" w:rsidRDefault="00513E14" w:rsidP="00513E14">
      <w:pPr>
        <w:ind w:left="1776"/>
        <w:rPr>
          <w:rFonts w:ascii="Arial Narrow" w:hAnsi="Arial Narrow"/>
        </w:rPr>
      </w:pPr>
    </w:p>
    <w:p w:rsidR="00513E14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 xml:space="preserve">Qué se informe de cuanto es esa percepción –pago, bonificación, compensación, estímulo, etc) extraordinario y la periodicidad del mismo. </w:t>
      </w:r>
    </w:p>
    <w:p w:rsidR="00513E14" w:rsidRPr="00513E14" w:rsidRDefault="00513E14" w:rsidP="00513E14">
      <w:pPr>
        <w:ind w:left="1776"/>
        <w:rPr>
          <w:rFonts w:ascii="Arial Narrow" w:hAnsi="Arial Narrow"/>
        </w:rPr>
      </w:pPr>
    </w:p>
    <w:p w:rsidR="00EC3977" w:rsidRPr="00513E14" w:rsidRDefault="00513E14" w:rsidP="00513E14">
      <w:pPr>
        <w:numPr>
          <w:ilvl w:val="0"/>
          <w:numId w:val="29"/>
        </w:numPr>
        <w:ind w:left="2136"/>
        <w:rPr>
          <w:rFonts w:ascii="Arial Narrow" w:hAnsi="Arial Narrow"/>
          <w:sz w:val="22"/>
          <w:szCs w:val="22"/>
        </w:rPr>
      </w:pPr>
      <w:r w:rsidRPr="00513E14">
        <w:rPr>
          <w:rFonts w:ascii="Arial Narrow" w:hAnsi="Arial Narrow"/>
          <w:sz w:val="22"/>
          <w:szCs w:val="22"/>
        </w:rPr>
        <w:t>Qué se especifiquen montos asignados por concepto de trabajo en Comisión a cada uno de los 33 legisladores, de octubre a la fecha.</w:t>
      </w:r>
      <w:r w:rsidR="00E15A64" w:rsidRPr="00513E14">
        <w:rPr>
          <w:rFonts w:ascii="Arial Narrow" w:hAnsi="Arial Narrow"/>
          <w:color w:val="000000"/>
          <w:sz w:val="22"/>
          <w:szCs w:val="22"/>
        </w:rPr>
        <w:t>”</w:t>
      </w:r>
    </w:p>
    <w:p w:rsidR="00B55F10" w:rsidRPr="00B55F10" w:rsidRDefault="00B55F10" w:rsidP="00B55F10">
      <w:pPr>
        <w:ind w:left="720"/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513E14" w:rsidRPr="00513E14" w:rsidRDefault="00513E14" w:rsidP="00513E14">
      <w:pPr>
        <w:spacing w:after="100" w:afterAutospacing="1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 xml:space="preserve">En respuesta al oficio No. UT-LXVI/091/19 derivado de la Solicitud de Información con número de folio </w:t>
      </w:r>
      <w:r w:rsidRPr="00513E14">
        <w:rPr>
          <w:rFonts w:ascii="Arial Narrow" w:hAnsi="Arial Narrow" w:cs="Arial"/>
          <w:b/>
          <w:sz w:val="22"/>
          <w:szCs w:val="22"/>
        </w:rPr>
        <w:t>030542019</w:t>
      </w:r>
      <w:r w:rsidRPr="00513E14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1. Monto asignado, en lo que va de la presente legislatura, y para el presente año de ejercicio, a cada una de las Comisiones que integran El Poder Legislativo (De dictamen legislativo, de Fiscalización, Jurisdiccionales, y Especiales).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2. Monto asignado a lo largo de la legislatura anterior a cada una de las Comisiones que integran El Poder Legislativo (De dictamen legislativo, de Fiscalización, Jurisdiccionales y Especiales).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3. Criterio que rige la asignación de los recursos para las Comisiones que integran El Poder Legislativo (De dictamen legislativo, de Fiscalización, Jurisdiccionales y Especiales) y quien aprueba la asignación de los mismos.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4. Que se especifiquen en que se ha gastado y cómo se justifica el gasto de cada una de las actuales comisiones del Poder Legislativo (De dictamen legislativo, de Fiscalización, Jurisdiccionales y Especiales).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5. Que se informe si un diputado recibe una percepción pago, bonificación, compensación, estímulo, etc.) Extraordinario a su salario base y compensación, por su desempeño dentro de las comisiones del Poder Legislativo.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6. Que se informe de cuanto es esa percepción, pago, bonificación, compensación, estímulo, etc.) Extraordinario y la periodicidad del mismo.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color w:val="000000"/>
          <w:sz w:val="22"/>
          <w:szCs w:val="22"/>
        </w:rPr>
        <w:t>7. Que se especifiquen montos asignados por concepto de trabajo en Comisión a cada uno de los 33 legisladores, de octubre a la fecha.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513E14">
        <w:rPr>
          <w:rFonts w:ascii="Arial Narrow" w:hAnsi="Arial Narrow" w:cs="Arial"/>
          <w:sz w:val="22"/>
          <w:szCs w:val="22"/>
        </w:rPr>
        <w:t> </w:t>
      </w:r>
    </w:p>
    <w:p w:rsidR="00513E14" w:rsidRPr="00513E14" w:rsidRDefault="00513E14" w:rsidP="00513E14">
      <w:pPr>
        <w:shd w:val="clear" w:color="auto" w:fill="FFFFFF"/>
        <w:ind w:left="1416"/>
        <w:jc w:val="both"/>
        <w:rPr>
          <w:rFonts w:ascii="Arial Narrow" w:hAnsi="Arial Narrow" w:cs="Arial"/>
          <w:color w:val="000000"/>
          <w:sz w:val="22"/>
          <w:szCs w:val="22"/>
          <w:lang w:eastAsia="es-MX"/>
        </w:rPr>
      </w:pPr>
      <w:r w:rsidRPr="00513E14">
        <w:rPr>
          <w:rFonts w:ascii="Arial Narrow" w:hAnsi="Arial Narrow" w:cs="Arial"/>
          <w:color w:val="000000"/>
          <w:sz w:val="22"/>
          <w:szCs w:val="22"/>
          <w:lang w:eastAsia="es-MX"/>
        </w:rPr>
        <w:t>En cada Presupuesto de Egresos del Gobierno del Estado de Chihuahua incluye un artículo que establece la vigencia para el ejercicio fiscal correspondiente; vinculatorio con lo anterior, y en atención a lo solicitado, se hace de su conocimiento que las Comisiones de este H. Congreso del Estado de Chihuahua no tienen presupuesto autorizado en los ejercicios fiscales que son aplicables a la Legislatura LXV, lo anterior considerando lo previsto en el artículo 109 de la Ley Orgánica del Poder Legislativo del Estado de Chihuahua, que a la letra establece: Las o los diputados por formar parte de las Comisiones o Comités, no recibirán retribución extraordinaria alguna.</w:t>
      </w:r>
    </w:p>
    <w:p w:rsidR="00B55F10" w:rsidRPr="00B55F10" w:rsidRDefault="00614CC8" w:rsidP="00792FF4">
      <w:pPr>
        <w:jc w:val="both"/>
        <w:rPr>
          <w:rFonts w:ascii="Arial Narrow" w:hAnsi="Arial Narrow" w:cs="Arial"/>
        </w:rPr>
      </w:pPr>
      <w:r w:rsidRPr="000B775E">
        <w:rPr>
          <w:rFonts w:ascii="Arial Narrow" w:hAnsi="Arial Narrow" w:cs="Arial"/>
        </w:rPr>
        <w:t xml:space="preserve">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Default="001F6567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C53EAB" w:rsidRPr="00B55F10" w:rsidRDefault="00C65464" w:rsidP="00B55F10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55F10" w:rsidRDefault="00B55F10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B55F10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7"/>
      <w:footerReference w:type="even" r:id="rId8"/>
      <w:footerReference w:type="default" r:id="rId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7A" w:rsidRDefault="0043067A">
      <w:r>
        <w:separator/>
      </w:r>
    </w:p>
  </w:endnote>
  <w:endnote w:type="continuationSeparator" w:id="1">
    <w:p w:rsidR="0043067A" w:rsidRDefault="0043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56F5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56F5F" w:rsidP="0077121F">
    <w:pPr>
      <w:pStyle w:val="Piedepgina"/>
    </w:pPr>
    <w:r w:rsidRPr="00F56F5F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56F5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7A" w:rsidRDefault="0043067A">
      <w:r>
        <w:separator/>
      </w:r>
    </w:p>
  </w:footnote>
  <w:footnote w:type="continuationSeparator" w:id="1">
    <w:p w:rsidR="0043067A" w:rsidRDefault="0043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56F5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F56F5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3079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56F5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B55F10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150F"/>
    <w:multiLevelType w:val="hybridMultilevel"/>
    <w:tmpl w:val="3C24A23C"/>
    <w:lvl w:ilvl="0" w:tplc="517A451A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/>
        <w:color w:val="1D2129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0"/>
  </w:num>
  <w:num w:numId="5">
    <w:abstractNumId w:val="21"/>
  </w:num>
  <w:num w:numId="6">
    <w:abstractNumId w:val="13"/>
  </w:num>
  <w:num w:numId="7">
    <w:abstractNumId w:val="8"/>
  </w:num>
  <w:num w:numId="8">
    <w:abstractNumId w:val="7"/>
  </w:num>
  <w:num w:numId="9">
    <w:abstractNumId w:val="28"/>
  </w:num>
  <w:num w:numId="10">
    <w:abstractNumId w:val="16"/>
  </w:num>
  <w:num w:numId="11">
    <w:abstractNumId w:val="26"/>
  </w:num>
  <w:num w:numId="12">
    <w:abstractNumId w:val="5"/>
  </w:num>
  <w:num w:numId="13">
    <w:abstractNumId w:val="18"/>
  </w:num>
  <w:num w:numId="14">
    <w:abstractNumId w:val="22"/>
  </w:num>
  <w:num w:numId="15">
    <w:abstractNumId w:val="10"/>
  </w:num>
  <w:num w:numId="16">
    <w:abstractNumId w:val="12"/>
  </w:num>
  <w:num w:numId="17">
    <w:abstractNumId w:val="9"/>
  </w:num>
  <w:num w:numId="18">
    <w:abstractNumId w:val="19"/>
  </w:num>
  <w:num w:numId="19">
    <w:abstractNumId w:val="4"/>
  </w:num>
  <w:num w:numId="20">
    <w:abstractNumId w:val="15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6"/>
  </w:num>
  <w:num w:numId="25">
    <w:abstractNumId w:val="23"/>
  </w:num>
  <w:num w:numId="26">
    <w:abstractNumId w:val="24"/>
  </w:num>
  <w:num w:numId="27">
    <w:abstractNumId w:val="11"/>
  </w:num>
  <w:num w:numId="28">
    <w:abstractNumId w:val="27"/>
  </w:num>
  <w:num w:numId="2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3F3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067A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3E14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AF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64B5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2F7D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5F10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79B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6F5F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uiPriority w:val="99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9456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2019-03-19T21:18:00Z</dcterms:created>
  <dcterms:modified xsi:type="dcterms:W3CDTF">2019-03-19T21:33:00Z</dcterms:modified>
</cp:coreProperties>
</file>