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</w:t>
            </w:r>
            <w:r w:rsidR="0019702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2281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CC3F76">
        <w:rPr>
          <w:rFonts w:ascii="Arial Narrow" w:hAnsi="Arial Narrow"/>
          <w:b/>
          <w:bCs/>
          <w:sz w:val="22"/>
          <w:szCs w:val="22"/>
        </w:rPr>
        <w:t>27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FA0D81">
        <w:rPr>
          <w:rFonts w:ascii="Arial Narrow" w:hAnsi="Arial Narrow"/>
          <w:b/>
          <w:bCs/>
          <w:sz w:val="22"/>
          <w:szCs w:val="22"/>
        </w:rPr>
        <w:t>febr</w:t>
      </w:r>
      <w:r w:rsidR="00A52409">
        <w:rPr>
          <w:rFonts w:ascii="Arial Narrow" w:hAnsi="Arial Narrow"/>
          <w:b/>
          <w:bCs/>
          <w:sz w:val="22"/>
          <w:szCs w:val="22"/>
        </w:rPr>
        <w:t>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3C4D2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María Elena Gómez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</w:t>
      </w:r>
      <w:r w:rsidR="0019702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2281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3C4D24" w:rsidRPr="003C4D24" w:rsidRDefault="00966327" w:rsidP="003C4D24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3C4D24" w:rsidRPr="003C4D24">
        <w:rPr>
          <w:rFonts w:ascii="Arial Narrow" w:hAnsi="Arial Narrow"/>
          <w:color w:val="000000"/>
        </w:rPr>
        <w:t xml:space="preserve">Excelente día,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Por este medio, solicito la siguiente información para una investigación académica que estoy realizando.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Integración de las últimas tres legislaturas del congreso, que especifique años o periodo, cantidad de diputaciones de MR y RP por género en cada legislatura.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Ley electoral, reglamentación o lineamientos que especifique los criterios de paridad en la integración del congreso y registro de candidaturas.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EC3977" w:rsidRPr="00FA0D81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>Saludos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En atención al oficio UT-LXVI/047/19, relativo al requerimiento de datos que obran en poder de esta Secretaría, necesarios para emitir respuesta a las solicitudes de información con folios No. 022812019 y 022822019, me permito proporcionar la información según los temas planteados:</w:t>
      </w:r>
    </w:p>
    <w:p w:rsidR="003C4D24" w:rsidRPr="003C4D24" w:rsidRDefault="003C4D24" w:rsidP="003C4D24">
      <w:pPr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C4D24">
        <w:rPr>
          <w:rFonts w:ascii="Arial Narrow" w:hAnsi="Arial Narrow" w:cs="Arial"/>
          <w:b/>
          <w:sz w:val="22"/>
          <w:szCs w:val="22"/>
        </w:rPr>
        <w:t>1. Integración de las últimas 3 Legislaturas del H. Congreso del Estado, que especifique años o periodos, cantidad de diputaciones de MR y RP por género en cada legislatura.</w:t>
      </w: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Diputados de la LXV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01-oct-2016 / 31-ago-2018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bCs/>
          <w:sz w:val="22"/>
          <w:szCs w:val="22"/>
        </w:rPr>
      </w:pP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9"/>
        <w:gridCol w:w="1417"/>
        <w:gridCol w:w="1610"/>
      </w:tblGrid>
      <w:tr w:rsidR="003C4D24" w:rsidRPr="003C4D24" w:rsidTr="003C4D24">
        <w:trPr>
          <w:tblHeader/>
          <w:tblCellSpacing w:w="15" w:type="dxa"/>
        </w:trPr>
        <w:tc>
          <w:tcPr>
            <w:tcW w:w="3414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716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80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414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716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80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414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716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0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</w:tbl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lastRenderedPageBreak/>
        <w:t>Diputados de la LXIV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01-oct-2013 / 30-sep-2016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2"/>
        <w:gridCol w:w="1486"/>
        <w:gridCol w:w="1688"/>
      </w:tblGrid>
      <w:tr w:rsidR="003C4D24" w:rsidRPr="003C4D24" w:rsidTr="003C4D24">
        <w:trPr>
          <w:tblHeader/>
          <w:tblCellSpacing w:w="15" w:type="dxa"/>
        </w:trPr>
        <w:tc>
          <w:tcPr>
            <w:tcW w:w="333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752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84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33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752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33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752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</w:tbl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Diputados de la LXIII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01-oct-2010 / 30-sep-2013</w:t>
      </w: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6"/>
        <w:gridCol w:w="1842"/>
        <w:gridCol w:w="2088"/>
      </w:tblGrid>
      <w:tr w:rsidR="003C4D24" w:rsidRPr="003C4D24" w:rsidTr="003C4D24">
        <w:trPr>
          <w:tblHeader/>
          <w:tblCellSpacing w:w="15" w:type="dxa"/>
        </w:trPr>
        <w:tc>
          <w:tcPr>
            <w:tcW w:w="294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935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1055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29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93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05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29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93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05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</w:tbl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No omito comentarle que la información solicitada, incluyendo los nombres de quienes integraron cada una de las Legislaturas, así como la modalidad bajo la que fueron elegidos (mayoría relativa y representación proporcional), se encuentra disponible para su consulta en nuestro portal de internet, siguiendo esta ruta:</w:t>
      </w: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7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“Diputados”.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Luego, en el listado vertical haga clic en el recuadro “Historial de Diputados”.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Haciendo uso de los buscadores elija la legislatura que desea consultar.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b/>
          <w:sz w:val="22"/>
          <w:szCs w:val="22"/>
        </w:rPr>
      </w:pPr>
      <w:r w:rsidRPr="003C4D24">
        <w:rPr>
          <w:rFonts w:ascii="Arial Narrow" w:hAnsi="Arial Narrow" w:cs="Arial"/>
          <w:b/>
          <w:sz w:val="22"/>
          <w:szCs w:val="22"/>
        </w:rPr>
        <w:t>2. Ley Electoral del Estado de Chihuahua.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hyperlink r:id="rId8" w:history="1">
        <w:r w:rsidRPr="003C4D24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http://www.congresochihuahua2.gob.mx/biblioteca/leyes/archivosLeyes/1173.pdf</w:t>
        </w:r>
      </w:hyperlink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De igual forma, la información solicitada, se encuentra disponible para su consulta en nuestro portal de internet, siguiendo esta ruta: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9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“Biblioteca”.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lastRenderedPageBreak/>
        <w:t>Luego, en el listado que aparece al lado izquierdo de su pantalla haga clic en el recuadro "Leyes".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A continuación, haciendo uso de los buscadores, elija la Ley que desea consultar. </w:t>
      </w:r>
    </w:p>
    <w:p w:rsidR="003C4D24" w:rsidRPr="003C4D24" w:rsidRDefault="003C4D24" w:rsidP="003C4D24">
      <w:pPr>
        <w:pStyle w:val="Prrafodelista"/>
        <w:ind w:left="2215"/>
        <w:contextualSpacing w:val="0"/>
        <w:rPr>
          <w:rFonts w:ascii="Arial Narrow" w:hAnsi="Arial Narrow" w:cs="Arial"/>
          <w:b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Resulta pertinente señalar, que para su investigación, habrá que tener en cuenta la Legislación abrogada en esta materia, para efecto de aplicar la normatividad vigente en cada proceso electoral.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Lo anterior siguiendo esta ruta: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10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“Biblioteca”.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Luego, en el listado que aparece al lado izquierdo haga clic en el recuadro "Legislación Estatal Abrogada".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A continuación, haciendo uso de los buscadores, elija la Ley abrogada que desea consultar. 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3C4D24" w:rsidRDefault="003C4D24" w:rsidP="003A21BA">
      <w:pPr>
        <w:jc w:val="both"/>
        <w:rPr>
          <w:rFonts w:ascii="Arial" w:hAnsi="Arial" w:cs="Arial"/>
        </w:rPr>
      </w:pPr>
    </w:p>
    <w:p w:rsidR="00FA0D81" w:rsidRPr="00DC7002" w:rsidRDefault="00FA0D81" w:rsidP="006168F3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7A" w:rsidRDefault="00DE667A">
      <w:r>
        <w:separator/>
      </w:r>
    </w:p>
  </w:endnote>
  <w:endnote w:type="continuationSeparator" w:id="1">
    <w:p w:rsidR="00DE667A" w:rsidRDefault="00DE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F18D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F18D6" w:rsidP="0077121F">
    <w:pPr>
      <w:pStyle w:val="Piedepgina"/>
    </w:pPr>
    <w:r w:rsidRPr="00FF18D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F18D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7A" w:rsidRDefault="00DE667A">
      <w:r>
        <w:separator/>
      </w:r>
    </w:p>
  </w:footnote>
  <w:footnote w:type="continuationSeparator" w:id="1">
    <w:p w:rsidR="00DE667A" w:rsidRDefault="00DE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9702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3C4D24">
            <w:rPr>
              <w:rFonts w:ascii="Arial Narrow" w:hAnsi="Arial Narrow"/>
              <w:sz w:val="16"/>
              <w:szCs w:val="16"/>
            </w:rPr>
            <w:t>5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5"/>
  </w:num>
  <w:num w:numId="25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025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667A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leyes/archivosLeyes/1173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gresochihuahu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9494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2019-02-27T19:26:00Z</dcterms:created>
  <dcterms:modified xsi:type="dcterms:W3CDTF">2019-02-27T19:26:00Z</dcterms:modified>
</cp:coreProperties>
</file>