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0E219D">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9C01B3">
              <w:rPr>
                <w:rFonts w:ascii="Arial Narrow" w:eastAsia="Calibri" w:hAnsi="Arial Narrow"/>
                <w:color w:val="000000"/>
                <w:sz w:val="16"/>
                <w:szCs w:val="16"/>
                <w:lang w:eastAsia="en-US"/>
              </w:rPr>
              <w:t>01364</w:t>
            </w:r>
            <w:r w:rsidR="007B1B65">
              <w:rPr>
                <w:rFonts w:ascii="Arial Narrow" w:eastAsia="Calibri" w:hAnsi="Arial Narrow"/>
                <w:color w:val="000000"/>
                <w:sz w:val="16"/>
                <w:szCs w:val="16"/>
                <w:lang w:eastAsia="en-US"/>
              </w:rPr>
              <w:t>2</w:t>
            </w:r>
            <w:r w:rsidR="00A17BB0">
              <w:rPr>
                <w:rFonts w:ascii="Arial Narrow" w:eastAsia="Calibri" w:hAnsi="Arial Narrow"/>
                <w:color w:val="000000"/>
                <w:sz w:val="16"/>
                <w:szCs w:val="16"/>
                <w:lang w:eastAsia="en-US"/>
              </w:rPr>
              <w:t>019</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E57426">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F31B34">
              <w:rPr>
                <w:rFonts w:ascii="Arial Narrow" w:eastAsia="Calibri" w:hAnsi="Arial Narrow"/>
                <w:color w:val="000000"/>
                <w:sz w:val="16"/>
                <w:szCs w:val="16"/>
                <w:lang w:val="es-MX" w:eastAsia="en-US"/>
              </w:rPr>
              <w:t>2</w:t>
            </w:r>
            <w:r w:rsidR="009C01B3">
              <w:rPr>
                <w:rFonts w:ascii="Arial Narrow" w:eastAsia="Calibri" w:hAnsi="Arial Narrow"/>
                <w:color w:val="000000"/>
                <w:sz w:val="16"/>
                <w:szCs w:val="16"/>
                <w:lang w:val="es-MX" w:eastAsia="en-US"/>
              </w:rPr>
              <w:t>9</w:t>
            </w:r>
            <w:r w:rsidR="0017308C">
              <w:rPr>
                <w:rFonts w:ascii="Arial Narrow" w:eastAsia="Calibri" w:hAnsi="Arial Narrow"/>
                <w:color w:val="000000"/>
                <w:sz w:val="16"/>
                <w:szCs w:val="16"/>
                <w:lang w:val="es-MX" w:eastAsia="en-US"/>
              </w:rPr>
              <w:t>-</w:t>
            </w:r>
            <w:r w:rsidR="004E763F">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A52409">
              <w:rPr>
                <w:rFonts w:ascii="Arial Narrow" w:eastAsia="Calibri" w:hAnsi="Arial Narrow"/>
                <w:color w:val="000000"/>
                <w:sz w:val="16"/>
                <w:szCs w:val="16"/>
                <w:lang w:val="es-MX" w:eastAsia="en-US"/>
              </w:rPr>
              <w:t>9</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742CF5">
        <w:rPr>
          <w:rFonts w:ascii="Arial Narrow" w:hAnsi="Arial Narrow"/>
          <w:b/>
          <w:bCs/>
          <w:sz w:val="22"/>
          <w:szCs w:val="22"/>
        </w:rPr>
        <w:t>11</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8B5AF7">
        <w:rPr>
          <w:rFonts w:ascii="Arial Narrow" w:hAnsi="Arial Narrow"/>
          <w:b/>
          <w:bCs/>
          <w:sz w:val="22"/>
          <w:szCs w:val="22"/>
        </w:rPr>
        <w:t>febrero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A52409">
        <w:rPr>
          <w:rFonts w:ascii="Arial Narrow" w:hAnsi="Arial Narrow"/>
          <w:b/>
          <w:bCs/>
          <w:sz w:val="22"/>
          <w:szCs w:val="22"/>
        </w:rPr>
        <w:t>2019</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755DC0">
        <w:rPr>
          <w:rFonts w:ascii="Arial Narrow" w:eastAsia="Calibri" w:hAnsi="Arial Narrow"/>
          <w:b/>
          <w:color w:val="000000"/>
          <w:sz w:val="22"/>
          <w:szCs w:val="22"/>
          <w:lang w:val="es-MX" w:eastAsia="en-US"/>
        </w:rPr>
        <w:t xml:space="preserve"> </w:t>
      </w:r>
      <w:r w:rsidR="009C01B3">
        <w:rPr>
          <w:rFonts w:ascii="Arial Narrow" w:eastAsia="Calibri" w:hAnsi="Arial Narrow"/>
          <w:b/>
          <w:color w:val="000000"/>
          <w:sz w:val="22"/>
          <w:szCs w:val="22"/>
          <w:lang w:val="es-MX" w:eastAsia="en-US"/>
        </w:rPr>
        <w:t>FINANZAS PÚBLICAS IMCO</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9C01B3">
        <w:rPr>
          <w:rFonts w:ascii="Arial Narrow" w:eastAsia="Calibri" w:hAnsi="Arial Narrow"/>
          <w:color w:val="000000"/>
          <w:sz w:val="22"/>
          <w:szCs w:val="22"/>
          <w:lang w:val="es-MX" w:eastAsia="en-US"/>
        </w:rPr>
        <w:t>01364</w:t>
      </w:r>
      <w:r w:rsidR="00A17BB0">
        <w:rPr>
          <w:rFonts w:ascii="Arial Narrow" w:eastAsia="Calibri" w:hAnsi="Arial Narrow"/>
          <w:color w:val="000000"/>
          <w:sz w:val="22"/>
          <w:szCs w:val="22"/>
          <w:lang w:val="es-MX" w:eastAsia="en-US"/>
        </w:rPr>
        <w:t>2019</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9C01B3">
        <w:rPr>
          <w:rFonts w:ascii="Arial Narrow" w:eastAsia="Calibri" w:hAnsi="Arial Narrow"/>
          <w:color w:val="000000"/>
          <w:sz w:val="22"/>
          <w:szCs w:val="22"/>
          <w:lang w:val="es-ES_tradnl" w:eastAsia="en-US"/>
        </w:rPr>
        <w:t>29</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3935EC">
        <w:rPr>
          <w:rFonts w:ascii="Arial Narrow" w:eastAsia="Calibri" w:hAnsi="Arial Narrow"/>
          <w:color w:val="000000"/>
          <w:sz w:val="22"/>
          <w:szCs w:val="22"/>
          <w:lang w:val="es-ES_tradnl" w:eastAsia="en-US"/>
        </w:rPr>
        <w:t>enero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w:t>
      </w:r>
      <w:r w:rsidR="003935EC">
        <w:rPr>
          <w:rFonts w:ascii="Arial Narrow" w:eastAsia="Calibri" w:hAnsi="Arial Narrow"/>
          <w:color w:val="000000"/>
          <w:sz w:val="22"/>
          <w:szCs w:val="22"/>
          <w:lang w:val="es-ES_tradnl" w:eastAsia="en-US"/>
        </w:rPr>
        <w:t>9</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9C01B3" w:rsidRPr="009C01B3" w:rsidRDefault="00966327" w:rsidP="009C01B3">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9C01B3" w:rsidRPr="009C01B3">
        <w:rPr>
          <w:rFonts w:ascii="Arial Narrow" w:hAnsi="Arial Narrow"/>
          <w:color w:val="000000"/>
        </w:rPr>
        <w:t xml:space="preserve">¿Qué unidad del Congreso es la responsable de apoyar técnicamente en materia tanto de la elaboración y aprobación de la Ley de Ingresos como del Presupuesto de Egresos de la Entidad Federativa? </w:t>
      </w:r>
    </w:p>
    <w:p w:rsidR="009C01B3" w:rsidRPr="009C01B3"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t xml:space="preserve">Entre el primero de enero de 2018 y el 31 de diciembre de 2018, ¿a qué ejecutores del gasto el Congreso les solicitó información con relación a la información del ejercicio de su gasto? </w:t>
      </w:r>
    </w:p>
    <w:p w:rsidR="009C01B3" w:rsidRPr="009C01B3"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t xml:space="preserve">¿Qué unidad del Congreso es la responsable de examinar la ejecución y ejercicio del presupuesto de la Entidad Federativa (no en materia de fiscalización, sino de responsabilidad hacendaria)? </w:t>
      </w:r>
    </w:p>
    <w:p w:rsidR="009C01B3" w:rsidRPr="009C01B3"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t>¿Qué unidad del Congreso es la responsable de examinar los ajustes y reasignaciones de gasto del presupuesto de la Entidad Federativa?</w:t>
      </w:r>
    </w:p>
    <w:p w:rsidR="009C01B3" w:rsidRPr="009C01B3" w:rsidRDefault="009C01B3" w:rsidP="00A26D3F">
      <w:pPr>
        <w:pStyle w:val="Prrafodelista"/>
        <w:spacing w:line="0" w:lineRule="atLeast"/>
        <w:ind w:left="1440"/>
        <w:jc w:val="both"/>
        <w:rPr>
          <w:rFonts w:ascii="Arial Narrow" w:hAnsi="Arial Narrow"/>
          <w:color w:val="000000"/>
        </w:rPr>
      </w:pPr>
    </w:p>
    <w:p w:rsidR="009C01B3" w:rsidRPr="009C01B3"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lastRenderedPageBreak/>
        <w:t>¿Cuántas personas forman parte del Centro de Finanzas Públicas (o unidad equivalente, por ejemplo Unidad de Finanzas u Órgano Técnico Hacendario) del Congreso?</w:t>
      </w:r>
    </w:p>
    <w:p w:rsidR="009C01B3" w:rsidRPr="009C01B3" w:rsidRDefault="009C01B3" w:rsidP="00A26D3F">
      <w:pPr>
        <w:pStyle w:val="Prrafodelista"/>
        <w:spacing w:line="0" w:lineRule="atLeast"/>
        <w:ind w:left="1440"/>
        <w:jc w:val="both"/>
        <w:rPr>
          <w:rFonts w:ascii="Arial Narrow" w:hAnsi="Arial Narrow"/>
          <w:color w:val="000000"/>
        </w:rPr>
      </w:pPr>
    </w:p>
    <w:p w:rsidR="009C01B3" w:rsidRPr="009C01B3"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t>¿Qué unidad del Congreso es la responsable de verificar que todo proyecto de ley o decreto que sea sometido a votación del Pleno incluya en su dictamen correspondiente una estimación sobre el impacto presupuestario del proyecto? (artículo 16 de la Ley de Disciplina Financiera)</w:t>
      </w:r>
    </w:p>
    <w:p w:rsidR="009C01B3" w:rsidRPr="009C01B3"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t>¿Qué criterios o elementos deben considerar las estimaciones sobre el impacto presupuestario de los proyectos de ley o decreto que se someten a votación del Pleno? (artículo 16 de la Ley de Disciplina Financiera)</w:t>
      </w:r>
    </w:p>
    <w:p w:rsidR="009C01B3" w:rsidRPr="009C01B3"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t>¿Qué unidad del Congreso es la responsable de cumplir con la obligación de realizar análisis de capacidad de pago para la contratación de Financiamientos por parte del Ejecutivo de la Entidad? (artículo 23 de la Ley de Disciplina Financiera)</w:t>
      </w:r>
    </w:p>
    <w:p w:rsidR="009C01B3" w:rsidRPr="009C01B3"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t>¿Cuántas personas forman parte de la unidad del Congreso responsable de cumplir con la obligación de realizar análisis de capacidad de pago para la contratación de Financiamientos por parte del Ejecutivo de la Entidad?</w:t>
      </w:r>
    </w:p>
    <w:p w:rsidR="009C01B3" w:rsidRPr="009C01B3" w:rsidRDefault="009C01B3" w:rsidP="00A26D3F">
      <w:pPr>
        <w:pStyle w:val="Prrafodelista"/>
        <w:spacing w:line="0" w:lineRule="atLeast"/>
        <w:ind w:left="1440"/>
        <w:jc w:val="both"/>
        <w:rPr>
          <w:rFonts w:ascii="Arial Narrow" w:hAnsi="Arial Narrow"/>
          <w:color w:val="000000"/>
        </w:rPr>
      </w:pPr>
    </w:p>
    <w:p w:rsidR="009C01B3" w:rsidRPr="009C01B3"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t>Entre el primero de enero de 2018 y el 31 de diciembre de 2018, ¿en cuántas ocasiones el Congreso (ya sea en Pleno o en comisión) solicitó la comparecencia del Secretario de Finanzas (o equivalente)?</w:t>
      </w:r>
    </w:p>
    <w:p w:rsidR="00EC3977" w:rsidRDefault="009C01B3" w:rsidP="00A26D3F">
      <w:pPr>
        <w:pStyle w:val="Prrafodelista"/>
        <w:spacing w:line="0" w:lineRule="atLeast"/>
        <w:ind w:left="1440"/>
        <w:jc w:val="both"/>
        <w:rPr>
          <w:rFonts w:ascii="Arial Narrow" w:hAnsi="Arial Narrow"/>
          <w:color w:val="000000"/>
        </w:rPr>
      </w:pPr>
      <w:r w:rsidRPr="009C01B3">
        <w:rPr>
          <w:rFonts w:ascii="Arial Narrow" w:hAnsi="Arial Narrow"/>
          <w:color w:val="000000"/>
        </w:rPr>
        <w:t>Entre el primero de enero de 2018 y el 31 de diciembre de 2018, ¿en cuántas ocasiones el Secretario de Finanzas (o equivalente) compareció ante el Congreso (ya sea en Pleno o en comisión)?</w:t>
      </w:r>
      <w:r w:rsidR="00E15A64" w:rsidRPr="00BC11A0">
        <w:rPr>
          <w:rFonts w:ascii="Arial Narrow" w:hAnsi="Arial Narrow"/>
          <w:color w:val="000000"/>
        </w:rPr>
        <w:t>”</w:t>
      </w:r>
    </w:p>
    <w:p w:rsidR="00BC11A0" w:rsidRPr="00BC11A0" w:rsidRDefault="00BC11A0" w:rsidP="00BC11A0">
      <w:pPr>
        <w:ind w:left="1416"/>
        <w:rPr>
          <w:rFonts w:ascii="Arial Narrow" w:hAnsi="Arial Narrow"/>
          <w:sz w:val="22"/>
          <w:szCs w:val="22"/>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E37CA2" w:rsidRDefault="00E37CA2" w:rsidP="00220513">
      <w:pPr>
        <w:jc w:val="both"/>
        <w:rPr>
          <w:rFonts w:ascii="Arial Narrow" w:hAnsi="Arial Narrow"/>
          <w:sz w:val="22"/>
          <w:szCs w:val="22"/>
          <w:lang w:val="es-MX"/>
        </w:rPr>
      </w:pPr>
    </w:p>
    <w:p w:rsidR="00470984" w:rsidRDefault="00470984" w:rsidP="00220513">
      <w:pPr>
        <w:jc w:val="both"/>
        <w:rPr>
          <w:rFonts w:ascii="Arial Narrow" w:hAnsi="Arial Narrow"/>
          <w:sz w:val="22"/>
          <w:szCs w:val="22"/>
          <w:lang w:val="es-MX"/>
        </w:rPr>
      </w:pPr>
    </w:p>
    <w:p w:rsidR="00792FF4" w:rsidRDefault="006D591F" w:rsidP="00077BDF">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lastRenderedPageBreak/>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792FF4">
        <w:rPr>
          <w:rFonts w:ascii="Arial Narrow" w:hAnsi="Arial Narrow"/>
          <w:sz w:val="22"/>
          <w:szCs w:val="22"/>
        </w:rPr>
        <w:t xml:space="preserve"> </w:t>
      </w:r>
      <w:r w:rsidR="006E6CDA">
        <w:rPr>
          <w:rFonts w:ascii="Arial Narrow" w:hAnsi="Arial Narrow"/>
          <w:sz w:val="22"/>
          <w:szCs w:val="22"/>
        </w:rPr>
        <w:t xml:space="preserve">la </w:t>
      </w:r>
      <w:r w:rsidR="000A279D">
        <w:rPr>
          <w:rFonts w:ascii="Arial Narrow" w:hAnsi="Arial Narrow"/>
          <w:sz w:val="22"/>
          <w:szCs w:val="22"/>
        </w:rPr>
        <w:t>Se</w:t>
      </w:r>
      <w:r w:rsidR="006E6CDA">
        <w:rPr>
          <w:rFonts w:ascii="Arial Narrow" w:hAnsi="Arial Narrow"/>
          <w:sz w:val="22"/>
          <w:szCs w:val="22"/>
        </w:rPr>
        <w:t>cretaría</w:t>
      </w:r>
      <w:r w:rsidR="00792FF4">
        <w:rPr>
          <w:rFonts w:ascii="Arial Narrow" w:hAnsi="Arial Narrow"/>
          <w:sz w:val="22"/>
          <w:szCs w:val="22"/>
        </w:rPr>
        <w:t xml:space="preserve"> </w:t>
      </w:r>
      <w:r w:rsidR="00AA7053">
        <w:rPr>
          <w:rFonts w:ascii="Arial Narrow" w:hAnsi="Arial Narrow"/>
          <w:sz w:val="22"/>
          <w:szCs w:val="22"/>
        </w:rPr>
        <w:t xml:space="preserve"> de </w:t>
      </w:r>
      <w:r w:rsidR="00792FF4">
        <w:rPr>
          <w:rFonts w:ascii="Arial Narrow" w:hAnsi="Arial Narrow"/>
          <w:sz w:val="22"/>
          <w:szCs w:val="22"/>
        </w:rPr>
        <w:t>Asuntos Legislativos</w:t>
      </w:r>
      <w:r w:rsidR="00AA7053">
        <w:rPr>
          <w:rFonts w:ascii="Arial Narrow" w:hAnsi="Arial Narrow"/>
          <w:sz w:val="22"/>
          <w:szCs w:val="22"/>
        </w:rPr>
        <w:t xml:space="preserve"> y Jurídicos</w:t>
      </w:r>
      <w:r w:rsidR="006E6CDA">
        <w:rPr>
          <w:rFonts w:ascii="Arial Narrow" w:hAnsi="Arial Narrow"/>
          <w:sz w:val="22"/>
          <w:szCs w:val="22"/>
        </w:rPr>
        <w:t xml:space="preserve"> 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AA7053" w:rsidRDefault="00AA7053" w:rsidP="00AA7053">
      <w:pPr>
        <w:ind w:left="720"/>
        <w:jc w:val="both"/>
        <w:rPr>
          <w:rFonts w:ascii="Arial Narrow" w:hAnsi="Arial Narrow"/>
          <w:sz w:val="22"/>
          <w:szCs w:val="22"/>
        </w:rPr>
      </w:pPr>
    </w:p>
    <w:p w:rsidR="003935EC" w:rsidRDefault="003935EC" w:rsidP="003935EC">
      <w:pPr>
        <w:ind w:left="720"/>
        <w:jc w:val="both"/>
        <w:rPr>
          <w:rFonts w:ascii="Arial Narrow" w:hAnsi="Arial Narrow"/>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En atención al oficio UT-LXVI/033/19, relativo al requerimiento de datos que obran en poder de esta Secretaría, necesarios para emitir respuesta a la solicitud de información con folio No. 013642019, me permito proporcionar la información según los temas planteados:</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1. ¿Qué unidad del Congreso es la responsable de apoyar técnicamente en materia tanto de la elaboración y aprobación de la Ley de Ingresos como del Presupuesto de Egresos de la Entidad Federativa?</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La Ley Orgánica de Poder Ejecutivo del Estado de Chihuahua, en el artículo 26 fracción VII, señala que es atribución de la Secretaría de Hacienda elaborar y presentar al Ejecutivo el proyecto anual de Ley de Ingresos y del Presupuesto de Egresos del Estado.</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Por su parte, la Ley de Presupuesto de Egresos, Contabilidad y Gasto Público del Estado, en los artículos 9, 16, 19, 20 y 21 establecen que los entes públicos y los municipios contarán con una unidad administrativa encargada de elaborar su anteproyecto de presupuesto, así como para llevar a cabo el control del ejercicio del gasto, dar seguimiento, monitorear y evaluar el grado de avance de sus programas correspondientes.</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Que en el caso de los entes públicos, estos remitirán el referido anteproyecto a la Secretaría de Hacienda, con el propósito de que esta elabore el proyecto de Presupuesto de Egresos que se remitirá al Congreso del Estado</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 xml:space="preserve">De igual modo, la Constitución Política del Estado, en el artículo 64, fracción VI establece que corresponde al Congreso del Estado </w:t>
      </w:r>
      <w:r w:rsidRPr="00470984">
        <w:rPr>
          <w:rFonts w:ascii="Arial Narrow" w:hAnsi="Arial Narrow" w:cs="Arial"/>
          <w:b/>
          <w:sz w:val="22"/>
          <w:szCs w:val="22"/>
        </w:rPr>
        <w:t>examinar,</w:t>
      </w:r>
      <w:r w:rsidRPr="00470984">
        <w:rPr>
          <w:rFonts w:ascii="Arial Narrow" w:hAnsi="Arial Narrow" w:cs="Arial"/>
          <w:sz w:val="22"/>
          <w:szCs w:val="22"/>
        </w:rPr>
        <w:t xml:space="preserve"> </w:t>
      </w:r>
      <w:r w:rsidRPr="00470984">
        <w:rPr>
          <w:rFonts w:ascii="Arial Narrow" w:hAnsi="Arial Narrow" w:cs="Arial"/>
          <w:b/>
          <w:sz w:val="22"/>
          <w:szCs w:val="22"/>
        </w:rPr>
        <w:t>discutir y aprobar</w:t>
      </w:r>
      <w:r w:rsidRPr="00470984">
        <w:rPr>
          <w:rFonts w:ascii="Arial Narrow" w:hAnsi="Arial Narrow" w:cs="Arial"/>
          <w:sz w:val="22"/>
          <w:szCs w:val="22"/>
        </w:rPr>
        <w:t xml:space="preserve"> anualmente el Presupuesto de Egresos del Estado, discutiendo y aprobando primero las contribuciones que a su juicio deben decretarse para cubrirlo. </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 xml:space="preserve">Ahora bien, la Ley Orgánica del Poder Legislativo, en sus artículos 87 y 96 dispone que las comisiones del Congreso son órganos colegiados integrados por diputados y diputadas, cuyas funciones son las de analizar y discutir las iniciativas y demás asuntos de su competencia, relacionadas con la materia propia de su denominación, para elaborar, en su caso, los dictámenes o informes, según corresponda. </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 xml:space="preserve">Precisado lo anterior, le comento que es competencia de la Comisión de Programación, Presupuesto y Hacienda Pública, del H. Congreso del Estado, </w:t>
      </w:r>
      <w:r w:rsidRPr="00470984">
        <w:rPr>
          <w:rFonts w:ascii="Arial Narrow" w:hAnsi="Arial Narrow" w:cs="Arial"/>
          <w:b/>
          <w:sz w:val="22"/>
          <w:szCs w:val="22"/>
        </w:rPr>
        <w:t>examinar,</w:t>
      </w:r>
      <w:r w:rsidRPr="00470984">
        <w:rPr>
          <w:rFonts w:ascii="Arial Narrow" w:hAnsi="Arial Narrow" w:cs="Arial"/>
          <w:sz w:val="22"/>
          <w:szCs w:val="22"/>
        </w:rPr>
        <w:t xml:space="preserve"> </w:t>
      </w:r>
      <w:r w:rsidRPr="00470984">
        <w:rPr>
          <w:rFonts w:ascii="Arial Narrow" w:hAnsi="Arial Narrow" w:cs="Arial"/>
          <w:b/>
          <w:sz w:val="22"/>
          <w:szCs w:val="22"/>
        </w:rPr>
        <w:t xml:space="preserve">discutir y aprobar </w:t>
      </w:r>
      <w:r w:rsidRPr="00470984">
        <w:rPr>
          <w:rFonts w:ascii="Arial Narrow" w:hAnsi="Arial Narrow" w:cs="Arial"/>
          <w:sz w:val="22"/>
          <w:szCs w:val="22"/>
        </w:rPr>
        <w:t>la Ley de Ingresos y Presupuesto de Egresos del Estado, mientras que quienes elaboran esos documentos financieros, de conformidad con la citada Ley de Presupuesto de Egresos, Contabilidad y Gasto Público, son los entes públicos y la Secretaría de Hacienda de Gobierno del Estado, en sus respectivas competencias.</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 xml:space="preserve">2 Entre el primero de enero de 2018 y el 31 de diciembre de 2018. ¿a qué ejecutores del gasto  el Congreso les solicitó información del ejercicio de su gasto?. </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lastRenderedPageBreak/>
        <w:t>En el 2018 fueron comparecieron ante el Pleno de este H. Congreso, diversos funcionarios a fin de informar sobre los asuntos inherentes a su encargo.</w:t>
      </w:r>
    </w:p>
    <w:p w:rsidR="00470984" w:rsidRPr="00470984" w:rsidRDefault="00470984" w:rsidP="00470984">
      <w:pPr>
        <w:ind w:left="708"/>
        <w:jc w:val="both"/>
        <w:rPr>
          <w:rFonts w:ascii="Arial Narrow" w:hAnsi="Arial Narrow" w:cs="Arial"/>
          <w:sz w:val="22"/>
          <w:szCs w:val="22"/>
        </w:rPr>
      </w:pPr>
    </w:p>
    <w:tbl>
      <w:tblPr>
        <w:tblStyle w:val="Tablaconcuadrcula"/>
        <w:tblW w:w="0" w:type="auto"/>
        <w:jc w:val="center"/>
        <w:tblInd w:w="708" w:type="dxa"/>
        <w:tblLook w:val="04A0"/>
      </w:tblPr>
      <w:tblGrid>
        <w:gridCol w:w="3652"/>
        <w:gridCol w:w="1856"/>
      </w:tblGrid>
      <w:tr w:rsidR="00470984" w:rsidRPr="00470984" w:rsidTr="00470984">
        <w:trPr>
          <w:jc w:val="center"/>
        </w:trPr>
        <w:tc>
          <w:tcPr>
            <w:tcW w:w="5508" w:type="dxa"/>
            <w:gridSpan w:val="2"/>
          </w:tcPr>
          <w:p w:rsidR="00470984" w:rsidRPr="00470984" w:rsidRDefault="00470984" w:rsidP="00470984">
            <w:pPr>
              <w:jc w:val="both"/>
              <w:rPr>
                <w:rFonts w:ascii="Arial Narrow" w:hAnsi="Arial Narrow" w:cs="Arial"/>
                <w:sz w:val="22"/>
                <w:szCs w:val="22"/>
              </w:rPr>
            </w:pPr>
            <w:r w:rsidRPr="00470984">
              <w:rPr>
                <w:rFonts w:ascii="Arial Narrow" w:hAnsi="Arial Narrow" w:cs="Arial"/>
                <w:b/>
                <w:sz w:val="22"/>
                <w:szCs w:val="22"/>
              </w:rPr>
              <w:t>Comparecencias ante el Pleno</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Dependencia del Ejecutivo</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Fecha</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Secretaría de Educación y Deporte (2)</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13/11/2018</w:t>
            </w:r>
          </w:p>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21/03/2018</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Secretaría de Desarrollo Social (2)</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13/11/2018</w:t>
            </w:r>
          </w:p>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22/03/2018</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Secretaría de Salud (2)</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13/11/2018</w:t>
            </w:r>
          </w:p>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21/03/2018</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Coordinación de Comunicación Social (2)</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13/11/2018</w:t>
            </w:r>
          </w:p>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21/03/2018</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Secretaría de Comunicaciones y Obras Públicas (2)</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13/11/2018</w:t>
            </w:r>
          </w:p>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21/03/2018</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Fiscalía General del Estado (1)</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27/03/2018</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Secretaría de Innovación y Desarrollo Económico (1)</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22/03/2018</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Secretaría de Hacienda (1)</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20/03/2018</w:t>
            </w:r>
          </w:p>
        </w:tc>
      </w:tr>
      <w:tr w:rsidR="00470984" w:rsidRPr="00470984" w:rsidTr="00470984">
        <w:trPr>
          <w:jc w:val="center"/>
        </w:trPr>
        <w:tc>
          <w:tcPr>
            <w:tcW w:w="3652"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Comisión Estatal para los Pueblos Indígenas (1)</w:t>
            </w:r>
          </w:p>
        </w:tc>
        <w:tc>
          <w:tcPr>
            <w:tcW w:w="1856" w:type="dxa"/>
          </w:tcPr>
          <w:p w:rsidR="00470984" w:rsidRPr="00470984" w:rsidRDefault="00470984" w:rsidP="00470984">
            <w:pPr>
              <w:jc w:val="both"/>
              <w:rPr>
                <w:rFonts w:ascii="Arial Narrow" w:hAnsi="Arial Narrow" w:cs="Arial"/>
                <w:sz w:val="22"/>
                <w:szCs w:val="22"/>
              </w:rPr>
            </w:pPr>
            <w:r w:rsidRPr="00470984">
              <w:rPr>
                <w:rFonts w:ascii="Arial Narrow" w:hAnsi="Arial Narrow" w:cs="Arial"/>
                <w:sz w:val="22"/>
                <w:szCs w:val="22"/>
              </w:rPr>
              <w:t>20/03/2018</w:t>
            </w:r>
          </w:p>
        </w:tc>
      </w:tr>
    </w:tbl>
    <w:p w:rsidR="00470984" w:rsidRPr="00470984" w:rsidRDefault="00470984" w:rsidP="00470984">
      <w:pPr>
        <w:ind w:left="708"/>
        <w:jc w:val="both"/>
        <w:rPr>
          <w:rFonts w:ascii="Arial Narrow" w:hAnsi="Arial Narrow" w:cs="Arial"/>
          <w:b/>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3. ¿Qué unidad del Congreso es la responsable de examinar la ejecución y ejercicio del presupuesto de la entidad federativa (no en materia de fiscalización, sino de responsabilidad hacendaria)</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De conformidad con el artículo 7, fracción II de la Ley de Auditoría Superior del Estado, es el propio órgano técnico del Congreso, denominado Auditoría Superior del Estado, el facultado para verificar, en forma posterior, si la Gestión Financiera de los Entes Fiscalizables se efectuó conforme a las disposiciones aplicables en materia de sistemas de registro y contabilidad gubernamental: contratación de servicios, obra pública, adquisiciones, arrendamientos, conservación, uso, destino, afectación, enajenación, salvaguarda y baja de bienes muebles e inmuebles; almacenes y demás activos y recursos materiales.</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 xml:space="preserve">4. ¿Qué unidad del Congreso es la responsable de examinar los ajustes y reasignaciones de gasto del presupuesto de la entidad federativa? </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 xml:space="preserve">La Constitución Política del Estado, en el artículo 77 establece que en la abrogación, derogación, reforma o adición de cualquier ley o decreto, se observarán los mismos requisitos que para su formación. </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En ese sentido, es la Comisión de Programación, Presupuesto y Hacienda Pública, del Congreso, la que conoce tanto de las iniciativas de Ley de Ingresos y Presupuesto de Egresos, como de las reformas a esos ordenamientos jurídicos.</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5. ¿Cuántas personas forman parte del Centro de Finanzas Públicas (o unidad equivalente, por ejemplo Unidad de Finanzas u órgano técnico hacendario) del Congreso?</w:t>
      </w:r>
    </w:p>
    <w:p w:rsidR="00470984" w:rsidRPr="00470984" w:rsidRDefault="00470984" w:rsidP="00470984">
      <w:pPr>
        <w:ind w:left="708"/>
        <w:jc w:val="both"/>
        <w:rPr>
          <w:rFonts w:ascii="Arial Narrow" w:hAnsi="Arial Narrow" w:cs="Arial"/>
          <w:b/>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b/>
          <w:sz w:val="22"/>
          <w:szCs w:val="22"/>
        </w:rPr>
        <w:t xml:space="preserve">  </w:t>
      </w:r>
      <w:r w:rsidRPr="00470984">
        <w:rPr>
          <w:rFonts w:ascii="Arial Narrow" w:hAnsi="Arial Narrow" w:cs="Arial"/>
          <w:sz w:val="22"/>
          <w:szCs w:val="22"/>
        </w:rPr>
        <w:t>La Ley Orgánica del Poder Legislativo del Estado de Chihuahua no prevé la integración y funcionamiento de un órgano de tal naturaleza.</w:t>
      </w:r>
    </w:p>
    <w:p w:rsidR="00470984" w:rsidRPr="00470984" w:rsidRDefault="00470984" w:rsidP="00470984">
      <w:pPr>
        <w:ind w:left="708"/>
        <w:jc w:val="both"/>
        <w:rPr>
          <w:rFonts w:ascii="Arial Narrow" w:hAnsi="Arial Narrow" w:cs="Arial"/>
          <w:b/>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6. ¿Qué unidad del Congreso es la responsable de verificar que todo proyecto de ley o decreto que sea sometido a votación del Pleno incluya en su dictamen correspondiente una estimación sobre el impacto presupuestario del proyecto? (artículo 16 de la Ley de Disciplina Financiera)</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 xml:space="preserve">Tal como quedó asentado, la Ley Orgánica del Poder Legislativo, en sus artículos 87 y 96, señala que las comisiones del Congreso son órganos colegiados integrados por diputados y diputadas, cuyas funciones son las de analizar y discutir las iniciativas y demás asuntos de su competencia, relacionadas con la materia propia de su denominación, para elaborar, en su caso, los dictámenes o informes, según corresponda.  </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Sin embargo, en el citado ordenamiento jurídico no se prevén disposiciones que regulen lo relativo a  las estimaciones del impacto financiero de una ley o decreto.</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Resulta pertinente señalar que el Grupo Parlamentario del Partido Acción Nacional presentó iniciativa a fin de reformar los artículos 99 y 111 de la Ley Orgánica del Poder Legislativo del Estado de Chihuahua, para establecer los mecanismos jurídicos y parlamentarios que garanticen la viabilidad financiera de las leyes y decretos que pretenden traducirse en política pública, programas y/o acciones, misma que se encuentra en estudio por parte de la Comisión Primera de Gobernación y Puntos Constitucionales.</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Enlace a la iniciativa</w:t>
      </w: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 xml:space="preserve">http://www.congresochihuahua2.gob.mx/biblioteca/iniciativas/archivosIniciativas/8845.pdf   </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6. ¿Qué criterios o elementos deben considerar las estimaciones sobre el impacto presupuestario de los proyectos de ley o decreto que se someten a votación del Pleno? (artículo 16 de la Ley de Disciplina Financiera)</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Como quedó asentado, la Ley Orgánica del Poder Legislativo no regula este tema en particular y, como ya se dijo, actualmente se encuentra en estudio una iniciativa para tal efecto.</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7. ¿Qué unidad del Congreso es la responsable de cumplir con la obligación de realizar el análisis de capacidad de pago para la contratación de financiamientos por parte del Ejecutivo e la entidad? (artículo 23 de la Ley de Disciplina Financiera)</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Compete a la Comisión de Programación, Presupuesto y Hacienda Pública, conocer sobre las autorizaciones que otorga esta Soberanía para que el Ejecutivo contrate financiamientos y obligaciones, según lo dispuesto por los artículos 7 y 96 de Ley Orgánica del Poder Legislativo del Estado de Chihuahua.</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8.- ¿Cuántas personas forman parte de la unidad del Congreso responsable de cumplir con la obligación de realizar el análisis de capacidad de pago para la contratación de financiamientos por parte del Ejecutivo de la entidad?</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lastRenderedPageBreak/>
        <w:t>De conformidad con el Decreto No.</w:t>
      </w:r>
      <w:r w:rsidRPr="00470984">
        <w:rPr>
          <w:rFonts w:ascii="Arial Narrow" w:hAnsi="Arial Narrow"/>
          <w:b/>
          <w:sz w:val="22"/>
          <w:szCs w:val="22"/>
        </w:rPr>
        <w:t xml:space="preserve"> </w:t>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b/>
          <w:sz w:val="22"/>
          <w:szCs w:val="22"/>
        </w:rPr>
        <w:softHyphen/>
      </w:r>
      <w:r w:rsidRPr="00470984">
        <w:rPr>
          <w:rFonts w:ascii="Arial Narrow" w:eastAsia="Calibri" w:hAnsi="Arial Narrow" w:cs="Arial"/>
          <w:sz w:val="22"/>
          <w:szCs w:val="22"/>
        </w:rPr>
        <w:t>LXVI/ITCYC/0006/2018 I P.O.</w:t>
      </w:r>
      <w:r w:rsidRPr="00470984">
        <w:rPr>
          <w:rFonts w:ascii="Arial Narrow" w:hAnsi="Arial Narrow" w:cs="Arial"/>
          <w:sz w:val="22"/>
          <w:szCs w:val="22"/>
        </w:rPr>
        <w:t>, mediante el cual se integraron las Comisiones de la LXVI Legislatura del H. Congreso del Estado, son 5 Diputadas y Diputados quienes integran la Comisión de Programación, Presupuesto y Hacienda Pública.</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En todo caso, esta Comisión está apoyada por los Secretarios Técnicos, asignados por la Secretaría de Asuntos Legislativos y Jurídicos, quienes en todo momento auxilian en el acopio de información.</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eastAsia="Calibri" w:hAnsi="Arial Narrow" w:cs="Arial"/>
          <w:b/>
          <w:sz w:val="22"/>
          <w:szCs w:val="22"/>
        </w:rPr>
      </w:pPr>
      <w:r w:rsidRPr="00470984">
        <w:rPr>
          <w:rFonts w:ascii="Arial Narrow" w:hAnsi="Arial Narrow" w:cs="Arial"/>
          <w:b/>
          <w:sz w:val="22"/>
          <w:szCs w:val="22"/>
        </w:rPr>
        <w:t>COMISIÓN DE</w:t>
      </w:r>
      <w:r w:rsidRPr="00470984">
        <w:rPr>
          <w:rFonts w:ascii="Arial Narrow" w:eastAsia="Calibri" w:hAnsi="Arial Narrow" w:cs="Arial"/>
          <w:b/>
          <w:sz w:val="22"/>
          <w:szCs w:val="22"/>
        </w:rPr>
        <w:t xml:space="preserve"> PROGRAMACIÓN, PRESUPUESTO Y HACIENDA PÚBLICA</w:t>
      </w:r>
    </w:p>
    <w:p w:rsidR="00470984" w:rsidRPr="00470984" w:rsidRDefault="00470984" w:rsidP="00470984">
      <w:pPr>
        <w:ind w:left="708"/>
        <w:jc w:val="both"/>
        <w:rPr>
          <w:rFonts w:ascii="Arial Narrow" w:eastAsia="Calibri" w:hAnsi="Arial Narrow" w:cs="Arial"/>
          <w:sz w:val="22"/>
          <w:szCs w:val="22"/>
        </w:rPr>
      </w:pPr>
      <w:r w:rsidRPr="00470984">
        <w:rPr>
          <w:rFonts w:ascii="Arial Narrow" w:eastAsia="Calibri" w:hAnsi="Arial Narrow" w:cs="Arial"/>
          <w:sz w:val="22"/>
          <w:szCs w:val="22"/>
        </w:rPr>
        <w:t xml:space="preserve">PRESIDENTE.- DIP. JESÚS ALBERTO VALENCIANO GARCÍA  </w:t>
      </w:r>
    </w:p>
    <w:p w:rsidR="00470984" w:rsidRPr="00470984" w:rsidRDefault="00470984" w:rsidP="00470984">
      <w:pPr>
        <w:ind w:left="708"/>
        <w:jc w:val="both"/>
        <w:rPr>
          <w:rFonts w:ascii="Arial Narrow" w:eastAsia="Calibri" w:hAnsi="Arial Narrow" w:cs="Arial"/>
          <w:sz w:val="22"/>
          <w:szCs w:val="22"/>
        </w:rPr>
      </w:pPr>
      <w:r w:rsidRPr="00470984">
        <w:rPr>
          <w:rFonts w:ascii="Arial Narrow" w:eastAsia="Calibri" w:hAnsi="Arial Narrow" w:cs="Arial"/>
          <w:sz w:val="22"/>
          <w:szCs w:val="22"/>
        </w:rPr>
        <w:t xml:space="preserve">SECRETARIO.- DIP. MISAEL MÁYNEZ CANO  </w:t>
      </w:r>
    </w:p>
    <w:p w:rsidR="00470984" w:rsidRPr="00470984" w:rsidRDefault="00470984" w:rsidP="00470984">
      <w:pPr>
        <w:ind w:left="708"/>
        <w:jc w:val="both"/>
        <w:rPr>
          <w:rFonts w:ascii="Arial Narrow" w:eastAsia="Calibri" w:hAnsi="Arial Narrow" w:cs="Arial"/>
          <w:sz w:val="22"/>
          <w:szCs w:val="22"/>
        </w:rPr>
      </w:pPr>
      <w:r w:rsidRPr="00470984">
        <w:rPr>
          <w:rFonts w:ascii="Arial Narrow" w:eastAsia="Calibri" w:hAnsi="Arial Narrow" w:cs="Arial"/>
          <w:sz w:val="22"/>
          <w:szCs w:val="22"/>
        </w:rPr>
        <w:t xml:space="preserve">VOCAL.- DIP. MIGUEL ÁNGEL COLUNGA MARTÍNEZ  </w:t>
      </w:r>
    </w:p>
    <w:p w:rsidR="00470984" w:rsidRPr="00470984" w:rsidRDefault="00470984" w:rsidP="00470984">
      <w:pPr>
        <w:ind w:left="708"/>
        <w:jc w:val="both"/>
        <w:rPr>
          <w:rFonts w:ascii="Arial Narrow" w:eastAsia="Calibri" w:hAnsi="Arial Narrow" w:cs="Arial"/>
          <w:sz w:val="22"/>
          <w:szCs w:val="22"/>
        </w:rPr>
      </w:pPr>
      <w:r w:rsidRPr="00470984">
        <w:rPr>
          <w:rFonts w:ascii="Arial Narrow" w:eastAsia="Calibri" w:hAnsi="Arial Narrow" w:cs="Arial"/>
          <w:sz w:val="22"/>
          <w:szCs w:val="22"/>
        </w:rPr>
        <w:t xml:space="preserve">VOCAL.- DIP. ROCIO GUADALUPE SARMIENTO RUFINO  </w:t>
      </w:r>
    </w:p>
    <w:p w:rsidR="00470984" w:rsidRPr="00470984" w:rsidRDefault="00470984" w:rsidP="00470984">
      <w:pPr>
        <w:ind w:left="708"/>
        <w:jc w:val="both"/>
        <w:rPr>
          <w:rFonts w:ascii="Arial Narrow" w:hAnsi="Arial Narrow" w:cs="Arial"/>
          <w:sz w:val="22"/>
          <w:szCs w:val="22"/>
        </w:rPr>
      </w:pPr>
      <w:r w:rsidRPr="00470984">
        <w:rPr>
          <w:rFonts w:ascii="Arial Narrow" w:eastAsia="Calibri" w:hAnsi="Arial Narrow" w:cs="Arial"/>
          <w:sz w:val="22"/>
          <w:szCs w:val="22"/>
        </w:rPr>
        <w:t>VOCAL.- DIP. ALEJANDRO GLORIA GONZÁLEZ</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b/>
          <w:sz w:val="22"/>
          <w:szCs w:val="22"/>
        </w:rPr>
      </w:pPr>
      <w:r w:rsidRPr="00470984">
        <w:rPr>
          <w:rFonts w:ascii="Arial Narrow" w:hAnsi="Arial Narrow" w:cs="Arial"/>
          <w:b/>
          <w:sz w:val="22"/>
          <w:szCs w:val="22"/>
        </w:rPr>
        <w:t>9.- ¿Entre el primero de enero de 2018 y el 31 de diciembre de 2018, ¿en cuántas ocasiones el Congreso (ya sea en Pleno o en Comisión solicitó la comparecencia del Secretario de Finanzas o equivalente)? ¿ en cuántas ocasiones el Secretario de Finanzas o equivalente, compareció ante el Congreso (ya sea en Pleno o en Comisión?)</w:t>
      </w:r>
    </w:p>
    <w:p w:rsidR="00470984" w:rsidRPr="00470984" w:rsidRDefault="00470984" w:rsidP="00470984">
      <w:pPr>
        <w:ind w:left="708"/>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Durante el 2018, el titular de la Secretaría de Hacienda compareció:</w:t>
      </w:r>
    </w:p>
    <w:p w:rsidR="00470984" w:rsidRPr="00470984" w:rsidRDefault="00470984" w:rsidP="00470984">
      <w:pPr>
        <w:pStyle w:val="Prrafodelista"/>
        <w:numPr>
          <w:ilvl w:val="0"/>
          <w:numId w:val="29"/>
        </w:numPr>
        <w:spacing w:after="0" w:line="240" w:lineRule="auto"/>
        <w:ind w:left="1428"/>
        <w:jc w:val="both"/>
        <w:rPr>
          <w:rFonts w:ascii="Arial Narrow" w:hAnsi="Arial Narrow" w:cs="Arial"/>
        </w:rPr>
      </w:pPr>
      <w:r w:rsidRPr="00470984">
        <w:rPr>
          <w:rFonts w:ascii="Arial Narrow" w:hAnsi="Arial Narrow" w:cs="Arial"/>
        </w:rPr>
        <w:t>Ante el Pleno el 20 de marzo de 2018.</w:t>
      </w:r>
    </w:p>
    <w:p w:rsidR="00470984" w:rsidRPr="00470984" w:rsidRDefault="00470984" w:rsidP="00470984">
      <w:pPr>
        <w:pStyle w:val="Prrafodelista"/>
        <w:numPr>
          <w:ilvl w:val="0"/>
          <w:numId w:val="29"/>
        </w:numPr>
        <w:spacing w:after="0" w:line="240" w:lineRule="auto"/>
        <w:ind w:left="1428"/>
        <w:jc w:val="both"/>
        <w:rPr>
          <w:rFonts w:ascii="Arial Narrow" w:hAnsi="Arial Narrow" w:cs="Arial"/>
        </w:rPr>
      </w:pPr>
      <w:r w:rsidRPr="00470984">
        <w:rPr>
          <w:rFonts w:ascii="Arial Narrow" w:hAnsi="Arial Narrow" w:cs="Arial"/>
        </w:rPr>
        <w:t xml:space="preserve">Ante la Comisión de Programación, Presupuesto y Hacienda Pública el 07 de diciembre del 2018. </w:t>
      </w:r>
    </w:p>
    <w:p w:rsidR="00470984" w:rsidRPr="00470984" w:rsidRDefault="00470984" w:rsidP="00470984">
      <w:pPr>
        <w:jc w:val="both"/>
        <w:rPr>
          <w:rFonts w:ascii="Arial Narrow" w:hAnsi="Arial Narrow" w:cs="Arial"/>
          <w:sz w:val="22"/>
          <w:szCs w:val="22"/>
        </w:rPr>
      </w:pPr>
    </w:p>
    <w:p w:rsidR="00470984" w:rsidRPr="00470984" w:rsidRDefault="00470984" w:rsidP="00470984">
      <w:pPr>
        <w:ind w:left="708"/>
        <w:jc w:val="both"/>
        <w:rPr>
          <w:rFonts w:ascii="Arial Narrow" w:hAnsi="Arial Narrow" w:cs="Arial"/>
          <w:sz w:val="22"/>
          <w:szCs w:val="22"/>
        </w:rPr>
      </w:pPr>
      <w:r w:rsidRPr="00470984">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AA7053" w:rsidRDefault="00AA7053" w:rsidP="001816CC">
      <w:pPr>
        <w:ind w:left="660"/>
        <w:jc w:val="both"/>
        <w:rPr>
          <w:rFonts w:ascii="Arial Narrow" w:hAnsi="Arial Narrow" w:cs="Arial"/>
          <w:sz w:val="22"/>
          <w:szCs w:val="22"/>
        </w:rPr>
      </w:pPr>
    </w:p>
    <w:p w:rsidR="00AA7053" w:rsidRDefault="00AA7053" w:rsidP="001816CC">
      <w:pPr>
        <w:ind w:left="660"/>
        <w:jc w:val="both"/>
        <w:rPr>
          <w:rFonts w:ascii="Arial Narrow" w:hAnsi="Arial Narrow"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77BDF" w:rsidRPr="009401E8" w:rsidRDefault="00FC215C" w:rsidP="009401E8">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FB6" w:rsidRDefault="00F54FB6">
      <w:r>
        <w:separator/>
      </w:r>
    </w:p>
  </w:endnote>
  <w:endnote w:type="continuationSeparator" w:id="1">
    <w:p w:rsidR="00F54FB6" w:rsidRDefault="00F54F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363F6E" w:rsidP="00996A4A">
    <w:pPr>
      <w:pStyle w:val="Piedepgina"/>
      <w:framePr w:wrap="around" w:vAnchor="text" w:hAnchor="margin" w:xAlign="right" w:y="1"/>
      <w:rPr>
        <w:rStyle w:val="Nmerodepgina"/>
      </w:rPr>
    </w:pPr>
    <w:r>
      <w:rPr>
        <w:rStyle w:val="Nmerodepgina"/>
      </w:rPr>
      <w:fldChar w:fldCharType="begin"/>
    </w:r>
    <w:r w:rsidR="00535AF5">
      <w:rPr>
        <w:rStyle w:val="Nmerodepgina"/>
      </w:rPr>
      <w:instrText xml:space="preserve">PAGE  </w:instrText>
    </w:r>
    <w:r>
      <w:rPr>
        <w:rStyle w:val="Nmerodepgina"/>
      </w:rPr>
      <w:fldChar w:fldCharType="end"/>
    </w:r>
  </w:p>
  <w:p w:rsidR="00535AF5" w:rsidRDefault="00535A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363F6E" w:rsidP="0077121F">
    <w:pPr>
      <w:pStyle w:val="Piedepgina"/>
    </w:pPr>
    <w:r w:rsidRPr="00363F6E">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35AF5" w:rsidRPr="00AB6508" w:rsidRDefault="00535AF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35AF5" w:rsidRPr="00BD19B1" w:rsidRDefault="00363F6E" w:rsidP="0077121F">
                  <w:pPr>
                    <w:autoSpaceDE w:val="0"/>
                    <w:autoSpaceDN w:val="0"/>
                    <w:adjustRightInd w:val="0"/>
                    <w:jc w:val="center"/>
                    <w:rPr>
                      <w:rFonts w:ascii="Arial" w:hAnsi="Arial" w:cs="Arial"/>
                      <w:color w:val="000000"/>
                      <w:sz w:val="13"/>
                      <w:szCs w:val="13"/>
                    </w:rPr>
                  </w:pPr>
                  <w:hyperlink r:id="rId1" w:history="1">
                    <w:r w:rsidR="00535AF5" w:rsidRPr="00BD19B1">
                      <w:rPr>
                        <w:rStyle w:val="Hipervnculo"/>
                        <w:rFonts w:ascii="Arial" w:hAnsi="Arial" w:cs="Arial"/>
                        <w:color w:val="000000"/>
                        <w:sz w:val="13"/>
                        <w:szCs w:val="13"/>
                      </w:rPr>
                      <w:t>www.congresochihuahua.gob.mx</w:t>
                    </w:r>
                  </w:hyperlink>
                </w:p>
                <w:p w:rsidR="00535AF5" w:rsidRPr="00BD19B1" w:rsidRDefault="00535AF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FB6" w:rsidRDefault="00F54FB6">
      <w:r>
        <w:separator/>
      </w:r>
    </w:p>
  </w:footnote>
  <w:footnote w:type="continuationSeparator" w:id="1">
    <w:p w:rsidR="00F54FB6" w:rsidRDefault="00F54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35AF5" w:rsidRPr="00D30BA7" w:rsidTr="00717963">
      <w:trPr>
        <w:trHeight w:val="964"/>
      </w:trPr>
      <w:tc>
        <w:tcPr>
          <w:tcW w:w="914" w:type="pct"/>
          <w:vMerge w:val="restart"/>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35AF5" w:rsidRPr="00D30BA7" w:rsidRDefault="00535AF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35AF5" w:rsidRPr="00D30BA7" w:rsidTr="00717963">
      <w:trPr>
        <w:trHeight w:val="424"/>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35AF5" w:rsidRPr="00D30BA7" w:rsidTr="00717963">
      <w:trPr>
        <w:trHeight w:val="193"/>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35AF5" w:rsidRPr="00D30BA7" w:rsidRDefault="00535AF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35AF5" w:rsidRPr="00D30BA7" w:rsidRDefault="00535AF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35AF5" w:rsidRPr="000D45AD" w:rsidRDefault="00535AF5" w:rsidP="00BC11A0">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363F6E"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363F6E" w:rsidRPr="00D30BA7">
            <w:rPr>
              <w:rFonts w:ascii="Arial Narrow" w:hAnsi="Arial Narrow"/>
              <w:sz w:val="16"/>
              <w:szCs w:val="16"/>
            </w:rPr>
            <w:fldChar w:fldCharType="separate"/>
          </w:r>
          <w:r w:rsidR="00742CF5">
            <w:rPr>
              <w:rFonts w:ascii="Arial Narrow" w:hAnsi="Arial Narrow"/>
              <w:noProof/>
              <w:sz w:val="16"/>
              <w:szCs w:val="16"/>
            </w:rPr>
            <w:t>1</w:t>
          </w:r>
          <w:r w:rsidR="00363F6E" w:rsidRPr="00D30BA7">
            <w:rPr>
              <w:rFonts w:ascii="Arial Narrow" w:hAnsi="Arial Narrow"/>
              <w:sz w:val="16"/>
              <w:szCs w:val="16"/>
            </w:rPr>
            <w:fldChar w:fldCharType="end"/>
          </w:r>
          <w:r w:rsidRPr="00D30BA7">
            <w:rPr>
              <w:rFonts w:ascii="Arial Narrow" w:hAnsi="Arial Narrow"/>
              <w:sz w:val="16"/>
              <w:szCs w:val="16"/>
            </w:rPr>
            <w:t xml:space="preserve"> de </w:t>
          </w:r>
          <w:r w:rsidR="00470984">
            <w:rPr>
              <w:rFonts w:ascii="Arial Narrow" w:hAnsi="Arial Narrow"/>
              <w:sz w:val="16"/>
              <w:szCs w:val="16"/>
            </w:rPr>
            <w:t>7</w:t>
          </w:r>
        </w:p>
      </w:tc>
    </w:tr>
    <w:tr w:rsidR="00535AF5" w:rsidRPr="00D30BA7" w:rsidTr="00717963">
      <w:trPr>
        <w:trHeight w:val="70"/>
      </w:trPr>
      <w:tc>
        <w:tcPr>
          <w:tcW w:w="914" w:type="pct"/>
          <w:vMerge/>
        </w:tcPr>
        <w:p w:rsidR="00535AF5" w:rsidRPr="00D30BA7" w:rsidRDefault="00535AF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35AF5" w:rsidRPr="00D30BA7" w:rsidRDefault="00535AF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35AF5" w:rsidRPr="00D30BA7" w:rsidRDefault="00535AF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35AF5" w:rsidRPr="005648EB" w:rsidRDefault="00535AF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35AF5" w:rsidRPr="00D30BA7" w:rsidRDefault="00535AF5" w:rsidP="00717963">
          <w:pPr>
            <w:pStyle w:val="Encabezado"/>
            <w:tabs>
              <w:tab w:val="left" w:pos="220"/>
              <w:tab w:val="left" w:pos="3105"/>
            </w:tabs>
            <w:ind w:left="-220" w:right="-212"/>
            <w:jc w:val="center"/>
            <w:rPr>
              <w:rFonts w:ascii="Arial Narrow" w:hAnsi="Arial Narrow" w:cs="Arial"/>
              <w:sz w:val="14"/>
              <w:szCs w:val="14"/>
            </w:rPr>
          </w:pPr>
        </w:p>
      </w:tc>
    </w:tr>
  </w:tbl>
  <w:p w:rsidR="00535AF5" w:rsidRDefault="00535AF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F5" w:rsidRDefault="00535A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2946E9F"/>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7CC2BCF"/>
    <w:multiLevelType w:val="hybridMultilevel"/>
    <w:tmpl w:val="9AECC2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nsid w:val="3F684C55"/>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F219AE"/>
    <w:multiLevelType w:val="hybridMultilevel"/>
    <w:tmpl w:val="A3BE4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097BBB"/>
    <w:multiLevelType w:val="hybridMultilevel"/>
    <w:tmpl w:val="3A180CCA"/>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4">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5E11D1B"/>
    <w:multiLevelType w:val="hybridMultilevel"/>
    <w:tmpl w:val="BA5831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9E471C9"/>
    <w:multiLevelType w:val="hybridMultilevel"/>
    <w:tmpl w:val="B15EF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3"/>
  </w:num>
  <w:num w:numId="2">
    <w:abstractNumId w:val="22"/>
  </w:num>
  <w:num w:numId="3">
    <w:abstractNumId w:val="1"/>
  </w:num>
  <w:num w:numId="4">
    <w:abstractNumId w:val="0"/>
  </w:num>
  <w:num w:numId="5">
    <w:abstractNumId w:val="23"/>
  </w:num>
  <w:num w:numId="6">
    <w:abstractNumId w:val="12"/>
  </w:num>
  <w:num w:numId="7">
    <w:abstractNumId w:val="8"/>
  </w:num>
  <w:num w:numId="8">
    <w:abstractNumId w:val="6"/>
  </w:num>
  <w:num w:numId="9">
    <w:abstractNumId w:val="28"/>
  </w:num>
  <w:num w:numId="10">
    <w:abstractNumId w:val="15"/>
  </w:num>
  <w:num w:numId="11">
    <w:abstractNumId w:val="27"/>
  </w:num>
  <w:num w:numId="12">
    <w:abstractNumId w:val="4"/>
  </w:num>
  <w:num w:numId="13">
    <w:abstractNumId w:val="17"/>
  </w:num>
  <w:num w:numId="14">
    <w:abstractNumId w:val="24"/>
  </w:num>
  <w:num w:numId="15">
    <w:abstractNumId w:val="10"/>
  </w:num>
  <w:num w:numId="16">
    <w:abstractNumId w:val="11"/>
  </w:num>
  <w:num w:numId="17">
    <w:abstractNumId w:val="9"/>
  </w:num>
  <w:num w:numId="18">
    <w:abstractNumId w:val="21"/>
  </w:num>
  <w:num w:numId="19">
    <w:abstractNumId w:val="3"/>
  </w:num>
  <w:num w:numId="20">
    <w:abstractNumId w:val="1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6"/>
  </w:num>
  <w:num w:numId="24">
    <w:abstractNumId w:val="7"/>
  </w:num>
  <w:num w:numId="25">
    <w:abstractNumId w:val="19"/>
  </w:num>
  <w:num w:numId="26">
    <w:abstractNumId w:val="5"/>
  </w:num>
  <w:num w:numId="27">
    <w:abstractNumId w:val="20"/>
  </w:num>
  <w:num w:numId="28">
    <w:abstractNumId w:val="18"/>
  </w:num>
  <w:num w:numId="29">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638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1F0"/>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1C14"/>
    <w:rsid w:val="00072808"/>
    <w:rsid w:val="00072FA3"/>
    <w:rsid w:val="00074432"/>
    <w:rsid w:val="00074DF9"/>
    <w:rsid w:val="00074F0D"/>
    <w:rsid w:val="000753F4"/>
    <w:rsid w:val="000756A3"/>
    <w:rsid w:val="000766EE"/>
    <w:rsid w:val="000777F5"/>
    <w:rsid w:val="00077BDF"/>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6BA3"/>
    <w:rsid w:val="000D70D3"/>
    <w:rsid w:val="000D7C6C"/>
    <w:rsid w:val="000E0258"/>
    <w:rsid w:val="000E0431"/>
    <w:rsid w:val="000E0482"/>
    <w:rsid w:val="000E1208"/>
    <w:rsid w:val="000E1BD4"/>
    <w:rsid w:val="000E219D"/>
    <w:rsid w:val="000E3F86"/>
    <w:rsid w:val="000E449E"/>
    <w:rsid w:val="000E463E"/>
    <w:rsid w:val="000E4C6C"/>
    <w:rsid w:val="000E5579"/>
    <w:rsid w:val="000E55B4"/>
    <w:rsid w:val="000E5B55"/>
    <w:rsid w:val="000E6E85"/>
    <w:rsid w:val="000E70B1"/>
    <w:rsid w:val="000E749A"/>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5C92"/>
    <w:rsid w:val="001467DD"/>
    <w:rsid w:val="00147BA5"/>
    <w:rsid w:val="00147EEA"/>
    <w:rsid w:val="0015013B"/>
    <w:rsid w:val="001502DD"/>
    <w:rsid w:val="001507AE"/>
    <w:rsid w:val="00150CB0"/>
    <w:rsid w:val="00151C74"/>
    <w:rsid w:val="00152F2E"/>
    <w:rsid w:val="00155987"/>
    <w:rsid w:val="00156198"/>
    <w:rsid w:val="00156E69"/>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6CC"/>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6DD9"/>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29B6"/>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1EDB"/>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3F6E"/>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5EC"/>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5D2A"/>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3F6A87"/>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19"/>
    <w:rsid w:val="00433892"/>
    <w:rsid w:val="00434050"/>
    <w:rsid w:val="00434503"/>
    <w:rsid w:val="00434A01"/>
    <w:rsid w:val="0043561E"/>
    <w:rsid w:val="004359C7"/>
    <w:rsid w:val="0043643A"/>
    <w:rsid w:val="00436558"/>
    <w:rsid w:val="00436EA7"/>
    <w:rsid w:val="00436F11"/>
    <w:rsid w:val="0043770A"/>
    <w:rsid w:val="00437A64"/>
    <w:rsid w:val="004416D9"/>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0984"/>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55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592A"/>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4D93"/>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63F"/>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27A26"/>
    <w:rsid w:val="00530178"/>
    <w:rsid w:val="00530388"/>
    <w:rsid w:val="00530467"/>
    <w:rsid w:val="005308B4"/>
    <w:rsid w:val="00531283"/>
    <w:rsid w:val="00531D2F"/>
    <w:rsid w:val="005326AF"/>
    <w:rsid w:val="005329CB"/>
    <w:rsid w:val="00532C8B"/>
    <w:rsid w:val="005334BF"/>
    <w:rsid w:val="0053467A"/>
    <w:rsid w:val="005351A8"/>
    <w:rsid w:val="005352A1"/>
    <w:rsid w:val="00535394"/>
    <w:rsid w:val="00535AF5"/>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321"/>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4BFC"/>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118"/>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7A2"/>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2CF5"/>
    <w:rsid w:val="007439EB"/>
    <w:rsid w:val="00744526"/>
    <w:rsid w:val="00744A8E"/>
    <w:rsid w:val="00745DBA"/>
    <w:rsid w:val="0074632E"/>
    <w:rsid w:val="00746E34"/>
    <w:rsid w:val="007515EC"/>
    <w:rsid w:val="00752196"/>
    <w:rsid w:val="007536A6"/>
    <w:rsid w:val="00755DC0"/>
    <w:rsid w:val="007563F3"/>
    <w:rsid w:val="00757569"/>
    <w:rsid w:val="00757767"/>
    <w:rsid w:val="007603AE"/>
    <w:rsid w:val="0076052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2FF4"/>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1B65"/>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5677"/>
    <w:rsid w:val="007D65F9"/>
    <w:rsid w:val="007D688A"/>
    <w:rsid w:val="007D6974"/>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AF7"/>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1E8"/>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01B3"/>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BB0"/>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3F"/>
    <w:rsid w:val="00A26DCB"/>
    <w:rsid w:val="00A277C2"/>
    <w:rsid w:val="00A27D02"/>
    <w:rsid w:val="00A30A62"/>
    <w:rsid w:val="00A30CD9"/>
    <w:rsid w:val="00A30ECA"/>
    <w:rsid w:val="00A30EF7"/>
    <w:rsid w:val="00A3100E"/>
    <w:rsid w:val="00A31987"/>
    <w:rsid w:val="00A32658"/>
    <w:rsid w:val="00A32748"/>
    <w:rsid w:val="00A3275F"/>
    <w:rsid w:val="00A3409B"/>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409"/>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B84"/>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A7053"/>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15A"/>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5DFE"/>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11A0"/>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0DBF"/>
    <w:rsid w:val="00C01C21"/>
    <w:rsid w:val="00C0314A"/>
    <w:rsid w:val="00C03B8E"/>
    <w:rsid w:val="00C04788"/>
    <w:rsid w:val="00C050A2"/>
    <w:rsid w:val="00C051F1"/>
    <w:rsid w:val="00C0535A"/>
    <w:rsid w:val="00C07D45"/>
    <w:rsid w:val="00C10891"/>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66"/>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4F40"/>
    <w:rsid w:val="00C65464"/>
    <w:rsid w:val="00C65F0F"/>
    <w:rsid w:val="00C65F72"/>
    <w:rsid w:val="00C66A44"/>
    <w:rsid w:val="00C7051F"/>
    <w:rsid w:val="00C70C90"/>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3C14"/>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349"/>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3070"/>
    <w:rsid w:val="00D430A6"/>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27CF"/>
    <w:rsid w:val="00D74C3A"/>
    <w:rsid w:val="00D76B16"/>
    <w:rsid w:val="00D811C3"/>
    <w:rsid w:val="00D81B8A"/>
    <w:rsid w:val="00D821D6"/>
    <w:rsid w:val="00D82B65"/>
    <w:rsid w:val="00D82CDB"/>
    <w:rsid w:val="00D82DCD"/>
    <w:rsid w:val="00D84A55"/>
    <w:rsid w:val="00D852E2"/>
    <w:rsid w:val="00D85E18"/>
    <w:rsid w:val="00D86212"/>
    <w:rsid w:val="00D87014"/>
    <w:rsid w:val="00D87FD1"/>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002"/>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37CA2"/>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2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D9B"/>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4E5"/>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5AC0"/>
    <w:rsid w:val="00F060D3"/>
    <w:rsid w:val="00F06909"/>
    <w:rsid w:val="00F070C3"/>
    <w:rsid w:val="00F0722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B3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0ED8"/>
    <w:rsid w:val="00F522C1"/>
    <w:rsid w:val="00F536E2"/>
    <w:rsid w:val="00F54FB6"/>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2681</Words>
  <Characters>14747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17394</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2018-10-29T16:48:00Z</cp:lastPrinted>
  <dcterms:created xsi:type="dcterms:W3CDTF">2019-02-11T20:59:00Z</dcterms:created>
  <dcterms:modified xsi:type="dcterms:W3CDTF">2019-02-11T20:59:00Z</dcterms:modified>
</cp:coreProperties>
</file>