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6D103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01051</w:t>
            </w:r>
            <w:r w:rsidR="007B1B6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E57426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F31B3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</w:t>
            </w:r>
            <w:r w:rsidR="00E5742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44DB7">
        <w:rPr>
          <w:rFonts w:ascii="Arial Narrow" w:hAnsi="Arial Narrow"/>
          <w:b/>
          <w:bCs/>
          <w:sz w:val="22"/>
          <w:szCs w:val="22"/>
        </w:rPr>
        <w:t>05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8B5AF7">
        <w:rPr>
          <w:rFonts w:ascii="Arial Narrow" w:hAnsi="Arial Narrow"/>
          <w:b/>
          <w:bCs/>
          <w:sz w:val="22"/>
          <w:szCs w:val="22"/>
        </w:rPr>
        <w:t>febrero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8B5AF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Josue Diaz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6D103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01051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5742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enero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8B5AF7" w:rsidRPr="008B5AF7" w:rsidRDefault="00966327" w:rsidP="008B5AF7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E15A64">
        <w:rPr>
          <w:rFonts w:ascii="Arial Narrow" w:hAnsi="Arial Narrow"/>
          <w:color w:val="000000"/>
        </w:rPr>
        <w:t>“</w:t>
      </w:r>
      <w:r w:rsidR="008B5AF7" w:rsidRPr="008B5AF7">
        <w:rPr>
          <w:rFonts w:ascii="Arial Narrow" w:hAnsi="Arial Narrow"/>
          <w:color w:val="000000"/>
        </w:rPr>
        <w:t xml:space="preserve">Necesito todas las reformas, adiciones y/o modificaciones a la constitución de 1857, desde su creación hasta 1897. 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-Legislatura de elaboración.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-Autor de la iniciativa de ley modificada, adicionada o derogada.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-Nombre completo.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-Estado de procedencia.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 xml:space="preserve">   -De existir reseña del legislador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-Texto normativo propuesto.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-Artículos transitorios.</w:t>
      </w:r>
    </w:p>
    <w:p w:rsidR="008B5AF7" w:rsidRPr="008B5AF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t>-Articulo Original.</w:t>
      </w:r>
    </w:p>
    <w:p w:rsidR="00EC3977" w:rsidRDefault="008B5AF7" w:rsidP="008B5AF7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8B5AF7">
        <w:rPr>
          <w:rFonts w:ascii="Arial Narrow" w:hAnsi="Arial Narrow"/>
          <w:color w:val="000000"/>
        </w:rPr>
        <w:lastRenderedPageBreak/>
        <w:t>Muy en especial una adición elaborada el 1 de mayo de 1896 en el articulo 111 en sus fracciones V, VI Y VII de la constitución de 1857</w:t>
      </w:r>
      <w:r w:rsidR="00E15A64" w:rsidRPr="00BC11A0">
        <w:rPr>
          <w:rFonts w:ascii="Arial Narrow" w:hAnsi="Arial Narrow"/>
          <w:color w:val="000000"/>
        </w:rPr>
        <w:t>”</w:t>
      </w:r>
    </w:p>
    <w:p w:rsidR="00BC11A0" w:rsidRPr="00BC11A0" w:rsidRDefault="00BC11A0" w:rsidP="00BC11A0">
      <w:pPr>
        <w:ind w:left="1416"/>
        <w:rPr>
          <w:rFonts w:ascii="Arial Narrow" w:hAnsi="Arial Narrow"/>
          <w:sz w:val="22"/>
          <w:szCs w:val="22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>E</w:t>
      </w:r>
      <w:r w:rsidR="00CD5527">
        <w:rPr>
          <w:rFonts w:ascii="Arial Narrow" w:hAnsi="Arial Narrow" w:cs="Arial"/>
          <w:sz w:val="22"/>
          <w:szCs w:val="22"/>
        </w:rPr>
        <w:t>n atención al oficio UT-LXVI/032</w:t>
      </w:r>
      <w:r w:rsidRPr="00717F1C">
        <w:rPr>
          <w:rFonts w:ascii="Arial Narrow" w:hAnsi="Arial Narrow" w:cs="Arial"/>
          <w:sz w:val="22"/>
          <w:szCs w:val="22"/>
        </w:rPr>
        <w:t>/19, relativo al requerimiento de datos que obran en poder de esta Secretaría, necesarios para emitir respuesta a las solicitudes de información con folios No. 010502019 y 010512019, me permito comentarle que:</w:t>
      </w: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>La Constitución Política del Estado de Chihuahua más cercana a la fecha a que hace referencia en su solicitud corresponde a la aprobada el 19 de abril de 1858 y publicada el 31 mayo del mismo año; se integra por 110 artículos, incluidos sus transitorios. Dicho cuerpo normativo puede ser consultado en este enlace:</w:t>
      </w:r>
    </w:p>
    <w:p w:rsidR="006D1032" w:rsidRPr="00717F1C" w:rsidRDefault="006D1032" w:rsidP="006D1032">
      <w:pPr>
        <w:ind w:left="708"/>
        <w:jc w:val="both"/>
        <w:rPr>
          <w:rFonts w:ascii="Arial Narrow" w:hAnsi="Arial Narrow" w:cstheme="minorHAnsi"/>
          <w:sz w:val="22"/>
          <w:szCs w:val="22"/>
        </w:rPr>
      </w:pPr>
    </w:p>
    <w:p w:rsidR="006D1032" w:rsidRPr="00717F1C" w:rsidRDefault="00AF440C" w:rsidP="006D1032">
      <w:pPr>
        <w:pStyle w:val="Ttulo6"/>
        <w:numPr>
          <w:ilvl w:val="0"/>
          <w:numId w:val="0"/>
        </w:numPr>
        <w:ind w:left="1248"/>
        <w:rPr>
          <w:rFonts w:ascii="Arial Narrow" w:hAnsi="Arial Narrow" w:cs="Lucida Sans Unicode"/>
          <w:color w:val="666666"/>
          <w:szCs w:val="22"/>
        </w:rPr>
      </w:pPr>
      <w:hyperlink r:id="rId7" w:history="1">
        <w:r w:rsidR="006D1032" w:rsidRPr="00717F1C">
          <w:rPr>
            <w:rStyle w:val="Hipervnculo"/>
            <w:rFonts w:ascii="Arial Narrow" w:hAnsi="Arial Narrow" w:cstheme="minorHAnsi"/>
            <w:szCs w:val="22"/>
          </w:rPr>
          <w:t>http://www.congresochihuahua2.gob.mx/descargas/procesoLegislativo/proceso2/7235.PDF</w:t>
        </w:r>
      </w:hyperlink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 xml:space="preserve">Derivado de lo anterior y de la lectura del contenido de su solicitud, se colige que la persona solicitante requiere información sobre la Constitución Federal de 1857. En ese sentido, será necesario dirija nueva solicitud de acceso a la información al Congreso de la Unión. </w:t>
      </w: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6D1032" w:rsidRPr="00717F1C" w:rsidRDefault="006D1032" w:rsidP="006D1032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717F1C">
        <w:rPr>
          <w:rFonts w:ascii="Arial Narrow" w:hAnsi="Arial Narrow" w:cs="Arial"/>
          <w:sz w:val="22"/>
          <w:szCs w:val="22"/>
        </w:rPr>
        <w:t xml:space="preserve">Finalmente, en caso de que la respuesta otorgada no satisfaga la pretensión de la persona solicitante, podrá interponer recurso de revisión ante el Instituto Chihuahuense para la Transparencia y Acceso a la </w:t>
      </w:r>
      <w:r w:rsidRPr="00717F1C">
        <w:rPr>
          <w:rFonts w:ascii="Arial Narrow" w:hAnsi="Arial Narrow" w:cs="Arial"/>
          <w:sz w:val="22"/>
          <w:szCs w:val="22"/>
        </w:rPr>
        <w:lastRenderedPageBreak/>
        <w:t>Información Pública o ante la Unidad de Transparencia de este Sujeto Obligado, dentro de los quince días hábiles siguientes a la fecha de su notificación.</w:t>
      </w:r>
    </w:p>
    <w:p w:rsidR="00071C14" w:rsidRPr="00B8715A" w:rsidRDefault="00071C14" w:rsidP="00B8715A">
      <w:pPr>
        <w:ind w:left="1368"/>
        <w:jc w:val="both"/>
        <w:rPr>
          <w:rFonts w:ascii="Arial Narrow" w:hAnsi="Arial Narrow" w:cs="Arial"/>
          <w:sz w:val="22"/>
          <w:szCs w:val="22"/>
        </w:rPr>
      </w:pPr>
    </w:p>
    <w:p w:rsidR="00535AF5" w:rsidRDefault="00535AF5" w:rsidP="001816CC">
      <w:pPr>
        <w:ind w:left="6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A6" w:rsidRDefault="003D6AA6">
      <w:r>
        <w:separator/>
      </w:r>
    </w:p>
  </w:endnote>
  <w:endnote w:type="continuationSeparator" w:id="1">
    <w:p w:rsidR="003D6AA6" w:rsidRDefault="003D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AF440C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AF5" w:rsidRDefault="00535A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AF440C" w:rsidP="0077121F">
    <w:pPr>
      <w:pStyle w:val="Piedepgina"/>
    </w:pPr>
    <w:r w:rsidRPr="00AF440C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535AF5" w:rsidRPr="00AB6508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535AF5" w:rsidRPr="00BD19B1" w:rsidRDefault="00AF440C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535AF5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535AF5" w:rsidRPr="00BD19B1" w:rsidRDefault="00535AF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A6" w:rsidRDefault="003D6AA6">
      <w:r>
        <w:separator/>
      </w:r>
    </w:p>
  </w:footnote>
  <w:footnote w:type="continuationSeparator" w:id="1">
    <w:p w:rsidR="003D6AA6" w:rsidRDefault="003D6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535AF5" w:rsidRPr="00D30BA7" w:rsidTr="00717963">
      <w:trPr>
        <w:trHeight w:val="964"/>
      </w:trPr>
      <w:tc>
        <w:tcPr>
          <w:tcW w:w="914" w:type="pct"/>
          <w:vMerge w:val="restart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535AF5" w:rsidRPr="00D30BA7" w:rsidTr="00717963">
      <w:trPr>
        <w:trHeight w:val="424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535AF5" w:rsidRPr="00D30BA7" w:rsidTr="00717963">
      <w:trPr>
        <w:trHeight w:val="193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535AF5" w:rsidRPr="00D30BA7" w:rsidRDefault="00535AF5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535AF5" w:rsidRPr="000D45AD" w:rsidRDefault="00535AF5" w:rsidP="00BC11A0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F440C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AF440C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D5527">
            <w:rPr>
              <w:rFonts w:ascii="Arial Narrow" w:hAnsi="Arial Narrow"/>
              <w:noProof/>
              <w:sz w:val="16"/>
              <w:szCs w:val="16"/>
            </w:rPr>
            <w:t>2</w:t>
          </w:r>
          <w:r w:rsidR="00AF440C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E57426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535AF5" w:rsidRPr="00D30BA7" w:rsidTr="00717963">
      <w:trPr>
        <w:trHeight w:val="70"/>
      </w:trPr>
      <w:tc>
        <w:tcPr>
          <w:tcW w:w="914" w:type="pct"/>
          <w:vMerge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535AF5" w:rsidRPr="00D30BA7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535AF5" w:rsidRPr="005648EB" w:rsidRDefault="00535AF5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535AF5" w:rsidRPr="00D30BA7" w:rsidRDefault="00535AF5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535AF5" w:rsidRDefault="00535AF5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F5" w:rsidRDefault="00535A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CC2BCF"/>
    <w:multiLevelType w:val="hybridMultilevel"/>
    <w:tmpl w:val="9AECC2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F219AE"/>
    <w:multiLevelType w:val="hybridMultilevel"/>
    <w:tmpl w:val="A3BE49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7"/>
  </w:num>
  <w:num w:numId="8">
    <w:abstractNumId w:val="5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9"/>
  </w:num>
  <w:num w:numId="16">
    <w:abstractNumId w:val="10"/>
  </w:num>
  <w:num w:numId="17">
    <w:abstractNumId w:val="8"/>
  </w:num>
  <w:num w:numId="18">
    <w:abstractNumId w:val="18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6"/>
  </w:num>
  <w:num w:numId="25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1C14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6BA3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49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26D5A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6CC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29B6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6AA6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592A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4D93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27A26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35AF5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118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032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7A2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1B65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88A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44F"/>
    <w:rsid w:val="008B1859"/>
    <w:rsid w:val="008B1B6A"/>
    <w:rsid w:val="008B3044"/>
    <w:rsid w:val="008B3FF6"/>
    <w:rsid w:val="008B476F"/>
    <w:rsid w:val="008B5AF7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B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40C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4DB7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15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5DFE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11A0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891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4F40"/>
    <w:rsid w:val="00C65464"/>
    <w:rsid w:val="00C65F0F"/>
    <w:rsid w:val="00C65F72"/>
    <w:rsid w:val="00C66A44"/>
    <w:rsid w:val="00C7051F"/>
    <w:rsid w:val="00C70C90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5527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30A6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CDB"/>
    <w:rsid w:val="00D82DCD"/>
    <w:rsid w:val="00D84A55"/>
    <w:rsid w:val="00D852E2"/>
    <w:rsid w:val="00D85E18"/>
    <w:rsid w:val="00D86212"/>
    <w:rsid w:val="00D87014"/>
    <w:rsid w:val="00D87FD1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2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22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B3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6D1032"/>
    <w:rPr>
      <w:sz w:val="22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2.gob.mx/descargas/procesoLegislativo/proceso2/7235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7584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2019-02-05T20:16:00Z</dcterms:created>
  <dcterms:modified xsi:type="dcterms:W3CDTF">2019-02-05T20:22:00Z</dcterms:modified>
</cp:coreProperties>
</file>