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1B6DD9">
              <w:rPr>
                <w:rFonts w:ascii="Arial Narrow" w:eastAsia="Calibri" w:hAnsi="Arial Narrow"/>
                <w:color w:val="000000"/>
                <w:sz w:val="16"/>
                <w:szCs w:val="16"/>
                <w:lang w:eastAsia="en-US"/>
              </w:rPr>
              <w:t>00</w:t>
            </w:r>
            <w:r w:rsidR="00F31B34">
              <w:rPr>
                <w:rFonts w:ascii="Arial Narrow" w:eastAsia="Calibri" w:hAnsi="Arial Narrow"/>
                <w:color w:val="000000"/>
                <w:sz w:val="16"/>
                <w:szCs w:val="16"/>
                <w:lang w:eastAsia="en-US"/>
              </w:rPr>
              <w:t>834</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F31B34">
              <w:rPr>
                <w:rFonts w:ascii="Arial Narrow" w:eastAsia="Calibri" w:hAnsi="Arial Narrow"/>
                <w:color w:val="000000"/>
                <w:sz w:val="16"/>
                <w:szCs w:val="16"/>
                <w:lang w:val="es-MX" w:eastAsia="en-US"/>
              </w:rPr>
              <w:t>21</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4C770D">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A52409">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A95B84">
        <w:rPr>
          <w:rFonts w:ascii="Arial Narrow" w:eastAsia="Calibri" w:hAnsi="Arial Narrow"/>
          <w:b/>
          <w:color w:val="000000"/>
          <w:sz w:val="22"/>
          <w:szCs w:val="22"/>
          <w:lang w:val="es-MX" w:eastAsia="en-US"/>
        </w:rPr>
        <w:t>YACKO ABDEL CARRILLO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1B6DD9">
        <w:rPr>
          <w:rFonts w:ascii="Arial Narrow" w:eastAsia="Calibri" w:hAnsi="Arial Narrow"/>
          <w:color w:val="000000"/>
          <w:sz w:val="22"/>
          <w:szCs w:val="22"/>
          <w:lang w:val="es-MX" w:eastAsia="en-US"/>
        </w:rPr>
        <w:t>00</w:t>
      </w:r>
      <w:r w:rsidR="00F31B34">
        <w:rPr>
          <w:rFonts w:ascii="Arial Narrow" w:eastAsia="Calibri" w:hAnsi="Arial Narrow"/>
          <w:color w:val="000000"/>
          <w:sz w:val="22"/>
          <w:szCs w:val="22"/>
          <w:lang w:val="es-MX" w:eastAsia="en-US"/>
        </w:rPr>
        <w:t>834</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BC11A0">
        <w:rPr>
          <w:rFonts w:ascii="Arial Narrow" w:eastAsia="Calibri" w:hAnsi="Arial Narrow"/>
          <w:color w:val="000000"/>
          <w:sz w:val="22"/>
          <w:szCs w:val="22"/>
          <w:lang w:val="es-ES_tradnl" w:eastAsia="en-US"/>
        </w:rPr>
        <w:t>21</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BC11A0" w:rsidRDefault="00966327" w:rsidP="00B8715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BC11A0" w:rsidRPr="00BC11A0">
        <w:rPr>
          <w:rFonts w:ascii="Arial Narrow" w:hAnsi="Arial Narrow"/>
          <w:color w:val="000000"/>
        </w:rPr>
        <w:t>¿Cual es el ingreso estimado por concepto de derechos por Prestación de Servicios, de la Dirección del registro Público de la Propiedad y del Notariado para el Ejercicio Fiscal 2018?, entre otras preguntas que se anexan por medio de archivo adjunto.</w:t>
      </w:r>
    </w:p>
    <w:p w:rsidR="004C770D" w:rsidRDefault="00BC11A0" w:rsidP="00BC11A0">
      <w:pPr>
        <w:ind w:left="1416"/>
        <w:rPr>
          <w:rFonts w:ascii="Arial Narrow" w:hAnsi="Arial Narrow" w:cs="Arial"/>
          <w:color w:val="222222"/>
          <w:sz w:val="22"/>
          <w:szCs w:val="22"/>
        </w:rPr>
      </w:pPr>
      <w:r w:rsidRPr="00BC11A0">
        <w:rPr>
          <w:rFonts w:ascii="Arial Narrow" w:hAnsi="Arial Narrow" w:cs="Arial"/>
          <w:color w:val="222222"/>
          <w:sz w:val="22"/>
          <w:szCs w:val="22"/>
          <w:shd w:val="clear" w:color="auto" w:fill="FFFFFF"/>
        </w:rPr>
        <w:t>1. ¿Cuál fue el análisis y discusión de la Comisión de Programación, Presupuesto y Hacienda Pública del H. Congreso del Estado de Chihuahua encargada de dictaminar la Ley de Ingresos del Estado de Chihuahua para el ejercicio fiscal 2018, para calcular el cobro de la cuota de $15,000.00 Pesos, a que se refieren los numerales 12 al 17 del apartado IV de la Tarifa Anexa de la Ley en mención por los servicios prestados por la Dirección del Registro de la Propiedad y del Notariado del Estado de Chihuahua? </w:t>
      </w:r>
      <w:r w:rsidRPr="00BC11A0">
        <w:rPr>
          <w:rFonts w:ascii="Arial Narrow" w:hAnsi="Arial Narrow" w:cs="Arial"/>
          <w:color w:val="222222"/>
          <w:sz w:val="22"/>
          <w:szCs w:val="22"/>
        </w:rPr>
        <w:br/>
      </w:r>
    </w:p>
    <w:p w:rsidR="00EC3977" w:rsidRDefault="00BC11A0" w:rsidP="00BC11A0">
      <w:pPr>
        <w:ind w:left="1416"/>
        <w:rPr>
          <w:rFonts w:ascii="Arial Narrow" w:hAnsi="Arial Narrow"/>
          <w:color w:val="000000"/>
        </w:rPr>
      </w:pPr>
      <w:r w:rsidRPr="00BC11A0">
        <w:rPr>
          <w:rFonts w:ascii="Arial Narrow" w:hAnsi="Arial Narrow" w:cs="Arial"/>
          <w:color w:val="222222"/>
          <w:sz w:val="22"/>
          <w:szCs w:val="22"/>
        </w:rPr>
        <w:lastRenderedPageBreak/>
        <w:br/>
      </w:r>
      <w:r w:rsidRPr="00BC11A0">
        <w:rPr>
          <w:rFonts w:ascii="Arial Narrow" w:hAnsi="Arial Narrow" w:cs="Arial"/>
          <w:color w:val="222222"/>
          <w:sz w:val="22"/>
          <w:szCs w:val="22"/>
          <w:shd w:val="clear" w:color="auto" w:fill="FFFFFF"/>
        </w:rPr>
        <w:t>2. ¿Cuál fue la exposición de motivos que fundamenta la Ley de ingresos del Estado de Chihuahua para el ejercicio fiscal 2018, en particular respecto a los numerales 12 al 17 del apartado IV de la Tarifa Anexa de la Ley en mención por los servicios prestados por la Dirección del Registro de la Propiedad y del Notariado del Estado de Chihuahua para determinar el cobro de la cuota de $15,000.00 pesos? </w:t>
      </w:r>
      <w:r w:rsidRPr="00BC11A0">
        <w:rPr>
          <w:rFonts w:ascii="Arial Narrow" w:hAnsi="Arial Narrow" w:cs="Arial"/>
          <w:color w:val="222222"/>
          <w:sz w:val="22"/>
          <w:szCs w:val="22"/>
        </w:rPr>
        <w:br/>
      </w:r>
      <w:r w:rsidRPr="00BC11A0">
        <w:rPr>
          <w:rFonts w:ascii="Arial Narrow" w:hAnsi="Arial Narrow" w:cs="Arial"/>
          <w:color w:val="222222"/>
          <w:sz w:val="22"/>
          <w:szCs w:val="22"/>
        </w:rPr>
        <w:br/>
      </w:r>
      <w:r w:rsidRPr="00BC11A0">
        <w:rPr>
          <w:rFonts w:ascii="Arial Narrow" w:hAnsi="Arial Narrow" w:cs="Arial"/>
          <w:color w:val="222222"/>
          <w:sz w:val="22"/>
          <w:szCs w:val="22"/>
          <w:shd w:val="clear" w:color="auto" w:fill="FFFFFF"/>
        </w:rPr>
        <w:t>3. ¿Cuál fue la discusión y votación en el Pleno del H. Congreso del Estado de la Ley de Ingresos del Estado de Chihuahua para el ejercicio fiscal 2018, en panicular respecto a los numerales 12 al 17 de la Tarifa Anexa de la Ley en mención por los servicios prestados por la Dirección del Registro de la Propiedad y del Notariado del Estado de Chihuahua para determinar el cobro de la cuota de $15,000.00 pesos? </w:t>
      </w:r>
      <w:r w:rsidRPr="00BC11A0">
        <w:rPr>
          <w:rFonts w:ascii="Arial Narrow" w:hAnsi="Arial Narrow" w:cs="Arial"/>
          <w:color w:val="222222"/>
          <w:sz w:val="22"/>
          <w:szCs w:val="22"/>
        </w:rPr>
        <w:br/>
      </w:r>
      <w:r w:rsidRPr="00BC11A0">
        <w:rPr>
          <w:rFonts w:ascii="Arial Narrow" w:hAnsi="Arial Narrow" w:cs="Arial"/>
          <w:color w:val="222222"/>
          <w:sz w:val="22"/>
          <w:szCs w:val="22"/>
        </w:rPr>
        <w:br/>
      </w:r>
      <w:r w:rsidRPr="00BC11A0">
        <w:rPr>
          <w:rFonts w:ascii="Arial Narrow" w:hAnsi="Arial Narrow" w:cs="Arial"/>
          <w:color w:val="222222"/>
          <w:sz w:val="22"/>
          <w:szCs w:val="22"/>
          <w:shd w:val="clear" w:color="auto" w:fill="FFFFFF"/>
        </w:rPr>
        <w:t>4. ¿Cuál es el ingreso estimado según la Ley de lngresos del Estado de Chihuahua para el ejercicio fiscal del año 2018 por los servicios prestados por la Dirección del Registro de la Propiedad y del Notariado del Estado de Chihuahua? </w:t>
      </w:r>
      <w:r w:rsidRPr="00BC11A0">
        <w:rPr>
          <w:rFonts w:ascii="Arial Narrow" w:hAnsi="Arial Narrow" w:cs="Arial"/>
          <w:color w:val="222222"/>
          <w:sz w:val="22"/>
          <w:szCs w:val="22"/>
        </w:rPr>
        <w:br/>
      </w:r>
      <w:r w:rsidRPr="00BC11A0">
        <w:rPr>
          <w:rFonts w:ascii="Arial Narrow" w:hAnsi="Arial Narrow" w:cs="Arial"/>
          <w:color w:val="222222"/>
          <w:sz w:val="22"/>
          <w:szCs w:val="22"/>
        </w:rPr>
        <w:br/>
      </w:r>
      <w:r w:rsidRPr="00BC11A0">
        <w:rPr>
          <w:rFonts w:ascii="Arial Narrow" w:hAnsi="Arial Narrow" w:cs="Arial"/>
          <w:color w:val="222222"/>
          <w:sz w:val="22"/>
          <w:szCs w:val="22"/>
          <w:shd w:val="clear" w:color="auto" w:fill="FFFFFF"/>
        </w:rPr>
        <w:t>5. ¿Cuál es el presupuesto de egresos autorizado para la Dirección del Registro de la Propiedad y del Notariado del Estado de Chihuahua para el ejercicio fiscal del año 2018? </w:t>
      </w:r>
      <w:r w:rsidRPr="00BC11A0">
        <w:rPr>
          <w:rFonts w:ascii="Arial Narrow" w:hAnsi="Arial Narrow" w:cs="Arial"/>
          <w:color w:val="222222"/>
          <w:sz w:val="22"/>
          <w:szCs w:val="22"/>
        </w:rPr>
        <w:br/>
      </w:r>
      <w:r w:rsidRPr="00BC11A0">
        <w:rPr>
          <w:rFonts w:ascii="Arial Narrow" w:hAnsi="Arial Narrow" w:cs="Arial"/>
          <w:color w:val="222222"/>
          <w:sz w:val="22"/>
          <w:szCs w:val="22"/>
        </w:rPr>
        <w:br/>
      </w:r>
      <w:r w:rsidRPr="00BC11A0">
        <w:rPr>
          <w:rFonts w:ascii="Arial Narrow" w:hAnsi="Arial Narrow" w:cs="Arial"/>
          <w:color w:val="222222"/>
          <w:sz w:val="22"/>
          <w:szCs w:val="22"/>
          <w:shd w:val="clear" w:color="auto" w:fill="FFFFFF"/>
        </w:rPr>
        <w:t>6.Solicito los siguientes documentos públicos: </w:t>
      </w:r>
      <w:r w:rsidRPr="00BC11A0">
        <w:rPr>
          <w:rFonts w:ascii="Arial Narrow" w:hAnsi="Arial Narrow" w:cs="Arial"/>
          <w:color w:val="222222"/>
          <w:sz w:val="22"/>
          <w:szCs w:val="22"/>
        </w:rPr>
        <w:br/>
      </w:r>
      <w:r w:rsidRPr="00BC11A0">
        <w:rPr>
          <w:rFonts w:ascii="Arial Narrow" w:hAnsi="Arial Narrow" w:cs="Arial"/>
          <w:color w:val="222222"/>
          <w:sz w:val="22"/>
          <w:szCs w:val="22"/>
        </w:rPr>
        <w:br/>
      </w:r>
      <w:r w:rsidRPr="00BC11A0">
        <w:rPr>
          <w:rFonts w:ascii="Arial Narrow" w:hAnsi="Arial Narrow" w:cs="Arial"/>
          <w:color w:val="222222"/>
          <w:sz w:val="22"/>
          <w:szCs w:val="22"/>
          <w:shd w:val="clear" w:color="auto" w:fill="FFFFFF"/>
        </w:rPr>
        <w:t>a) El dictamen de la comisión encargada de presentar la iniciativa de la Ley de Ingresos del Estado de Chihuahua del ejercicio fiscal 2018. </w:t>
      </w:r>
      <w:r w:rsidRPr="00BC11A0">
        <w:rPr>
          <w:rFonts w:ascii="Arial Narrow" w:hAnsi="Arial Narrow" w:cs="Arial"/>
          <w:color w:val="222222"/>
          <w:sz w:val="22"/>
          <w:szCs w:val="22"/>
        </w:rPr>
        <w:br/>
      </w:r>
      <w:r w:rsidRPr="00BC11A0">
        <w:rPr>
          <w:rFonts w:ascii="Arial Narrow" w:hAnsi="Arial Narrow" w:cs="Arial"/>
          <w:color w:val="222222"/>
          <w:sz w:val="22"/>
          <w:szCs w:val="22"/>
        </w:rPr>
        <w:br/>
      </w:r>
      <w:r w:rsidRPr="00BC11A0">
        <w:rPr>
          <w:rFonts w:ascii="Arial Narrow" w:hAnsi="Arial Narrow" w:cs="Arial"/>
          <w:color w:val="222222"/>
          <w:sz w:val="22"/>
          <w:szCs w:val="22"/>
          <w:shd w:val="clear" w:color="auto" w:fill="FFFFFF"/>
        </w:rPr>
        <w:t>b) La Exposición de motivos para la aprobación de la Ley de ingresos del Estado de Chihuahua para el ejercicio fiscal 2018.</w:t>
      </w:r>
      <w:r w:rsidRPr="00BC11A0">
        <w:rPr>
          <w:rFonts w:ascii="Arial Narrow" w:hAnsi="Arial Narrow" w:cs="Arial"/>
          <w:color w:val="222222"/>
          <w:sz w:val="22"/>
          <w:szCs w:val="22"/>
        </w:rPr>
        <w:br/>
      </w:r>
      <w:r w:rsidRPr="00BC11A0">
        <w:rPr>
          <w:rFonts w:ascii="Arial Narrow" w:hAnsi="Arial Narrow" w:cs="Arial"/>
          <w:color w:val="222222"/>
          <w:sz w:val="22"/>
          <w:szCs w:val="22"/>
        </w:rPr>
        <w:br/>
      </w:r>
      <w:r w:rsidRPr="00BC11A0">
        <w:rPr>
          <w:rFonts w:ascii="Arial Narrow" w:hAnsi="Arial Narrow" w:cs="Arial"/>
          <w:color w:val="222222"/>
          <w:sz w:val="22"/>
          <w:szCs w:val="22"/>
          <w:shd w:val="clear" w:color="auto" w:fill="FFFFFF"/>
        </w:rPr>
        <w:t>c) El Diario de debates y actas de la sesión en la cual se aprobó la Ley de ingresos del Estado de Chihuahua del ejercicio fiscal 2018.</w:t>
      </w:r>
      <w:r w:rsidR="00E15A64" w:rsidRPr="00BC11A0">
        <w:rPr>
          <w:rFonts w:ascii="Arial Narrow" w:hAnsi="Arial Narrow"/>
          <w:color w:val="000000"/>
        </w:rPr>
        <w:t>”</w:t>
      </w:r>
    </w:p>
    <w:p w:rsidR="00BC11A0" w:rsidRPr="00BC11A0" w:rsidRDefault="00BC11A0" w:rsidP="00BC11A0">
      <w:pPr>
        <w:ind w:left="1416"/>
        <w:rPr>
          <w:rFonts w:ascii="Arial Narrow" w:hAnsi="Arial Narrow"/>
          <w:sz w:val="22"/>
          <w:szCs w:val="22"/>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En atención al oficio UT-LXVI/019/19, relativo al requerimiento de datos que obran en poder de esta Secretaría, necesarios para emitir respuesta a la solicitud de información con folio No. 008342019, me permito adjuntar respuesta en el orden señalado en la petición:</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b/>
          <w:sz w:val="22"/>
          <w:szCs w:val="22"/>
        </w:rPr>
      </w:pPr>
      <w:r w:rsidRPr="00BC11A0">
        <w:rPr>
          <w:rFonts w:ascii="Arial Narrow" w:hAnsi="Arial Narrow" w:cs="Arial"/>
          <w:b/>
          <w:sz w:val="22"/>
          <w:szCs w:val="22"/>
        </w:rPr>
        <w:t>1. ¿Cuál fue el análisis y discusión de la Comisión de Programación, Presupuesto y Hacienda Pública del H. Congreso del Estado de Chihuahua encargada de dictaminar la Ley de Ingresos del Estado de Chihuahua para el ejercicio fiscal 2018, para calcular el cobro de la cuota de $15,000 pesos, a que se refieren los numerales 12 al 17 del apartado IV de la Tarifa anexa de la Ley en mención por los servicios prestados por la Dirección del Registro de la Propiedad y del Notariado del Estado de Chihuahua?</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En cumplimiento a lo dispuesto por los artículos 64, fracción VI la Constitución Política del Estado, 87 y 88 de la Ley Orgánica del Poder Legislativo y 76, fracción IV del Reglamento Interior y de Prácticas Parlamentarias, el Secretario de Hacienda compareció ante el Pleno con fecha 15 de diciembre de 2017, a dar cuenta de la iniciativa de Ley de Ingresos del Estado de Chihuahua para el ejercicio fiscal de 2018.</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Por su parte, la Comisión de Programación, Presupuesto y Hacienda Pública, celebró reuniones los días 5 y 18 de diciembre de 2017, en cuyo orden del día se contempló el análisis de la iniciativa y dictamen del asunto en cuestión.</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El video de las citadas reuniones puede consultarse en los siguientes enlaces:</w:t>
      </w:r>
    </w:p>
    <w:p w:rsidR="00BC11A0" w:rsidRPr="00BC11A0" w:rsidRDefault="00BC11A0" w:rsidP="00BC11A0">
      <w:pPr>
        <w:ind w:left="708"/>
        <w:jc w:val="both"/>
        <w:rPr>
          <w:rFonts w:ascii="Arial Narrow" w:hAnsi="Arial Narrow" w:cs="Arial"/>
          <w:sz w:val="22"/>
          <w:szCs w:val="22"/>
        </w:rPr>
      </w:pPr>
    </w:p>
    <w:tbl>
      <w:tblPr>
        <w:tblStyle w:val="Tablaconcuadrcula"/>
        <w:tblW w:w="9039" w:type="dxa"/>
        <w:tblInd w:w="708" w:type="dxa"/>
        <w:tblLook w:val="04A0"/>
      </w:tblPr>
      <w:tblGrid>
        <w:gridCol w:w="2413"/>
        <w:gridCol w:w="6626"/>
      </w:tblGrid>
      <w:tr w:rsidR="00BC11A0" w:rsidRPr="00BC11A0" w:rsidTr="00BC11A0">
        <w:tc>
          <w:tcPr>
            <w:tcW w:w="2413" w:type="dxa"/>
          </w:tcPr>
          <w:p w:rsidR="00BC11A0" w:rsidRPr="00BC11A0" w:rsidRDefault="00BC11A0" w:rsidP="00C05FE7">
            <w:pPr>
              <w:jc w:val="center"/>
              <w:rPr>
                <w:rFonts w:ascii="Arial Narrow" w:hAnsi="Arial Narrow" w:cs="Arial"/>
                <w:b/>
                <w:sz w:val="22"/>
                <w:szCs w:val="22"/>
              </w:rPr>
            </w:pPr>
            <w:r w:rsidRPr="00BC11A0">
              <w:rPr>
                <w:rFonts w:ascii="Arial Narrow" w:hAnsi="Arial Narrow" w:cs="Arial"/>
                <w:b/>
                <w:sz w:val="22"/>
                <w:szCs w:val="22"/>
              </w:rPr>
              <w:t>Fecha de la reunión de Comisión</w:t>
            </w:r>
          </w:p>
        </w:tc>
        <w:tc>
          <w:tcPr>
            <w:tcW w:w="6626" w:type="dxa"/>
          </w:tcPr>
          <w:p w:rsidR="00BC11A0" w:rsidRPr="00BC11A0" w:rsidRDefault="00BC11A0" w:rsidP="00C05FE7">
            <w:pPr>
              <w:jc w:val="center"/>
              <w:rPr>
                <w:rFonts w:ascii="Arial Narrow" w:hAnsi="Arial Narrow" w:cs="Arial"/>
                <w:b/>
                <w:sz w:val="22"/>
                <w:szCs w:val="22"/>
              </w:rPr>
            </w:pPr>
            <w:r w:rsidRPr="00BC11A0">
              <w:rPr>
                <w:rFonts w:ascii="Arial Narrow" w:hAnsi="Arial Narrow" w:cs="Arial"/>
                <w:b/>
                <w:sz w:val="22"/>
                <w:szCs w:val="22"/>
              </w:rPr>
              <w:t>Enlace</w:t>
            </w:r>
          </w:p>
        </w:tc>
      </w:tr>
      <w:tr w:rsidR="00BC11A0" w:rsidRPr="00BC11A0" w:rsidTr="00BC11A0">
        <w:tc>
          <w:tcPr>
            <w:tcW w:w="2413"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5 diciembre 2017</w:t>
            </w:r>
          </w:p>
        </w:tc>
        <w:tc>
          <w:tcPr>
            <w:tcW w:w="6626" w:type="dxa"/>
          </w:tcPr>
          <w:p w:rsidR="00BC11A0" w:rsidRPr="00BC11A0" w:rsidRDefault="00CA5594" w:rsidP="00C05FE7">
            <w:pPr>
              <w:jc w:val="both"/>
              <w:rPr>
                <w:rFonts w:ascii="Arial Narrow" w:hAnsi="Arial Narrow" w:cs="Arial"/>
                <w:sz w:val="22"/>
                <w:szCs w:val="22"/>
              </w:rPr>
            </w:pPr>
            <w:hyperlink r:id="rId7" w:history="1">
              <w:r w:rsidR="00BC11A0" w:rsidRPr="00BC11A0">
                <w:rPr>
                  <w:rStyle w:val="Hipervnculo"/>
                  <w:rFonts w:ascii="Arial Narrow" w:hAnsi="Arial Narrow" w:cs="Arial"/>
                  <w:sz w:val="22"/>
                  <w:szCs w:val="22"/>
                </w:rPr>
                <w:t>https://www.youtube.com/watch?v=YkdOQbplFFU&amp;feature=youtu.be</w:t>
              </w:r>
            </w:hyperlink>
            <w:r w:rsidR="00BC11A0" w:rsidRPr="00BC11A0">
              <w:rPr>
                <w:rFonts w:ascii="Arial Narrow" w:hAnsi="Arial Narrow" w:cs="Arial"/>
                <w:sz w:val="22"/>
                <w:szCs w:val="22"/>
              </w:rPr>
              <w:t xml:space="preserve"> </w:t>
            </w:r>
          </w:p>
        </w:tc>
      </w:tr>
      <w:tr w:rsidR="00BC11A0" w:rsidRPr="00BC11A0" w:rsidTr="00BC11A0">
        <w:tc>
          <w:tcPr>
            <w:tcW w:w="2413"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18 diciembre 2017</w:t>
            </w:r>
          </w:p>
        </w:tc>
        <w:tc>
          <w:tcPr>
            <w:tcW w:w="6626" w:type="dxa"/>
          </w:tcPr>
          <w:p w:rsidR="00BC11A0" w:rsidRPr="00BC11A0" w:rsidRDefault="00CA5594" w:rsidP="00C05FE7">
            <w:pPr>
              <w:jc w:val="both"/>
              <w:rPr>
                <w:rFonts w:ascii="Arial Narrow" w:hAnsi="Arial Narrow" w:cs="Arial"/>
                <w:sz w:val="22"/>
                <w:szCs w:val="22"/>
              </w:rPr>
            </w:pPr>
            <w:hyperlink r:id="rId8" w:history="1">
              <w:r w:rsidR="00BC11A0" w:rsidRPr="00BC11A0">
                <w:rPr>
                  <w:rStyle w:val="Hipervnculo"/>
                  <w:rFonts w:ascii="Arial Narrow" w:hAnsi="Arial Narrow" w:cs="Arial"/>
                  <w:sz w:val="22"/>
                  <w:szCs w:val="22"/>
                </w:rPr>
                <w:t>https://www.youtube.com/watch?v=Gpyj1WbEMqE&amp;feature=youtu.be</w:t>
              </w:r>
            </w:hyperlink>
            <w:r w:rsidR="00BC11A0" w:rsidRPr="00BC11A0">
              <w:rPr>
                <w:rFonts w:ascii="Arial Narrow" w:hAnsi="Arial Narrow" w:cs="Arial"/>
                <w:sz w:val="22"/>
                <w:szCs w:val="22"/>
              </w:rPr>
              <w:t xml:space="preserve"> </w:t>
            </w:r>
          </w:p>
        </w:tc>
      </w:tr>
    </w:tbl>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 xml:space="preserve"> </w:t>
      </w: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En ese análisis, dicha Comisión tomó en cuenta la variación del ingreso en los rubros de los derechos de la Dirección del Registro Público de la Propiedad, a la luz de los estímulos fiscales contemplados en los artículos decimocuarto y decimoquinto de la Ley de Ingresos Estado de Chihuahua para el ejercicio fiscal de 2018, que adelante se transcriben, así como el “Comparativo Histórico por Concepto de Derechos Prestados por la Dirección del Registro Público de la Propiedad y del Notariado” y la “Memoria de Cálculo” que se anexan.</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1134"/>
        <w:jc w:val="both"/>
        <w:rPr>
          <w:rFonts w:ascii="Arial Narrow" w:hAnsi="Arial Narrow" w:cs="Arial"/>
          <w:sz w:val="22"/>
          <w:szCs w:val="22"/>
        </w:rPr>
      </w:pPr>
      <w:r w:rsidRPr="00BC11A0">
        <w:rPr>
          <w:rFonts w:ascii="Arial Narrow" w:hAnsi="Arial Narrow" w:cs="Arial"/>
          <w:sz w:val="22"/>
          <w:szCs w:val="22"/>
        </w:rPr>
        <w:t>“</w:t>
      </w:r>
      <w:r w:rsidRPr="00BC11A0">
        <w:rPr>
          <w:rFonts w:ascii="Arial Narrow" w:hAnsi="Arial Narrow" w:cs="Arial"/>
          <w:b/>
          <w:sz w:val="22"/>
          <w:szCs w:val="22"/>
        </w:rPr>
        <w:t>ARTÍCULO DECIMOCUARTO.-</w:t>
      </w:r>
      <w:r w:rsidRPr="00BC11A0">
        <w:rPr>
          <w:rFonts w:ascii="Arial Narrow" w:hAnsi="Arial Narrow" w:cs="Arial"/>
          <w:sz w:val="22"/>
          <w:szCs w:val="22"/>
        </w:rPr>
        <w:t xml:space="preserve"> A fin de incentivar el mercado inmobiliario, apoyar los diversos procesos de regularización de la tenencia de la tierra y promover la ejecución de actos de comercio y </w:t>
      </w:r>
      <w:r w:rsidRPr="00BC11A0">
        <w:rPr>
          <w:rFonts w:ascii="Arial Narrow" w:hAnsi="Arial Narrow" w:cs="Arial"/>
          <w:sz w:val="22"/>
          <w:szCs w:val="22"/>
        </w:rPr>
        <w:lastRenderedPageBreak/>
        <w:t xml:space="preserve">de otra índole tendientes a activar la economía del Estado, en aquellos sectores sociales económicamente más vulnerables ante la oferta inmobiliaria, se otorgará un estímulo fiscal a los causantes del pago de derechos, por los servicios prestados por la Dirección del Registro Público de la Propiedad y del Notariado, referidos en la Tarifa de Derechos anexa a esta Ley dentro del Apartado IV, numerales 12, 12.1; 12.2, inciso a); 12.3, inciso a); 13; 14, por lo que respecta al excedente a que se refieren los últimos cuatro renglones del primer párrafo; 15, inciso a); 16 y 17, en los siguientes términos: </w:t>
      </w:r>
    </w:p>
    <w:p w:rsidR="00BC11A0" w:rsidRPr="00BC11A0" w:rsidRDefault="00BC11A0" w:rsidP="00BC11A0">
      <w:pPr>
        <w:ind w:left="1134"/>
        <w:jc w:val="both"/>
        <w:rPr>
          <w:rFonts w:ascii="Arial Narrow" w:hAnsi="Arial Narrow" w:cs="Arial"/>
          <w:sz w:val="22"/>
          <w:szCs w:val="22"/>
        </w:rPr>
      </w:pPr>
    </w:p>
    <w:p w:rsidR="00BC11A0" w:rsidRPr="00BC11A0" w:rsidRDefault="00BC11A0" w:rsidP="00BC11A0">
      <w:pPr>
        <w:ind w:left="1134"/>
        <w:jc w:val="both"/>
        <w:rPr>
          <w:rFonts w:ascii="Arial Narrow" w:hAnsi="Arial Narrow" w:cs="Arial"/>
          <w:sz w:val="22"/>
          <w:szCs w:val="22"/>
        </w:rPr>
      </w:pPr>
      <w:r w:rsidRPr="00BC11A0">
        <w:rPr>
          <w:rFonts w:ascii="Arial Narrow" w:hAnsi="Arial Narrow" w:cs="Arial"/>
          <w:sz w:val="22"/>
          <w:szCs w:val="22"/>
        </w:rPr>
        <w:t xml:space="preserve">El estímulo se calculará sobre el valor que resulte mayor entre el de operación, el concluido del avalúo y el catastral, siempre y cuando la temporalidad de los mismos no exceda a un año. </w:t>
      </w:r>
    </w:p>
    <w:p w:rsidR="00BC11A0" w:rsidRPr="00BC11A0" w:rsidRDefault="00BC11A0" w:rsidP="00BC11A0">
      <w:pPr>
        <w:ind w:left="1134"/>
        <w:jc w:val="both"/>
        <w:rPr>
          <w:rFonts w:ascii="Arial Narrow" w:hAnsi="Arial Narrow" w:cs="Arial"/>
          <w:sz w:val="22"/>
          <w:szCs w:val="22"/>
        </w:rPr>
      </w:pPr>
    </w:p>
    <w:p w:rsidR="00BC11A0" w:rsidRPr="00BC11A0" w:rsidRDefault="00BC11A0" w:rsidP="00BC11A0">
      <w:pPr>
        <w:ind w:left="1134"/>
        <w:jc w:val="both"/>
        <w:rPr>
          <w:rFonts w:ascii="Arial Narrow" w:hAnsi="Arial Narrow" w:cs="Arial"/>
          <w:sz w:val="22"/>
          <w:szCs w:val="22"/>
        </w:rPr>
      </w:pPr>
      <w:r w:rsidRPr="00BC11A0">
        <w:rPr>
          <w:rFonts w:ascii="Arial Narrow" w:hAnsi="Arial Narrow" w:cs="Arial"/>
          <w:sz w:val="22"/>
          <w:szCs w:val="22"/>
        </w:rPr>
        <w:t xml:space="preserve">En el caso del numeral 12.1, se establece un estímulo del 90%, aplicable sobre la tarifa establecida para dicho numeral. </w:t>
      </w:r>
    </w:p>
    <w:p w:rsidR="00BC11A0" w:rsidRPr="00BC11A0" w:rsidRDefault="00BC11A0" w:rsidP="00BC11A0">
      <w:pPr>
        <w:ind w:left="1134"/>
        <w:jc w:val="both"/>
        <w:rPr>
          <w:rFonts w:ascii="Arial Narrow" w:hAnsi="Arial Narrow" w:cs="Arial"/>
          <w:sz w:val="22"/>
          <w:szCs w:val="22"/>
        </w:rPr>
      </w:pPr>
    </w:p>
    <w:p w:rsidR="00BC11A0" w:rsidRPr="00BC11A0" w:rsidRDefault="00BC11A0" w:rsidP="00BC11A0">
      <w:pPr>
        <w:ind w:left="1134"/>
        <w:jc w:val="both"/>
        <w:rPr>
          <w:rFonts w:ascii="Arial Narrow" w:hAnsi="Arial Narrow" w:cs="Arial"/>
          <w:sz w:val="22"/>
          <w:szCs w:val="22"/>
        </w:rPr>
      </w:pPr>
      <w:r w:rsidRPr="00BC11A0">
        <w:rPr>
          <w:rFonts w:ascii="Arial Narrow" w:hAnsi="Arial Narrow" w:cs="Arial"/>
          <w:sz w:val="22"/>
          <w:szCs w:val="22"/>
        </w:rPr>
        <w:t>En lo que respecta al numeral 12.3, inciso a), el estímulo se calculará sobre el 50% del valor que resulte mayor entre el de operación, el concluido del avalúo y el catastral; y en el caso de los arrendamientos y operaciones similares señaladas en el numeral 13, el valor de operación será el monto de las rentas anticipadas, o bien, el monto de la renta por un año.</w:t>
      </w:r>
    </w:p>
    <w:p w:rsidR="00BC11A0" w:rsidRPr="00BC11A0" w:rsidRDefault="00BC11A0" w:rsidP="00BC11A0">
      <w:pPr>
        <w:ind w:left="1134"/>
        <w:jc w:val="both"/>
        <w:rPr>
          <w:rFonts w:ascii="Arial Narrow" w:hAnsi="Arial Narrow" w:cs="Arial"/>
          <w:sz w:val="22"/>
          <w:szCs w:val="22"/>
        </w:rPr>
      </w:pPr>
    </w:p>
    <w:p w:rsidR="00BC11A0" w:rsidRPr="00BC11A0" w:rsidRDefault="00BC11A0" w:rsidP="00BC11A0">
      <w:pPr>
        <w:ind w:left="1134"/>
        <w:jc w:val="both"/>
        <w:rPr>
          <w:rFonts w:ascii="Arial Narrow" w:hAnsi="Arial Narrow" w:cs="Arial"/>
          <w:sz w:val="22"/>
          <w:szCs w:val="22"/>
        </w:rPr>
      </w:pPr>
      <w:r w:rsidRPr="00BC11A0">
        <w:rPr>
          <w:rFonts w:ascii="Arial Narrow" w:hAnsi="Arial Narrow" w:cs="Arial"/>
          <w:sz w:val="22"/>
          <w:szCs w:val="22"/>
        </w:rPr>
        <w:t xml:space="preserve">El estímulo se aplicará sobre la tarifa a pagar por el concepto del numeral del que se trate, bajo el siguiente esquema: </w:t>
      </w:r>
    </w:p>
    <w:p w:rsidR="00BC11A0" w:rsidRPr="00BC11A0" w:rsidRDefault="00BC11A0" w:rsidP="00BC11A0">
      <w:pPr>
        <w:ind w:left="708"/>
        <w:jc w:val="both"/>
        <w:rPr>
          <w:rFonts w:ascii="Arial Narrow" w:hAnsi="Arial Narrow"/>
          <w:sz w:val="22"/>
          <w:szCs w:val="22"/>
        </w:rPr>
      </w:pPr>
    </w:p>
    <w:tbl>
      <w:tblPr>
        <w:tblW w:w="8011" w:type="dxa"/>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551"/>
        <w:gridCol w:w="3050"/>
      </w:tblGrid>
      <w:tr w:rsidR="00BC11A0" w:rsidRPr="00BC11A0" w:rsidTr="00BC11A0">
        <w:trPr>
          <w:trHeight w:val="115"/>
        </w:trPr>
        <w:tc>
          <w:tcPr>
            <w:tcW w:w="4961" w:type="dxa"/>
            <w:gridSpan w:val="2"/>
            <w:vAlign w:val="center"/>
          </w:tcPr>
          <w:p w:rsidR="00BC11A0" w:rsidRPr="00BC11A0" w:rsidRDefault="00BC11A0" w:rsidP="00C05FE7">
            <w:pPr>
              <w:spacing w:line="360" w:lineRule="auto"/>
              <w:jc w:val="center"/>
              <w:rPr>
                <w:rFonts w:ascii="Arial Narrow" w:eastAsia="Calibri" w:hAnsi="Arial Narrow" w:cs="Arial"/>
                <w:b/>
                <w:sz w:val="22"/>
                <w:szCs w:val="22"/>
                <w:lang w:eastAsia="en-US"/>
              </w:rPr>
            </w:pPr>
            <w:r w:rsidRPr="00BC11A0">
              <w:rPr>
                <w:rFonts w:ascii="Arial Narrow" w:eastAsia="Calibri" w:hAnsi="Arial Narrow" w:cs="Arial"/>
                <w:b/>
                <w:sz w:val="22"/>
                <w:szCs w:val="22"/>
                <w:lang w:eastAsia="en-US"/>
              </w:rPr>
              <w:t>VALOR</w:t>
            </w:r>
          </w:p>
        </w:tc>
        <w:tc>
          <w:tcPr>
            <w:tcW w:w="3050" w:type="dxa"/>
            <w:vMerge w:val="restart"/>
            <w:vAlign w:val="center"/>
          </w:tcPr>
          <w:p w:rsidR="00BC11A0" w:rsidRPr="00BC11A0" w:rsidRDefault="00BC11A0" w:rsidP="00C05FE7">
            <w:pPr>
              <w:spacing w:line="360" w:lineRule="auto"/>
              <w:jc w:val="center"/>
              <w:rPr>
                <w:rFonts w:ascii="Arial Narrow" w:eastAsia="Calibri" w:hAnsi="Arial Narrow" w:cs="Arial"/>
                <w:b/>
                <w:sz w:val="22"/>
                <w:szCs w:val="22"/>
                <w:lang w:eastAsia="en-US"/>
              </w:rPr>
            </w:pPr>
            <w:r w:rsidRPr="00BC11A0">
              <w:rPr>
                <w:rFonts w:ascii="Arial Narrow" w:eastAsia="Calibri" w:hAnsi="Arial Narrow" w:cs="Arial"/>
                <w:b/>
                <w:sz w:val="22"/>
                <w:szCs w:val="22"/>
                <w:lang w:eastAsia="en-US"/>
              </w:rPr>
              <w:t>Estímulo Fiscal</w:t>
            </w:r>
          </w:p>
        </w:tc>
      </w:tr>
      <w:tr w:rsidR="00BC11A0" w:rsidRPr="00BC11A0" w:rsidTr="00BC11A0">
        <w:trPr>
          <w:trHeight w:val="113"/>
        </w:trPr>
        <w:tc>
          <w:tcPr>
            <w:tcW w:w="4961" w:type="dxa"/>
            <w:gridSpan w:val="2"/>
            <w:vAlign w:val="center"/>
          </w:tcPr>
          <w:p w:rsidR="00BC11A0" w:rsidRPr="00BC11A0" w:rsidRDefault="00BC11A0" w:rsidP="00C05FE7">
            <w:pPr>
              <w:spacing w:line="360" w:lineRule="auto"/>
              <w:jc w:val="center"/>
              <w:rPr>
                <w:rFonts w:ascii="Arial Narrow" w:eastAsia="Calibri" w:hAnsi="Arial Narrow" w:cs="Arial"/>
                <w:b/>
                <w:sz w:val="22"/>
                <w:szCs w:val="22"/>
                <w:lang w:eastAsia="en-US"/>
              </w:rPr>
            </w:pPr>
            <w:r w:rsidRPr="00BC11A0">
              <w:rPr>
                <w:rFonts w:ascii="Arial Narrow" w:eastAsia="Calibri" w:hAnsi="Arial Narrow" w:cs="Arial"/>
                <w:b/>
                <w:sz w:val="22"/>
                <w:szCs w:val="22"/>
                <w:lang w:eastAsia="en-US"/>
              </w:rPr>
              <w:t>(pesos)</w:t>
            </w:r>
          </w:p>
        </w:tc>
        <w:tc>
          <w:tcPr>
            <w:tcW w:w="3050" w:type="dxa"/>
            <w:vMerge/>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p>
        </w:tc>
      </w:tr>
      <w:tr w:rsidR="00BC11A0" w:rsidRPr="00BC11A0" w:rsidTr="00BC11A0">
        <w:trPr>
          <w:trHeight w:val="113"/>
        </w:trPr>
        <w:tc>
          <w:tcPr>
            <w:tcW w:w="2410" w:type="dxa"/>
            <w:vAlign w:val="center"/>
          </w:tcPr>
          <w:p w:rsidR="00BC11A0" w:rsidRPr="00BC11A0" w:rsidRDefault="00BC11A0" w:rsidP="00C05FE7">
            <w:pPr>
              <w:spacing w:line="360" w:lineRule="auto"/>
              <w:jc w:val="center"/>
              <w:rPr>
                <w:rFonts w:ascii="Arial Narrow" w:eastAsia="Calibri" w:hAnsi="Arial Narrow" w:cs="Arial"/>
                <w:b/>
                <w:sz w:val="22"/>
                <w:szCs w:val="22"/>
                <w:lang w:eastAsia="en-US"/>
              </w:rPr>
            </w:pPr>
            <w:r w:rsidRPr="00BC11A0">
              <w:rPr>
                <w:rFonts w:ascii="Arial Narrow" w:eastAsia="Calibri" w:hAnsi="Arial Narrow" w:cs="Arial"/>
                <w:b/>
                <w:sz w:val="22"/>
                <w:szCs w:val="22"/>
                <w:lang w:eastAsia="en-US"/>
              </w:rPr>
              <w:t>Límite Inferior</w:t>
            </w:r>
          </w:p>
        </w:tc>
        <w:tc>
          <w:tcPr>
            <w:tcW w:w="2551" w:type="dxa"/>
            <w:vAlign w:val="center"/>
          </w:tcPr>
          <w:p w:rsidR="00BC11A0" w:rsidRPr="00BC11A0" w:rsidRDefault="00BC11A0" w:rsidP="00C05FE7">
            <w:pPr>
              <w:spacing w:line="360" w:lineRule="auto"/>
              <w:jc w:val="center"/>
              <w:rPr>
                <w:rFonts w:ascii="Arial Narrow" w:eastAsia="Calibri" w:hAnsi="Arial Narrow" w:cs="Arial"/>
                <w:b/>
                <w:sz w:val="22"/>
                <w:szCs w:val="22"/>
                <w:lang w:eastAsia="en-US"/>
              </w:rPr>
            </w:pPr>
            <w:r w:rsidRPr="00BC11A0">
              <w:rPr>
                <w:rFonts w:ascii="Arial Narrow" w:eastAsia="Calibri" w:hAnsi="Arial Narrow" w:cs="Arial"/>
                <w:b/>
                <w:sz w:val="22"/>
                <w:szCs w:val="22"/>
                <w:lang w:eastAsia="en-US"/>
              </w:rPr>
              <w:t>Límite Superior</w:t>
            </w:r>
          </w:p>
        </w:tc>
        <w:tc>
          <w:tcPr>
            <w:tcW w:w="3050" w:type="dxa"/>
            <w:vMerge/>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p>
        </w:tc>
      </w:tr>
      <w:tr w:rsidR="00BC11A0" w:rsidRPr="00BC11A0" w:rsidTr="00BC11A0">
        <w:tc>
          <w:tcPr>
            <w:tcW w:w="241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0.00</w:t>
            </w:r>
          </w:p>
        </w:tc>
        <w:tc>
          <w:tcPr>
            <w:tcW w:w="2551"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100,000.00</w:t>
            </w:r>
          </w:p>
        </w:tc>
        <w:tc>
          <w:tcPr>
            <w:tcW w:w="305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90%</w:t>
            </w:r>
          </w:p>
        </w:tc>
      </w:tr>
      <w:tr w:rsidR="00BC11A0" w:rsidRPr="00BC11A0" w:rsidTr="00BC11A0">
        <w:tc>
          <w:tcPr>
            <w:tcW w:w="241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100,000.01</w:t>
            </w:r>
          </w:p>
        </w:tc>
        <w:tc>
          <w:tcPr>
            <w:tcW w:w="2551"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200,000.00</w:t>
            </w:r>
          </w:p>
        </w:tc>
        <w:tc>
          <w:tcPr>
            <w:tcW w:w="305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80%</w:t>
            </w:r>
          </w:p>
        </w:tc>
      </w:tr>
      <w:tr w:rsidR="00BC11A0" w:rsidRPr="00BC11A0" w:rsidTr="00BC11A0">
        <w:tc>
          <w:tcPr>
            <w:tcW w:w="241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200,000.01</w:t>
            </w:r>
          </w:p>
        </w:tc>
        <w:tc>
          <w:tcPr>
            <w:tcW w:w="2551"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400,000.00</w:t>
            </w:r>
          </w:p>
        </w:tc>
        <w:tc>
          <w:tcPr>
            <w:tcW w:w="305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60%</w:t>
            </w:r>
          </w:p>
        </w:tc>
      </w:tr>
      <w:tr w:rsidR="00BC11A0" w:rsidRPr="00BC11A0" w:rsidTr="00BC11A0">
        <w:tc>
          <w:tcPr>
            <w:tcW w:w="241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400,000.01</w:t>
            </w:r>
          </w:p>
        </w:tc>
        <w:tc>
          <w:tcPr>
            <w:tcW w:w="2551"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700,000.00</w:t>
            </w:r>
          </w:p>
        </w:tc>
        <w:tc>
          <w:tcPr>
            <w:tcW w:w="3050" w:type="dxa"/>
            <w:vAlign w:val="center"/>
          </w:tcPr>
          <w:p w:rsidR="00BC11A0" w:rsidRPr="00BC11A0" w:rsidRDefault="00BC11A0" w:rsidP="00C05FE7">
            <w:pPr>
              <w:spacing w:line="360" w:lineRule="auto"/>
              <w:jc w:val="center"/>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30%</w:t>
            </w:r>
          </w:p>
        </w:tc>
      </w:tr>
    </w:tbl>
    <w:p w:rsidR="00BC11A0" w:rsidRPr="00BC11A0" w:rsidRDefault="00BC11A0" w:rsidP="00BC11A0">
      <w:pPr>
        <w:ind w:left="708"/>
        <w:jc w:val="both"/>
        <w:rPr>
          <w:rFonts w:ascii="Arial Narrow" w:hAnsi="Arial Narrow"/>
          <w:sz w:val="22"/>
          <w:szCs w:val="22"/>
        </w:rPr>
      </w:pPr>
    </w:p>
    <w:p w:rsidR="00BC11A0" w:rsidRPr="00BC11A0" w:rsidRDefault="00BC11A0" w:rsidP="00BC11A0">
      <w:pPr>
        <w:ind w:left="708"/>
        <w:jc w:val="both"/>
        <w:rPr>
          <w:rFonts w:ascii="Arial Narrow" w:hAnsi="Arial Narrow"/>
          <w:sz w:val="22"/>
          <w:szCs w:val="22"/>
        </w:rPr>
      </w:pPr>
    </w:p>
    <w:p w:rsidR="00BC11A0" w:rsidRPr="00BC11A0" w:rsidRDefault="00BC11A0" w:rsidP="00BC11A0">
      <w:pPr>
        <w:ind w:left="708"/>
        <w:jc w:val="both"/>
        <w:rPr>
          <w:rFonts w:ascii="Arial Narrow" w:hAnsi="Arial Narrow"/>
          <w:sz w:val="22"/>
          <w:szCs w:val="22"/>
        </w:rPr>
      </w:pPr>
    </w:p>
    <w:p w:rsidR="00BC11A0" w:rsidRPr="00BC11A0" w:rsidRDefault="00BC11A0" w:rsidP="00BC11A0">
      <w:pPr>
        <w:ind w:left="1134"/>
        <w:jc w:val="both"/>
        <w:rPr>
          <w:rFonts w:ascii="Arial Narrow" w:hAnsi="Arial Narrow" w:cs="Arial"/>
          <w:sz w:val="22"/>
          <w:szCs w:val="22"/>
        </w:rPr>
      </w:pPr>
      <w:r w:rsidRPr="00BC11A0">
        <w:rPr>
          <w:rFonts w:ascii="Arial Narrow" w:hAnsi="Arial Narrow" w:cs="Arial"/>
          <w:b/>
          <w:sz w:val="22"/>
          <w:szCs w:val="22"/>
        </w:rPr>
        <w:t>ARTÍCULO DECIMOQUINTO.-</w:t>
      </w:r>
      <w:r w:rsidRPr="00BC11A0">
        <w:rPr>
          <w:rFonts w:ascii="Arial Narrow" w:hAnsi="Arial Narrow" w:cs="Arial"/>
          <w:sz w:val="22"/>
          <w:szCs w:val="22"/>
        </w:rPr>
        <w:t xml:space="preserve"> Se establece un estímulo fiscal consistente en una reducción del 100% del monto de los derechos de registro, a que se refiere el Apartado IV, numeral 13, de la tarifa anexa a esta Ley, aplicable para quienes registren embargos declarados para garantizar prestaciones de trabajadores, con motivo de juicios laborales, y los declarados para garantizar el pago de alimentos; para quienes registren adjudicaciones ordenadas mediante laudos a favor de los trabajadores o sus beneficiarios; incluidas las cancelaciones necesarias para su inscripción; el registro o cancelación de inscripciones y notas marginales derivadas de sentencias en juicios de amparo que modifiquen resoluciones penales, civiles o familiares; así como para quienes soliciten la inscripción o cancelación de las fianzas carcelarias y sus anotaciones.”</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sz w:val="22"/>
          <w:szCs w:val="22"/>
        </w:rPr>
      </w:pPr>
      <w:r w:rsidRPr="00BC11A0">
        <w:rPr>
          <w:rFonts w:ascii="Arial Narrow" w:hAnsi="Arial Narrow" w:cs="Arial"/>
          <w:b/>
          <w:sz w:val="22"/>
          <w:szCs w:val="22"/>
        </w:rPr>
        <w:t>2.- ¿Cuál fue la exposición de motivos que fundamenta la Ley de Ingresos del Estado de Chihuahua para el ejercicio fiscal 2018, en particular respecto a los numerales 12 al 17 del apartado IV de la Tarifa anexa de la Ley en mención por los servicios prestados por la Dirección de Registro de la Propiedad y del Notariado del Estado de Chihuahua para determinar el cobro de la cuota de $15,000 pesos?</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 xml:space="preserve">De conformidad con el artículo 76, fracción IV del Reglamento Interior y de Prácticas Parlamentarias, las iniciativas contendrán, entre otros: </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1417"/>
        <w:jc w:val="both"/>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 xml:space="preserve">“IV.- Exposición de motivos, en el cual se detalle, por lo menos, lo siguiente: </w:t>
      </w:r>
    </w:p>
    <w:p w:rsidR="00BC11A0" w:rsidRPr="00BC11A0" w:rsidRDefault="00BC11A0" w:rsidP="00BC11A0">
      <w:pPr>
        <w:ind w:left="1417"/>
        <w:jc w:val="both"/>
        <w:rPr>
          <w:rFonts w:ascii="Arial Narrow" w:eastAsia="Calibri" w:hAnsi="Arial Narrow" w:cs="Arial"/>
          <w:sz w:val="22"/>
          <w:szCs w:val="22"/>
          <w:lang w:eastAsia="en-US"/>
        </w:rPr>
      </w:pPr>
    </w:p>
    <w:p w:rsidR="00BC11A0" w:rsidRPr="00BC11A0" w:rsidRDefault="00BC11A0" w:rsidP="00BC11A0">
      <w:pPr>
        <w:ind w:left="1417"/>
        <w:jc w:val="both"/>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 xml:space="preserve">a) El planteamiento general de la propuesta. Si esta contiene una problemática, indicará las consecuencias que, de no atenderse, provocaría en la vida del Estado y la sociedad. </w:t>
      </w:r>
    </w:p>
    <w:p w:rsidR="00BC11A0" w:rsidRPr="00BC11A0" w:rsidRDefault="00BC11A0" w:rsidP="00BC11A0">
      <w:pPr>
        <w:ind w:left="1417"/>
        <w:jc w:val="both"/>
        <w:rPr>
          <w:rFonts w:ascii="Arial Narrow" w:eastAsia="Calibri" w:hAnsi="Arial Narrow" w:cs="Arial"/>
          <w:sz w:val="22"/>
          <w:szCs w:val="22"/>
          <w:lang w:eastAsia="en-US"/>
        </w:rPr>
      </w:pPr>
    </w:p>
    <w:p w:rsidR="00BC11A0" w:rsidRPr="00BC11A0" w:rsidRDefault="00BC11A0" w:rsidP="00BC11A0">
      <w:pPr>
        <w:ind w:left="1417"/>
        <w:jc w:val="both"/>
        <w:rPr>
          <w:rFonts w:ascii="Arial Narrow" w:eastAsia="Calibri" w:hAnsi="Arial Narrow" w:cs="Arial"/>
          <w:sz w:val="22"/>
          <w:szCs w:val="22"/>
          <w:lang w:eastAsia="en-US"/>
        </w:rPr>
      </w:pPr>
      <w:r w:rsidRPr="00BC11A0">
        <w:rPr>
          <w:rFonts w:ascii="Arial Narrow" w:eastAsia="Calibri" w:hAnsi="Arial Narrow" w:cs="Arial"/>
          <w:sz w:val="22"/>
          <w:szCs w:val="22"/>
          <w:lang w:eastAsia="en-US"/>
        </w:rPr>
        <w:t>b) Los argumentos que justifiquen la creación, modificación, derogación o abrogación de lo que se propone, explicando su contenido, alcance y el beneficio que pudiera generar.”</w:t>
      </w:r>
    </w:p>
    <w:p w:rsidR="00BC11A0" w:rsidRPr="00BC11A0" w:rsidRDefault="00BC11A0" w:rsidP="00BC11A0">
      <w:pPr>
        <w:ind w:left="1417"/>
        <w:jc w:val="both"/>
        <w:rPr>
          <w:rFonts w:ascii="Arial Narrow" w:eastAsia="Calibri" w:hAnsi="Arial Narrow" w:cs="Arial"/>
          <w:sz w:val="22"/>
          <w:szCs w:val="22"/>
          <w:lang w:eastAsia="en-US"/>
        </w:rPr>
      </w:pPr>
    </w:p>
    <w:p w:rsidR="00BC11A0" w:rsidRPr="00BC11A0" w:rsidRDefault="00BC11A0" w:rsidP="00BC11A0">
      <w:pPr>
        <w:pStyle w:val="Prrafodelista"/>
        <w:ind w:left="708"/>
        <w:jc w:val="both"/>
        <w:rPr>
          <w:rFonts w:ascii="Arial Narrow" w:hAnsi="Arial Narrow" w:cs="Arial"/>
        </w:rPr>
      </w:pPr>
      <w:r w:rsidRPr="00BC11A0">
        <w:rPr>
          <w:rFonts w:ascii="Arial Narrow" w:hAnsi="Arial Narrow" w:cs="Arial"/>
        </w:rPr>
        <w:t xml:space="preserve">En ese sentido, la iniciativa en cuestión, consultable en esta dirección,  </w:t>
      </w:r>
      <w:hyperlink r:id="rId9" w:history="1">
        <w:r w:rsidRPr="00BC11A0">
          <w:rPr>
            <w:rStyle w:val="Hipervnculo"/>
            <w:rFonts w:ascii="Arial Narrow" w:hAnsi="Arial Narrow"/>
          </w:rPr>
          <w:t>http://www.congresochihuahua2.gob.mx/biblioteca/iniciativas/archivosIniciativas/7746.pdf</w:t>
        </w:r>
      </w:hyperlink>
      <w:r w:rsidRPr="00BC11A0">
        <w:rPr>
          <w:rFonts w:ascii="Arial Narrow" w:hAnsi="Arial Narrow"/>
        </w:rPr>
        <w:t xml:space="preserve"> </w:t>
      </w:r>
      <w:r w:rsidRPr="00BC11A0">
        <w:rPr>
          <w:rFonts w:ascii="Arial Narrow" w:hAnsi="Arial Narrow" w:cs="Arial"/>
        </w:rPr>
        <w:t>dentro en la páginas 17 y 18 señala lo siguiente:</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pStyle w:val="Prrafodelista"/>
        <w:numPr>
          <w:ilvl w:val="0"/>
          <w:numId w:val="24"/>
        </w:numPr>
        <w:ind w:left="1417"/>
        <w:contextualSpacing w:val="0"/>
        <w:jc w:val="both"/>
        <w:rPr>
          <w:rFonts w:ascii="Arial Narrow" w:hAnsi="Arial Narrow" w:cs="Arial"/>
          <w:u w:val="single"/>
        </w:rPr>
      </w:pPr>
      <w:r w:rsidRPr="00BC11A0">
        <w:rPr>
          <w:rFonts w:ascii="Arial Narrow" w:hAnsi="Arial Narrow" w:cs="Arial"/>
          <w:u w:val="single"/>
        </w:rPr>
        <w:t xml:space="preserve">“Estímulos sobre los Derechos cobrados por la Dirección del Registro Público de la Propiedad y del Notariado. </w:t>
      </w:r>
    </w:p>
    <w:p w:rsidR="00BC11A0" w:rsidRPr="00BC11A0" w:rsidRDefault="00BC11A0" w:rsidP="00BC11A0">
      <w:pPr>
        <w:ind w:left="1416"/>
        <w:jc w:val="both"/>
        <w:rPr>
          <w:rFonts w:ascii="Arial Narrow" w:hAnsi="Arial Narrow" w:cs="Arial"/>
          <w:sz w:val="22"/>
          <w:szCs w:val="22"/>
        </w:rPr>
      </w:pPr>
    </w:p>
    <w:p w:rsidR="00BC11A0" w:rsidRPr="00BC11A0" w:rsidRDefault="00BC11A0" w:rsidP="00BC11A0">
      <w:pPr>
        <w:ind w:left="1416"/>
        <w:jc w:val="both"/>
        <w:rPr>
          <w:rFonts w:ascii="Arial Narrow" w:hAnsi="Arial Narrow" w:cs="Arial"/>
          <w:sz w:val="22"/>
          <w:szCs w:val="22"/>
        </w:rPr>
      </w:pPr>
      <w:r w:rsidRPr="00BC11A0">
        <w:rPr>
          <w:rFonts w:ascii="Arial Narrow" w:hAnsi="Arial Narrow" w:cs="Arial"/>
          <w:sz w:val="22"/>
          <w:szCs w:val="22"/>
        </w:rPr>
        <w:t xml:space="preserve">“Se mantienen los estímulos referidos en el artículo decimocuarto de la presente Iniciativa de Ley de Ingresos para el Ejercicio Fiscal 2018, con el fin de incentivar el mercado inmobiliario y apoyar los diversos procesos de regularización de la tenencia de la tierra y promover la ejecución de actos de comercio y de otra índole tendientes a activar la economía del Estado, en aquellos sectores sociales económicamente más vulnerables ante la oferta inmobiliaria, se otorgará un estímulo fiscal a los causantes del pago de derechos, por los servicios prestados por la Dirección del Registro Público de la Propiedad y del Notariado. </w:t>
      </w:r>
    </w:p>
    <w:p w:rsidR="00BC11A0" w:rsidRPr="00BC11A0" w:rsidRDefault="00BC11A0" w:rsidP="00BC11A0">
      <w:pPr>
        <w:ind w:left="1416"/>
        <w:jc w:val="both"/>
        <w:rPr>
          <w:rFonts w:ascii="Arial Narrow" w:hAnsi="Arial Narrow" w:cs="Arial"/>
          <w:sz w:val="22"/>
          <w:szCs w:val="22"/>
        </w:rPr>
      </w:pPr>
    </w:p>
    <w:p w:rsidR="00BC11A0" w:rsidRPr="00BC11A0" w:rsidRDefault="00BC11A0" w:rsidP="00BC11A0">
      <w:pPr>
        <w:ind w:left="1416"/>
        <w:jc w:val="both"/>
        <w:rPr>
          <w:rFonts w:ascii="Arial Narrow" w:hAnsi="Arial Narrow" w:cs="Arial"/>
          <w:sz w:val="22"/>
          <w:szCs w:val="22"/>
        </w:rPr>
      </w:pPr>
      <w:r w:rsidRPr="00BC11A0">
        <w:rPr>
          <w:rFonts w:ascii="Arial Narrow" w:hAnsi="Arial Narrow" w:cs="Arial"/>
          <w:sz w:val="22"/>
          <w:szCs w:val="22"/>
        </w:rPr>
        <w:t xml:space="preserve">De igual manera, se conservan el estímulo referido en el Artículo Decimoquinto de la presente iniciativa, en el cual, se establece un estímulo fiscal consistente en una reducción del 100% del monto de los derechos de registro, a que se refiere el apartado IV numeral 13, de la tarifa anexa a esta Ley, aplicable para quienes registren embargos declarados para garantizar prestaciones de trabajadores, con motivo de juicios laborales, y los declarados para garantizar el pago de alimentos; para quienes registren adjudicaciones ordenadas mediante laudos a favor de los trabajadores o sus beneficiarios; incluidas las cancelaciones necesarias para su inscripción; el registro o cancelación de inscripciones y notas marginales derivadas de sentencias en juicios de </w:t>
      </w:r>
      <w:r w:rsidRPr="00BC11A0">
        <w:rPr>
          <w:rFonts w:ascii="Arial Narrow" w:hAnsi="Arial Narrow" w:cs="Arial"/>
          <w:sz w:val="22"/>
          <w:szCs w:val="22"/>
        </w:rPr>
        <w:lastRenderedPageBreak/>
        <w:t>amparo que modifiquen resoluciones penales, civiles o familiares; así como para quienes soliciten la inscripción o cancelación de las fianzas carcelarias y sus anotaciones.”</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b/>
          <w:sz w:val="22"/>
          <w:szCs w:val="22"/>
        </w:rPr>
      </w:pPr>
      <w:r w:rsidRPr="00BC11A0">
        <w:rPr>
          <w:rFonts w:ascii="Arial Narrow" w:hAnsi="Arial Narrow" w:cs="Arial"/>
          <w:b/>
          <w:sz w:val="22"/>
          <w:szCs w:val="22"/>
        </w:rPr>
        <w:t>3.- ¿Cuál fue la discusión y votación en el Pleno del H. Congreso del Estado de la Ley de Ingresos del Estado de Chihuahua para el ejercicio fiscal 2018, en particular respecto a los numerales 12 al 17 de la Tarifa anexa de la Ley en mención por los servicios prestados por la Dirección del Registro de la Propiedad y del Notariado del Estado de Chihuahua para determinar el cobro de la cuota de $15,000 pesos?</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Con fecha, en fecha 15 de diciembre de 2017, compareció el Secretario de Hacienda ante el Pleno a dar cuenta de la iniciativa de Ley de Ingresos del Estado de Chihuahua para el ejercicio fiscal de 2018, en tal reunión las y los legisladores hicieron comentarios y preguntas sobre temas incluidos en dicha iniciativa.</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En sesión del 21 de diciembre de 2017, se presentó ante el Pleno el dictamen en cuestión, mismo que fue aprobado por mayoría. La discusión puede ser consultada en el diario de los debates de esa sesión, en este enlace:</w:t>
      </w:r>
    </w:p>
    <w:p w:rsidR="00BC11A0" w:rsidRPr="00BC11A0" w:rsidRDefault="00BC11A0" w:rsidP="00BC11A0">
      <w:pPr>
        <w:ind w:left="708"/>
        <w:jc w:val="both"/>
        <w:rPr>
          <w:rFonts w:ascii="Arial Narrow" w:hAnsi="Arial Narrow" w:cs="Arial"/>
          <w:sz w:val="22"/>
          <w:szCs w:val="22"/>
        </w:rPr>
      </w:pPr>
    </w:p>
    <w:p w:rsidR="00BC11A0" w:rsidRPr="00BC11A0" w:rsidRDefault="00CA5594" w:rsidP="00BC11A0">
      <w:pPr>
        <w:ind w:left="708"/>
        <w:jc w:val="both"/>
        <w:rPr>
          <w:rFonts w:ascii="Arial Narrow" w:hAnsi="Arial Narrow" w:cs="Arial"/>
          <w:sz w:val="22"/>
          <w:szCs w:val="22"/>
        </w:rPr>
      </w:pPr>
      <w:hyperlink r:id="rId10" w:history="1">
        <w:r w:rsidR="00BC11A0" w:rsidRPr="00BC11A0">
          <w:rPr>
            <w:rStyle w:val="Hipervnculo"/>
            <w:rFonts w:ascii="Arial Narrow" w:hAnsi="Arial Narrow" w:cs="Arial"/>
            <w:sz w:val="22"/>
            <w:szCs w:val="22"/>
          </w:rPr>
          <w:t>http://www.congresochihuahua2.gob.mx/biblioteca/debates/archivosDebates/3081.pdf</w:t>
        </w:r>
      </w:hyperlink>
      <w:r w:rsidR="00BC11A0" w:rsidRPr="00BC11A0">
        <w:rPr>
          <w:rFonts w:ascii="Arial Narrow" w:hAnsi="Arial Narrow" w:cs="Arial"/>
          <w:sz w:val="22"/>
          <w:szCs w:val="22"/>
        </w:rPr>
        <w:t xml:space="preserve"> </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b/>
          <w:sz w:val="22"/>
          <w:szCs w:val="22"/>
        </w:rPr>
      </w:pPr>
      <w:r w:rsidRPr="00BC11A0">
        <w:rPr>
          <w:rFonts w:ascii="Arial Narrow" w:hAnsi="Arial Narrow" w:cs="Arial"/>
          <w:b/>
          <w:sz w:val="22"/>
          <w:szCs w:val="22"/>
        </w:rPr>
        <w:t>4.- ¿Cuál es el Ingreso estimado según la Ley de Ingresos del Estado de Chihuahua para el ejercicio fiscal del año 2018 por los servicios prestados por la Dirección de Registro de la Propiedad y del Notariado del Estado de Chihuahua?</w:t>
      </w:r>
    </w:p>
    <w:p w:rsidR="00BC11A0" w:rsidRPr="00BC11A0" w:rsidRDefault="00BC11A0" w:rsidP="00BC11A0">
      <w:pPr>
        <w:ind w:left="708"/>
        <w:jc w:val="both"/>
        <w:rPr>
          <w:rFonts w:ascii="Arial Narrow" w:hAnsi="Arial Narrow" w:cs="Arial"/>
          <w:b/>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 xml:space="preserve">El ingreso estimado por concepto de Derechos por Prestación de Servicios, de la Dirección del Registro Público de la Propiedad y del Notariado asciende a $399,123,230 </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Dicho dato se encuentra visible en la página 6, dentro del numeral 4.3.2.3, de la Ley de Ingresos del Estado para el Ejercicio fiscal 2018, publicada en el Periódico Oficial del Estado, el día 27 de diciembre de 2018, consultable en esta dirección:</w:t>
      </w:r>
    </w:p>
    <w:p w:rsidR="00BC11A0" w:rsidRPr="00BC11A0" w:rsidRDefault="00CA5594" w:rsidP="00BC11A0">
      <w:pPr>
        <w:ind w:left="708"/>
        <w:jc w:val="both"/>
        <w:rPr>
          <w:rFonts w:ascii="Arial Narrow" w:hAnsi="Arial Narrow" w:cs="Arial"/>
          <w:sz w:val="22"/>
          <w:szCs w:val="22"/>
        </w:rPr>
      </w:pPr>
      <w:hyperlink r:id="rId11" w:history="1">
        <w:r w:rsidR="00BC11A0" w:rsidRPr="00BC11A0">
          <w:rPr>
            <w:rStyle w:val="Hipervnculo"/>
            <w:rFonts w:ascii="Arial Narrow" w:hAnsi="Arial Narrow" w:cs="Arial"/>
            <w:sz w:val="22"/>
            <w:szCs w:val="22"/>
          </w:rPr>
          <w:t>http://www.congresochihuahua2.gob.mx/biblioteca/leyes/archivosLeyes/1346.pdf</w:t>
        </w:r>
      </w:hyperlink>
      <w:r w:rsidR="00BC11A0" w:rsidRPr="00BC11A0">
        <w:rPr>
          <w:rFonts w:ascii="Arial Narrow" w:hAnsi="Arial Narrow" w:cs="Arial"/>
          <w:sz w:val="22"/>
          <w:szCs w:val="22"/>
        </w:rPr>
        <w:t xml:space="preserve"> </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b/>
          <w:sz w:val="22"/>
          <w:szCs w:val="22"/>
        </w:rPr>
      </w:pPr>
    </w:p>
    <w:p w:rsidR="00BC11A0" w:rsidRPr="00BC11A0" w:rsidRDefault="00BC11A0" w:rsidP="00BC11A0">
      <w:pPr>
        <w:ind w:left="708"/>
        <w:jc w:val="both"/>
        <w:rPr>
          <w:rFonts w:ascii="Arial Narrow" w:hAnsi="Arial Narrow" w:cs="Arial"/>
          <w:b/>
          <w:sz w:val="22"/>
          <w:szCs w:val="22"/>
        </w:rPr>
      </w:pPr>
      <w:r w:rsidRPr="00BC11A0">
        <w:rPr>
          <w:rFonts w:ascii="Arial Narrow" w:hAnsi="Arial Narrow" w:cs="Arial"/>
          <w:b/>
          <w:sz w:val="22"/>
          <w:szCs w:val="22"/>
        </w:rPr>
        <w:t>5.- ¿Cuál es el presupuesto de egresos autorizado para la Dirección del Registro de la Propiedad y del Notariado del Estado de Chihuahua para el ejercicio fiscal del año 2018?</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 xml:space="preserve">De acuerdo a las clasificaciones presupuestales visible en las páginas 116 y 117 de la publicación en el Periódico Oficial del Estado, de fecha 27 de diciembre de 2017, del Presupuesto de Egresos del Estado para el 2018, consultable en </w:t>
      </w:r>
      <w:hyperlink r:id="rId12" w:history="1">
        <w:r w:rsidRPr="00BC11A0">
          <w:rPr>
            <w:rStyle w:val="Hipervnculo"/>
            <w:rFonts w:ascii="Arial Narrow" w:hAnsi="Arial Narrow" w:cs="Arial"/>
            <w:sz w:val="22"/>
            <w:szCs w:val="22"/>
          </w:rPr>
          <w:t>http://www.congresochihuahua2.gob.mx/biblioteca/presupuestoegresos/archivos/947.pdf</w:t>
        </w:r>
      </w:hyperlink>
      <w:r w:rsidRPr="00BC11A0">
        <w:rPr>
          <w:rFonts w:ascii="Arial Narrow" w:hAnsi="Arial Narrow" w:cs="Arial"/>
          <w:sz w:val="22"/>
          <w:szCs w:val="22"/>
        </w:rPr>
        <w:t xml:space="preserve"> el presupuesto para Servicios Registrales de la Propiedad y el Notariado es el siguiente:</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sz w:val="22"/>
          <w:szCs w:val="22"/>
        </w:rPr>
      </w:pPr>
    </w:p>
    <w:tbl>
      <w:tblPr>
        <w:tblStyle w:val="Tablaconcuadrcula"/>
        <w:tblW w:w="0" w:type="auto"/>
        <w:tblInd w:w="708" w:type="dxa"/>
        <w:tblLook w:val="04A0"/>
      </w:tblPr>
      <w:tblGrid>
        <w:gridCol w:w="2161"/>
        <w:gridCol w:w="938"/>
        <w:gridCol w:w="3260"/>
        <w:gridCol w:w="2162"/>
      </w:tblGrid>
      <w:tr w:rsidR="00BC11A0" w:rsidRPr="00BC11A0" w:rsidTr="00BC11A0">
        <w:tc>
          <w:tcPr>
            <w:tcW w:w="3099" w:type="dxa"/>
            <w:gridSpan w:val="2"/>
          </w:tcPr>
          <w:p w:rsidR="00BC11A0" w:rsidRPr="00BC11A0" w:rsidRDefault="00BC11A0" w:rsidP="00C05FE7">
            <w:pPr>
              <w:jc w:val="center"/>
              <w:rPr>
                <w:rFonts w:ascii="Arial Narrow" w:hAnsi="Arial Narrow" w:cs="Arial"/>
                <w:b/>
                <w:sz w:val="22"/>
                <w:szCs w:val="22"/>
              </w:rPr>
            </w:pPr>
            <w:r w:rsidRPr="00BC11A0">
              <w:rPr>
                <w:rFonts w:ascii="Arial Narrow" w:hAnsi="Arial Narrow" w:cs="Arial"/>
                <w:b/>
                <w:sz w:val="22"/>
                <w:szCs w:val="22"/>
              </w:rPr>
              <w:t>Clave</w:t>
            </w:r>
          </w:p>
        </w:tc>
        <w:tc>
          <w:tcPr>
            <w:tcW w:w="3260" w:type="dxa"/>
          </w:tcPr>
          <w:p w:rsidR="00BC11A0" w:rsidRPr="00BC11A0" w:rsidRDefault="00BC11A0" w:rsidP="00C05FE7">
            <w:pPr>
              <w:jc w:val="center"/>
              <w:rPr>
                <w:rFonts w:ascii="Arial Narrow" w:hAnsi="Arial Narrow" w:cs="Arial"/>
                <w:b/>
                <w:sz w:val="22"/>
                <w:szCs w:val="22"/>
              </w:rPr>
            </w:pPr>
            <w:r w:rsidRPr="00BC11A0">
              <w:rPr>
                <w:rFonts w:ascii="Arial Narrow" w:hAnsi="Arial Narrow" w:cs="Arial"/>
                <w:b/>
                <w:sz w:val="22"/>
                <w:szCs w:val="22"/>
              </w:rPr>
              <w:t>Descripción</w:t>
            </w:r>
          </w:p>
        </w:tc>
        <w:tc>
          <w:tcPr>
            <w:tcW w:w="2162" w:type="dxa"/>
          </w:tcPr>
          <w:p w:rsidR="00BC11A0" w:rsidRPr="00BC11A0" w:rsidRDefault="00BC11A0" w:rsidP="00C05FE7">
            <w:pPr>
              <w:jc w:val="center"/>
              <w:rPr>
                <w:rFonts w:ascii="Arial Narrow" w:hAnsi="Arial Narrow" w:cs="Arial"/>
                <w:b/>
                <w:sz w:val="22"/>
                <w:szCs w:val="22"/>
              </w:rPr>
            </w:pPr>
            <w:r w:rsidRPr="00BC11A0">
              <w:rPr>
                <w:rFonts w:ascii="Arial Narrow" w:hAnsi="Arial Narrow" w:cs="Arial"/>
                <w:b/>
                <w:sz w:val="22"/>
                <w:szCs w:val="22"/>
              </w:rPr>
              <w:t>Erogación anual</w:t>
            </w:r>
          </w:p>
        </w:tc>
      </w:tr>
      <w:tr w:rsidR="00BC11A0" w:rsidRPr="00BC11A0" w:rsidTr="00BC11A0">
        <w:tc>
          <w:tcPr>
            <w:tcW w:w="3099" w:type="dxa"/>
            <w:gridSpan w:val="2"/>
          </w:tcPr>
          <w:p w:rsidR="00BC11A0" w:rsidRPr="00BC11A0" w:rsidRDefault="00BC11A0" w:rsidP="00C05FE7">
            <w:pPr>
              <w:jc w:val="center"/>
              <w:rPr>
                <w:rFonts w:ascii="Arial Narrow" w:hAnsi="Arial Narrow" w:cs="Arial"/>
                <w:b/>
                <w:sz w:val="22"/>
                <w:szCs w:val="22"/>
              </w:rPr>
            </w:pPr>
            <w:r w:rsidRPr="00BC11A0">
              <w:rPr>
                <w:rFonts w:ascii="Arial Narrow" w:hAnsi="Arial Narrow" w:cs="Arial"/>
                <w:b/>
                <w:sz w:val="22"/>
                <w:szCs w:val="22"/>
              </w:rPr>
              <w:t>2E076</w:t>
            </w:r>
          </w:p>
        </w:tc>
        <w:tc>
          <w:tcPr>
            <w:tcW w:w="3260" w:type="dxa"/>
          </w:tcPr>
          <w:p w:rsidR="00BC11A0" w:rsidRPr="00BC11A0" w:rsidRDefault="00BC11A0" w:rsidP="00C05FE7">
            <w:pPr>
              <w:jc w:val="both"/>
              <w:rPr>
                <w:rFonts w:ascii="Arial Narrow" w:hAnsi="Arial Narrow" w:cs="Arial"/>
                <w:b/>
                <w:sz w:val="22"/>
                <w:szCs w:val="22"/>
              </w:rPr>
            </w:pPr>
            <w:r w:rsidRPr="00BC11A0">
              <w:rPr>
                <w:rFonts w:ascii="Arial Narrow" w:hAnsi="Arial Narrow" w:cs="Arial"/>
                <w:b/>
                <w:sz w:val="22"/>
                <w:szCs w:val="22"/>
              </w:rPr>
              <w:t>Servicios Registrales de la Propiedad y el Notariado</w:t>
            </w:r>
          </w:p>
        </w:tc>
        <w:tc>
          <w:tcPr>
            <w:tcW w:w="2162" w:type="dxa"/>
          </w:tcPr>
          <w:p w:rsidR="00BC11A0" w:rsidRPr="00BC11A0" w:rsidRDefault="00BC11A0" w:rsidP="00C05FE7">
            <w:pPr>
              <w:jc w:val="right"/>
              <w:rPr>
                <w:rFonts w:ascii="Arial Narrow" w:hAnsi="Arial Narrow" w:cs="Arial"/>
                <w:b/>
                <w:sz w:val="22"/>
                <w:szCs w:val="22"/>
              </w:rPr>
            </w:pPr>
            <w:r w:rsidRPr="00BC11A0">
              <w:rPr>
                <w:rFonts w:ascii="Arial Narrow" w:hAnsi="Arial Narrow" w:cs="Arial"/>
                <w:b/>
                <w:sz w:val="22"/>
                <w:szCs w:val="22"/>
              </w:rPr>
              <w:t>59,200,592</w:t>
            </w:r>
          </w:p>
        </w:tc>
      </w:tr>
      <w:tr w:rsidR="00BC11A0" w:rsidRPr="00BC11A0" w:rsidTr="00BC11A0">
        <w:tc>
          <w:tcPr>
            <w:tcW w:w="2161" w:type="dxa"/>
          </w:tcPr>
          <w:p w:rsidR="00BC11A0" w:rsidRPr="00BC11A0" w:rsidRDefault="00BC11A0" w:rsidP="00C05FE7">
            <w:pPr>
              <w:jc w:val="both"/>
              <w:rPr>
                <w:rFonts w:ascii="Arial Narrow" w:hAnsi="Arial Narrow" w:cs="Arial"/>
                <w:sz w:val="22"/>
                <w:szCs w:val="22"/>
              </w:rPr>
            </w:pPr>
          </w:p>
        </w:tc>
        <w:tc>
          <w:tcPr>
            <w:tcW w:w="938"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1000</w:t>
            </w:r>
          </w:p>
        </w:tc>
        <w:tc>
          <w:tcPr>
            <w:tcW w:w="3260"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Servicios personales</w:t>
            </w:r>
          </w:p>
        </w:tc>
        <w:tc>
          <w:tcPr>
            <w:tcW w:w="2162" w:type="dxa"/>
          </w:tcPr>
          <w:p w:rsidR="00BC11A0" w:rsidRPr="00BC11A0" w:rsidRDefault="00BC11A0" w:rsidP="00C05FE7">
            <w:pPr>
              <w:jc w:val="right"/>
              <w:rPr>
                <w:rFonts w:ascii="Arial Narrow" w:hAnsi="Arial Narrow" w:cs="Arial"/>
                <w:sz w:val="22"/>
                <w:szCs w:val="22"/>
              </w:rPr>
            </w:pPr>
            <w:r w:rsidRPr="00BC11A0">
              <w:rPr>
                <w:rFonts w:ascii="Arial Narrow" w:hAnsi="Arial Narrow" w:cs="Arial"/>
                <w:sz w:val="22"/>
                <w:szCs w:val="22"/>
              </w:rPr>
              <w:t>46,789,787</w:t>
            </w:r>
          </w:p>
        </w:tc>
      </w:tr>
      <w:tr w:rsidR="00BC11A0" w:rsidRPr="00BC11A0" w:rsidTr="00BC11A0">
        <w:tc>
          <w:tcPr>
            <w:tcW w:w="2161" w:type="dxa"/>
          </w:tcPr>
          <w:p w:rsidR="00BC11A0" w:rsidRPr="00BC11A0" w:rsidRDefault="00BC11A0" w:rsidP="00C05FE7">
            <w:pPr>
              <w:jc w:val="both"/>
              <w:rPr>
                <w:rFonts w:ascii="Arial Narrow" w:hAnsi="Arial Narrow" w:cs="Arial"/>
                <w:sz w:val="22"/>
                <w:szCs w:val="22"/>
              </w:rPr>
            </w:pPr>
          </w:p>
        </w:tc>
        <w:tc>
          <w:tcPr>
            <w:tcW w:w="938"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2000</w:t>
            </w:r>
          </w:p>
        </w:tc>
        <w:tc>
          <w:tcPr>
            <w:tcW w:w="3260"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Materiales y Suministros</w:t>
            </w:r>
          </w:p>
        </w:tc>
        <w:tc>
          <w:tcPr>
            <w:tcW w:w="2162" w:type="dxa"/>
          </w:tcPr>
          <w:p w:rsidR="00BC11A0" w:rsidRPr="00BC11A0" w:rsidRDefault="00BC11A0" w:rsidP="00C05FE7">
            <w:pPr>
              <w:jc w:val="right"/>
              <w:rPr>
                <w:rFonts w:ascii="Arial Narrow" w:hAnsi="Arial Narrow" w:cs="Arial"/>
                <w:sz w:val="22"/>
                <w:szCs w:val="22"/>
              </w:rPr>
            </w:pPr>
            <w:r w:rsidRPr="00BC11A0">
              <w:rPr>
                <w:rFonts w:ascii="Arial Narrow" w:hAnsi="Arial Narrow" w:cs="Arial"/>
                <w:sz w:val="22"/>
                <w:szCs w:val="22"/>
              </w:rPr>
              <w:t>1,146,949</w:t>
            </w:r>
          </w:p>
        </w:tc>
      </w:tr>
      <w:tr w:rsidR="00BC11A0" w:rsidRPr="00BC11A0" w:rsidTr="00BC11A0">
        <w:tc>
          <w:tcPr>
            <w:tcW w:w="2161" w:type="dxa"/>
          </w:tcPr>
          <w:p w:rsidR="00BC11A0" w:rsidRPr="00BC11A0" w:rsidRDefault="00BC11A0" w:rsidP="00C05FE7">
            <w:pPr>
              <w:jc w:val="both"/>
              <w:rPr>
                <w:rFonts w:ascii="Arial Narrow" w:hAnsi="Arial Narrow" w:cs="Arial"/>
                <w:sz w:val="22"/>
                <w:szCs w:val="22"/>
              </w:rPr>
            </w:pPr>
          </w:p>
        </w:tc>
        <w:tc>
          <w:tcPr>
            <w:tcW w:w="938"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3000</w:t>
            </w:r>
          </w:p>
        </w:tc>
        <w:tc>
          <w:tcPr>
            <w:tcW w:w="3260"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Servicios generales</w:t>
            </w:r>
          </w:p>
        </w:tc>
        <w:tc>
          <w:tcPr>
            <w:tcW w:w="2162" w:type="dxa"/>
          </w:tcPr>
          <w:p w:rsidR="00BC11A0" w:rsidRPr="00BC11A0" w:rsidRDefault="00BC11A0" w:rsidP="00C05FE7">
            <w:pPr>
              <w:jc w:val="right"/>
              <w:rPr>
                <w:rFonts w:ascii="Arial Narrow" w:hAnsi="Arial Narrow" w:cs="Arial"/>
                <w:sz w:val="22"/>
                <w:szCs w:val="22"/>
              </w:rPr>
            </w:pPr>
            <w:r w:rsidRPr="00BC11A0">
              <w:rPr>
                <w:rFonts w:ascii="Arial Narrow" w:hAnsi="Arial Narrow" w:cs="Arial"/>
                <w:sz w:val="22"/>
                <w:szCs w:val="22"/>
              </w:rPr>
              <w:t>5,143,725</w:t>
            </w:r>
          </w:p>
        </w:tc>
      </w:tr>
      <w:tr w:rsidR="00BC11A0" w:rsidRPr="00BC11A0" w:rsidTr="00BC11A0">
        <w:tc>
          <w:tcPr>
            <w:tcW w:w="2161" w:type="dxa"/>
          </w:tcPr>
          <w:p w:rsidR="00BC11A0" w:rsidRPr="00BC11A0" w:rsidRDefault="00BC11A0" w:rsidP="00C05FE7">
            <w:pPr>
              <w:jc w:val="both"/>
              <w:rPr>
                <w:rFonts w:ascii="Arial Narrow" w:hAnsi="Arial Narrow" w:cs="Arial"/>
                <w:sz w:val="22"/>
                <w:szCs w:val="22"/>
              </w:rPr>
            </w:pPr>
          </w:p>
        </w:tc>
        <w:tc>
          <w:tcPr>
            <w:tcW w:w="938"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5000</w:t>
            </w:r>
          </w:p>
        </w:tc>
        <w:tc>
          <w:tcPr>
            <w:tcW w:w="3260" w:type="dxa"/>
          </w:tcPr>
          <w:p w:rsidR="00BC11A0" w:rsidRPr="00BC11A0" w:rsidRDefault="00BC11A0" w:rsidP="00C05FE7">
            <w:pPr>
              <w:jc w:val="both"/>
              <w:rPr>
                <w:rFonts w:ascii="Arial Narrow" w:hAnsi="Arial Narrow" w:cs="Arial"/>
                <w:sz w:val="22"/>
                <w:szCs w:val="22"/>
              </w:rPr>
            </w:pPr>
            <w:r w:rsidRPr="00BC11A0">
              <w:rPr>
                <w:rFonts w:ascii="Arial Narrow" w:hAnsi="Arial Narrow" w:cs="Arial"/>
                <w:sz w:val="22"/>
                <w:szCs w:val="22"/>
              </w:rPr>
              <w:t>Bienes muebles, inmuebles e intangibles</w:t>
            </w:r>
          </w:p>
        </w:tc>
        <w:tc>
          <w:tcPr>
            <w:tcW w:w="2162" w:type="dxa"/>
          </w:tcPr>
          <w:p w:rsidR="00BC11A0" w:rsidRPr="00BC11A0" w:rsidRDefault="00BC11A0" w:rsidP="00C05FE7">
            <w:pPr>
              <w:jc w:val="right"/>
              <w:rPr>
                <w:rFonts w:ascii="Arial Narrow" w:hAnsi="Arial Narrow" w:cs="Arial"/>
                <w:sz w:val="22"/>
                <w:szCs w:val="22"/>
              </w:rPr>
            </w:pPr>
            <w:r w:rsidRPr="00BC11A0">
              <w:rPr>
                <w:rFonts w:ascii="Arial Narrow" w:hAnsi="Arial Narrow" w:cs="Arial"/>
                <w:sz w:val="22"/>
                <w:szCs w:val="22"/>
              </w:rPr>
              <w:t>6,120,131</w:t>
            </w:r>
          </w:p>
        </w:tc>
      </w:tr>
    </w:tbl>
    <w:p w:rsidR="00BC11A0" w:rsidRPr="00BC11A0" w:rsidRDefault="00BC11A0" w:rsidP="00BC11A0">
      <w:pPr>
        <w:ind w:left="708"/>
        <w:jc w:val="both"/>
        <w:rPr>
          <w:rFonts w:ascii="Arial Narrow" w:hAnsi="Arial Narrow" w:cs="Arial"/>
          <w:sz w:val="22"/>
          <w:szCs w:val="22"/>
        </w:rPr>
      </w:pPr>
      <w:r w:rsidRPr="00BC11A0">
        <w:rPr>
          <w:rFonts w:ascii="Arial Narrow" w:hAnsi="Arial Narrow" w:cs="Arial"/>
          <w:sz w:val="22"/>
          <w:szCs w:val="22"/>
        </w:rPr>
        <w:t xml:space="preserve"> </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ind w:left="708"/>
        <w:jc w:val="both"/>
        <w:rPr>
          <w:rFonts w:ascii="Arial Narrow" w:hAnsi="Arial Narrow" w:cs="Arial"/>
          <w:b/>
          <w:sz w:val="22"/>
          <w:szCs w:val="22"/>
        </w:rPr>
      </w:pPr>
      <w:r w:rsidRPr="00BC11A0">
        <w:rPr>
          <w:rFonts w:ascii="Arial Narrow" w:hAnsi="Arial Narrow" w:cs="Arial"/>
          <w:b/>
          <w:sz w:val="22"/>
          <w:szCs w:val="22"/>
        </w:rPr>
        <w:t>6. Los documentos que solicita podrán ser consultados en esta dirección:</w:t>
      </w:r>
    </w:p>
    <w:p w:rsidR="00BC11A0" w:rsidRPr="00BC11A0" w:rsidRDefault="00BC11A0" w:rsidP="00BC11A0">
      <w:pPr>
        <w:ind w:left="708"/>
        <w:jc w:val="both"/>
        <w:rPr>
          <w:rFonts w:ascii="Arial Narrow" w:hAnsi="Arial Narrow" w:cs="Arial"/>
          <w:sz w:val="22"/>
          <w:szCs w:val="22"/>
        </w:rPr>
      </w:pPr>
    </w:p>
    <w:p w:rsidR="00BC11A0" w:rsidRPr="00BC11A0" w:rsidRDefault="00BC11A0" w:rsidP="00BC11A0">
      <w:pPr>
        <w:pStyle w:val="Prrafodelista"/>
        <w:numPr>
          <w:ilvl w:val="0"/>
          <w:numId w:val="25"/>
        </w:numPr>
        <w:ind w:left="1134"/>
        <w:contextualSpacing w:val="0"/>
        <w:jc w:val="both"/>
        <w:rPr>
          <w:rFonts w:ascii="Arial Narrow" w:hAnsi="Arial Narrow" w:cs="Arial"/>
        </w:rPr>
      </w:pPr>
      <w:r w:rsidRPr="00BC11A0">
        <w:rPr>
          <w:rFonts w:ascii="Arial Narrow" w:hAnsi="Arial Narrow" w:cs="Arial"/>
        </w:rPr>
        <w:t>Dictamen de la Comisión de Programación, Presupuesto y Hacienda Pública relativo a la Ley de Ingresos del Estado de Chihuahua para el ejercicio fiscal 2018.</w:t>
      </w:r>
    </w:p>
    <w:p w:rsidR="00BC11A0" w:rsidRDefault="00BC11A0" w:rsidP="00BC11A0">
      <w:pPr>
        <w:pStyle w:val="Prrafodelista"/>
        <w:ind w:left="1134"/>
        <w:jc w:val="both"/>
        <w:rPr>
          <w:rFonts w:ascii="Arial Narrow" w:hAnsi="Arial Narrow" w:cs="Arial"/>
        </w:rPr>
      </w:pPr>
      <w:r w:rsidRPr="00BC11A0">
        <w:rPr>
          <w:rFonts w:ascii="Arial Narrow" w:hAnsi="Arial Narrow" w:cs="Arial"/>
        </w:rPr>
        <w:t xml:space="preserve"> </w:t>
      </w:r>
      <w:hyperlink r:id="rId13" w:history="1">
        <w:r w:rsidRPr="00BC11A0">
          <w:rPr>
            <w:rStyle w:val="Hipervnculo"/>
            <w:rFonts w:ascii="Arial Narrow" w:hAnsi="Arial Narrow" w:cs="Arial"/>
          </w:rPr>
          <w:t>http://www.congresochihuahua2.gob.mx/biblioteca/dictamenes/archivosDictamenes/7901.pdf</w:t>
        </w:r>
      </w:hyperlink>
      <w:r w:rsidRPr="00BC11A0">
        <w:rPr>
          <w:rFonts w:ascii="Arial Narrow" w:hAnsi="Arial Narrow" w:cs="Arial"/>
        </w:rPr>
        <w:t xml:space="preserve"> </w:t>
      </w:r>
    </w:p>
    <w:p w:rsidR="00BC11A0" w:rsidRPr="00BC11A0" w:rsidRDefault="00BC11A0" w:rsidP="00BC11A0">
      <w:pPr>
        <w:pStyle w:val="Prrafodelista"/>
        <w:ind w:left="1134"/>
        <w:jc w:val="both"/>
        <w:rPr>
          <w:rFonts w:ascii="Arial Narrow" w:hAnsi="Arial Narrow" w:cs="Arial"/>
        </w:rPr>
      </w:pPr>
    </w:p>
    <w:p w:rsidR="00BC11A0" w:rsidRPr="00BC11A0" w:rsidRDefault="00BC11A0" w:rsidP="00BC11A0">
      <w:pPr>
        <w:pStyle w:val="Prrafodelista"/>
        <w:numPr>
          <w:ilvl w:val="0"/>
          <w:numId w:val="25"/>
        </w:numPr>
        <w:ind w:left="1134"/>
        <w:contextualSpacing w:val="0"/>
        <w:jc w:val="both"/>
        <w:rPr>
          <w:rFonts w:ascii="Arial Narrow" w:hAnsi="Arial Narrow" w:cs="Arial"/>
        </w:rPr>
      </w:pPr>
      <w:r w:rsidRPr="00BC11A0">
        <w:rPr>
          <w:rFonts w:ascii="Arial Narrow" w:hAnsi="Arial Narrow" w:cs="Arial"/>
        </w:rPr>
        <w:t>Exposición de motivos (iniciativa) de la Ley de Ingresos del Estado de Chihuahua para el ejercicio fiscal 2018.</w:t>
      </w:r>
    </w:p>
    <w:p w:rsidR="00BC11A0" w:rsidRPr="00BC11A0" w:rsidRDefault="00CA5594" w:rsidP="00BC11A0">
      <w:pPr>
        <w:pStyle w:val="Prrafodelista"/>
        <w:ind w:left="1134"/>
        <w:jc w:val="both"/>
        <w:rPr>
          <w:rFonts w:ascii="Arial Narrow" w:hAnsi="Arial Narrow" w:cs="Arial"/>
        </w:rPr>
      </w:pPr>
      <w:hyperlink r:id="rId14" w:history="1">
        <w:r w:rsidR="00BC11A0" w:rsidRPr="00BC11A0">
          <w:rPr>
            <w:rStyle w:val="Hipervnculo"/>
            <w:rFonts w:ascii="Arial Narrow" w:hAnsi="Arial Narrow" w:cs="Arial"/>
          </w:rPr>
          <w:t>http://www.congresochihuahua2.gob.mx/biblioteca/iniciativas/archivosIniciativas/7746.pdf</w:t>
        </w:r>
      </w:hyperlink>
      <w:r w:rsidR="00BC11A0" w:rsidRPr="00BC11A0">
        <w:rPr>
          <w:rFonts w:ascii="Arial Narrow" w:hAnsi="Arial Narrow" w:cs="Arial"/>
        </w:rPr>
        <w:t xml:space="preserve"> </w:t>
      </w:r>
    </w:p>
    <w:p w:rsidR="00BC11A0" w:rsidRPr="00BC11A0" w:rsidRDefault="00CA5594" w:rsidP="00BC11A0">
      <w:pPr>
        <w:pStyle w:val="Prrafodelista"/>
        <w:ind w:left="1134"/>
        <w:jc w:val="both"/>
        <w:rPr>
          <w:rFonts w:ascii="Arial Narrow" w:hAnsi="Arial Narrow" w:cs="Arial"/>
        </w:rPr>
      </w:pPr>
      <w:hyperlink r:id="rId15" w:history="1">
        <w:r w:rsidR="00BC11A0" w:rsidRPr="00BC11A0">
          <w:rPr>
            <w:rStyle w:val="Hipervnculo"/>
            <w:rFonts w:ascii="Arial Narrow" w:hAnsi="Arial Narrow" w:cs="Arial"/>
          </w:rPr>
          <w:t>http://www.congresochihuahua2.gob.mx/biblioteca/iniciativas/archivosIniciativas/7748.pdf</w:t>
        </w:r>
      </w:hyperlink>
    </w:p>
    <w:p w:rsidR="00BC11A0" w:rsidRPr="00BC11A0" w:rsidRDefault="00CA5594" w:rsidP="00BC11A0">
      <w:pPr>
        <w:pStyle w:val="Prrafodelista"/>
        <w:ind w:left="1134"/>
        <w:jc w:val="both"/>
        <w:rPr>
          <w:rFonts w:ascii="Arial Narrow" w:hAnsi="Arial Narrow" w:cs="Arial"/>
        </w:rPr>
      </w:pPr>
      <w:hyperlink r:id="rId16" w:history="1">
        <w:r w:rsidR="00BC11A0" w:rsidRPr="00BC11A0">
          <w:rPr>
            <w:rStyle w:val="Hipervnculo"/>
            <w:rFonts w:ascii="Arial Narrow" w:hAnsi="Arial Narrow" w:cs="Arial"/>
          </w:rPr>
          <w:t>http://www.congresochihuahua2.gob.mx/biblioteca/iniciativas/archivosIniciativas/7749.pdf</w:t>
        </w:r>
      </w:hyperlink>
    </w:p>
    <w:p w:rsidR="00BC11A0" w:rsidRDefault="00CA5594" w:rsidP="00BC11A0">
      <w:pPr>
        <w:pStyle w:val="Prrafodelista"/>
        <w:ind w:left="1134"/>
        <w:jc w:val="both"/>
        <w:rPr>
          <w:rFonts w:ascii="Arial Narrow" w:hAnsi="Arial Narrow"/>
        </w:rPr>
      </w:pPr>
      <w:hyperlink r:id="rId17" w:history="1">
        <w:r w:rsidR="00BC11A0" w:rsidRPr="00BC11A0">
          <w:rPr>
            <w:rStyle w:val="Hipervnculo"/>
            <w:rFonts w:ascii="Arial Narrow" w:hAnsi="Arial Narrow" w:cs="Arial"/>
          </w:rPr>
          <w:t>http://www.congresochihuahua2.gob.mx/biblioteca/iniciativas/archivosIniciativas/7750.pdf</w:t>
        </w:r>
      </w:hyperlink>
    </w:p>
    <w:p w:rsidR="00BC11A0" w:rsidRPr="00BC11A0" w:rsidRDefault="00BC11A0" w:rsidP="00BC11A0">
      <w:pPr>
        <w:pStyle w:val="Prrafodelista"/>
        <w:ind w:left="1134"/>
        <w:jc w:val="both"/>
        <w:rPr>
          <w:rFonts w:ascii="Arial Narrow" w:hAnsi="Arial Narrow" w:cs="Arial"/>
        </w:rPr>
      </w:pPr>
    </w:p>
    <w:p w:rsidR="00BC11A0" w:rsidRPr="00BC11A0" w:rsidRDefault="00BC11A0" w:rsidP="00BC11A0">
      <w:pPr>
        <w:pStyle w:val="Prrafodelista"/>
        <w:numPr>
          <w:ilvl w:val="0"/>
          <w:numId w:val="25"/>
        </w:numPr>
        <w:ind w:left="1134"/>
        <w:contextualSpacing w:val="0"/>
        <w:jc w:val="both"/>
        <w:rPr>
          <w:rFonts w:ascii="Arial Narrow" w:hAnsi="Arial Narrow" w:cs="Arial"/>
        </w:rPr>
      </w:pPr>
      <w:r w:rsidRPr="00BC11A0">
        <w:rPr>
          <w:rFonts w:ascii="Arial Narrow" w:hAnsi="Arial Narrow" w:cs="Arial"/>
        </w:rPr>
        <w:t>Diario de debates de la sesión de fecha 21 de diciembre de 2017.</w:t>
      </w:r>
    </w:p>
    <w:p w:rsidR="00BC11A0" w:rsidRDefault="00CA5594" w:rsidP="00BC11A0">
      <w:pPr>
        <w:pStyle w:val="Prrafodelista"/>
        <w:ind w:left="1134"/>
        <w:jc w:val="both"/>
        <w:rPr>
          <w:rFonts w:ascii="Arial Narrow" w:hAnsi="Arial Narrow" w:cs="Arial"/>
        </w:rPr>
      </w:pPr>
      <w:hyperlink r:id="rId18" w:history="1">
        <w:r w:rsidR="00BC11A0" w:rsidRPr="00BC11A0">
          <w:rPr>
            <w:rStyle w:val="Hipervnculo"/>
            <w:rFonts w:ascii="Arial Narrow" w:hAnsi="Arial Narrow" w:cs="Arial"/>
          </w:rPr>
          <w:t>http://www.congresochihuahua2.gob.mx/biblioteca/debates/archivosDebates/3081.pdf</w:t>
        </w:r>
      </w:hyperlink>
      <w:r w:rsidR="00BC11A0" w:rsidRPr="00BC11A0">
        <w:rPr>
          <w:rFonts w:ascii="Arial Narrow" w:hAnsi="Arial Narrow" w:cs="Arial"/>
        </w:rPr>
        <w:t xml:space="preserve"> </w:t>
      </w:r>
    </w:p>
    <w:p w:rsidR="00BC11A0" w:rsidRPr="00BC11A0" w:rsidRDefault="00BC11A0" w:rsidP="00BC11A0">
      <w:pPr>
        <w:pStyle w:val="Prrafodelista"/>
        <w:ind w:left="1134"/>
        <w:jc w:val="both"/>
        <w:rPr>
          <w:rFonts w:ascii="Arial Narrow" w:hAnsi="Arial Narrow" w:cs="Arial"/>
          <w:highlight w:val="yellow"/>
        </w:rPr>
      </w:pPr>
    </w:p>
    <w:p w:rsidR="00BC11A0" w:rsidRPr="00BC11A0" w:rsidRDefault="00BC11A0" w:rsidP="00BC11A0">
      <w:pPr>
        <w:pStyle w:val="Prrafodelista"/>
        <w:numPr>
          <w:ilvl w:val="0"/>
          <w:numId w:val="25"/>
        </w:numPr>
        <w:ind w:left="1134"/>
        <w:contextualSpacing w:val="0"/>
        <w:jc w:val="both"/>
        <w:rPr>
          <w:rFonts w:ascii="Arial Narrow" w:hAnsi="Arial Narrow" w:cs="Arial"/>
        </w:rPr>
      </w:pPr>
      <w:r w:rsidRPr="00BC11A0">
        <w:rPr>
          <w:rFonts w:ascii="Arial Narrow" w:hAnsi="Arial Narrow" w:cs="Arial"/>
        </w:rPr>
        <w:t>Acta de la sesión de fecha 21 de diciembre de 2017</w:t>
      </w:r>
    </w:p>
    <w:p w:rsidR="00BC11A0" w:rsidRPr="00BC11A0" w:rsidRDefault="00CA5594" w:rsidP="00BC11A0">
      <w:pPr>
        <w:pStyle w:val="Prrafodelista"/>
        <w:ind w:left="1134"/>
        <w:jc w:val="both"/>
        <w:rPr>
          <w:rFonts w:ascii="Arial Narrow" w:hAnsi="Arial Narrow" w:cs="Arial"/>
          <w:highlight w:val="yellow"/>
        </w:rPr>
      </w:pPr>
      <w:hyperlink r:id="rId19" w:history="1">
        <w:r w:rsidR="00BC11A0" w:rsidRPr="00BC11A0">
          <w:rPr>
            <w:rStyle w:val="Hipervnculo"/>
            <w:rFonts w:ascii="Arial Narrow" w:hAnsi="Arial Narrow" w:cs="Arial"/>
          </w:rPr>
          <w:t>http://www.congresochihuahua.gob.mx/biblioteca/debates/acta.php?iddebate=3075&amp;iddocumento=9749</w:t>
        </w:r>
      </w:hyperlink>
      <w:r w:rsidR="00BC11A0" w:rsidRPr="00BC11A0">
        <w:rPr>
          <w:rFonts w:ascii="Arial Narrow" w:hAnsi="Arial Narrow" w:cs="Arial"/>
        </w:rPr>
        <w:t xml:space="preserve"> </w:t>
      </w:r>
    </w:p>
    <w:p w:rsidR="00BC11A0" w:rsidRPr="00BC11A0" w:rsidRDefault="00BC11A0" w:rsidP="00BC11A0">
      <w:pPr>
        <w:ind w:left="708"/>
        <w:jc w:val="both"/>
        <w:rPr>
          <w:rFonts w:ascii="Arial Narrow" w:hAnsi="Arial Narrow" w:cs="Arial"/>
          <w:b/>
          <w:sz w:val="22"/>
          <w:szCs w:val="22"/>
        </w:rPr>
      </w:pPr>
      <w:r w:rsidRPr="00BC11A0">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071C14" w:rsidRPr="00B8715A" w:rsidRDefault="00071C14" w:rsidP="00B8715A">
      <w:pPr>
        <w:ind w:left="1368"/>
        <w:jc w:val="both"/>
        <w:rPr>
          <w:rFonts w:ascii="Arial Narrow" w:hAnsi="Arial Narrow" w:cs="Arial"/>
          <w:sz w:val="22"/>
          <w:szCs w:val="22"/>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lastRenderedPageBreak/>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20"/>
      <w:headerReference w:type="default" r:id="rId21"/>
      <w:footerReference w:type="even" r:id="rId22"/>
      <w:footerReference w:type="default" r:id="rId23"/>
      <w:headerReference w:type="first" r:id="rId24"/>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7F" w:rsidRDefault="00DA2D7F">
      <w:r>
        <w:separator/>
      </w:r>
    </w:p>
  </w:endnote>
  <w:endnote w:type="continuationSeparator" w:id="1">
    <w:p w:rsidR="00DA2D7F" w:rsidRDefault="00DA2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CA5594"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CA5594" w:rsidP="0077121F">
    <w:pPr>
      <w:pStyle w:val="Piedepgina"/>
    </w:pPr>
    <w:r w:rsidRPr="00CA5594">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CA5594"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7F" w:rsidRDefault="00DA2D7F">
      <w:r>
        <w:separator/>
      </w:r>
    </w:p>
  </w:footnote>
  <w:footnote w:type="continuationSeparator" w:id="1">
    <w:p w:rsidR="00DA2D7F" w:rsidRDefault="00DA2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BC11A0">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CA5594"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CA5594" w:rsidRPr="00D30BA7">
            <w:rPr>
              <w:rFonts w:ascii="Arial Narrow" w:hAnsi="Arial Narrow"/>
              <w:sz w:val="16"/>
              <w:szCs w:val="16"/>
            </w:rPr>
            <w:fldChar w:fldCharType="separate"/>
          </w:r>
          <w:r w:rsidR="004C770D">
            <w:rPr>
              <w:rFonts w:ascii="Arial Narrow" w:hAnsi="Arial Narrow"/>
              <w:noProof/>
              <w:sz w:val="16"/>
              <w:szCs w:val="16"/>
            </w:rPr>
            <w:t>7</w:t>
          </w:r>
          <w:r w:rsidR="00CA5594" w:rsidRPr="00D30BA7">
            <w:rPr>
              <w:rFonts w:ascii="Arial Narrow" w:hAnsi="Arial Narrow"/>
              <w:sz w:val="16"/>
              <w:szCs w:val="16"/>
            </w:rPr>
            <w:fldChar w:fldCharType="end"/>
          </w:r>
          <w:r w:rsidRPr="00D30BA7">
            <w:rPr>
              <w:rFonts w:ascii="Arial Narrow" w:hAnsi="Arial Narrow"/>
              <w:sz w:val="16"/>
              <w:szCs w:val="16"/>
            </w:rPr>
            <w:t xml:space="preserve"> de </w:t>
          </w:r>
          <w:r w:rsidR="00BC11A0">
            <w:rPr>
              <w:rFonts w:ascii="Arial Narrow" w:hAnsi="Arial Narrow"/>
              <w:sz w:val="16"/>
              <w:szCs w:val="16"/>
            </w:rPr>
            <w:t>8</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7CC2BCF"/>
    <w:multiLevelType w:val="hybridMultilevel"/>
    <w:tmpl w:val="9AECC2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45F219AE"/>
    <w:multiLevelType w:val="hybridMultilevel"/>
    <w:tmpl w:val="A3BE4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9"/>
  </w:num>
  <w:num w:numId="3">
    <w:abstractNumId w:val="1"/>
  </w:num>
  <w:num w:numId="4">
    <w:abstractNumId w:val="0"/>
  </w:num>
  <w:num w:numId="5">
    <w:abstractNumId w:val="20"/>
  </w:num>
  <w:num w:numId="6">
    <w:abstractNumId w:val="11"/>
  </w:num>
  <w:num w:numId="7">
    <w:abstractNumId w:val="7"/>
  </w:num>
  <w:num w:numId="8">
    <w:abstractNumId w:val="5"/>
  </w:num>
  <w:num w:numId="9">
    <w:abstractNumId w:val="24"/>
  </w:num>
  <w:num w:numId="10">
    <w:abstractNumId w:val="14"/>
  </w:num>
  <w:num w:numId="11">
    <w:abstractNumId w:val="23"/>
  </w:num>
  <w:num w:numId="12">
    <w:abstractNumId w:val="4"/>
  </w:num>
  <w:num w:numId="13">
    <w:abstractNumId w:val="16"/>
  </w:num>
  <w:num w:numId="14">
    <w:abstractNumId w:val="21"/>
  </w:num>
  <w:num w:numId="15">
    <w:abstractNumId w:val="9"/>
  </w:num>
  <w:num w:numId="16">
    <w:abstractNumId w:val="10"/>
  </w:num>
  <w:num w:numId="17">
    <w:abstractNumId w:val="8"/>
  </w:num>
  <w:num w:numId="18">
    <w:abstractNumId w:val="18"/>
  </w:num>
  <w:num w:numId="19">
    <w:abstractNumId w:val="3"/>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6"/>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C770D"/>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27A26"/>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B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11A0"/>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594"/>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87FD1"/>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2D7F"/>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B3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pyj1WbEMqE&amp;feature=youtu.be" TargetMode="External"/><Relationship Id="rId13" Type="http://schemas.openxmlformats.org/officeDocument/2006/relationships/hyperlink" Target="http://www.congresochihuahua2.gob.mx/biblioteca/dictamenes/archivosDictamenes/7901.pdf" TargetMode="External"/><Relationship Id="rId18" Type="http://schemas.openxmlformats.org/officeDocument/2006/relationships/hyperlink" Target="http://www.congresochihuahua2.gob.mx/biblioteca/debates/archivosDebates/308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youtube.com/watch?v=YkdOQbplFFU&amp;feature=youtu.be" TargetMode="External"/><Relationship Id="rId12" Type="http://schemas.openxmlformats.org/officeDocument/2006/relationships/hyperlink" Target="http://www.congresochihuahua2.gob.mx/biblioteca/presupuestoegresos/archivos/947.pdf" TargetMode="External"/><Relationship Id="rId17" Type="http://schemas.openxmlformats.org/officeDocument/2006/relationships/hyperlink" Target="http://www.congresochihuahua2.gob.mx/biblioteca/iniciativas/archivosIniciativas/7750.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gresochihuahua2.gob.mx/biblioteca/iniciativas/archivosIniciativas/7749.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biblioteca/leyes/archivosLeyes/1346.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ongresochihuahua2.gob.mx/biblioteca/iniciativas/archivosIniciativas/7748.pdf" TargetMode="External"/><Relationship Id="rId23" Type="http://schemas.openxmlformats.org/officeDocument/2006/relationships/footer" Target="footer2.xml"/><Relationship Id="rId10" Type="http://schemas.openxmlformats.org/officeDocument/2006/relationships/hyperlink" Target="http://www.congresochihuahua2.gob.mx/biblioteca/debates/archivosDebates/3081.pdf" TargetMode="External"/><Relationship Id="rId19" Type="http://schemas.openxmlformats.org/officeDocument/2006/relationships/hyperlink" Target="http://www.congresochihuahua.gob.mx/biblioteca/debates/acta.php?iddebate=3075&amp;iddocumento=9749" TargetMode="External"/><Relationship Id="rId4" Type="http://schemas.openxmlformats.org/officeDocument/2006/relationships/webSettings" Target="webSettings.xml"/><Relationship Id="rId9" Type="http://schemas.openxmlformats.org/officeDocument/2006/relationships/hyperlink" Target="http://www.congresochihuahua2.gob.mx/biblioteca/iniciativas/archivosIniciativas/7746.pdf" TargetMode="External"/><Relationship Id="rId14" Type="http://schemas.openxmlformats.org/officeDocument/2006/relationships/hyperlink" Target="http://www.congresochihuahua2.gob.mx/biblioteca/iniciativas/archivosIniciativas/7746.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3269</Words>
  <Characters>17981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21208</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2019-01-23T20:57:00Z</dcterms:created>
  <dcterms:modified xsi:type="dcterms:W3CDTF">2019-01-23T20:57:00Z</dcterms:modified>
</cp:coreProperties>
</file>