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</w:t>
            </w:r>
            <w:r w:rsidR="00122A6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651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24A4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227829">
        <w:rPr>
          <w:rFonts w:ascii="Arial Narrow" w:hAnsi="Arial Narrow"/>
          <w:b/>
          <w:bCs/>
          <w:sz w:val="22"/>
          <w:szCs w:val="22"/>
        </w:rPr>
        <w:t>08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24A4D">
        <w:rPr>
          <w:rFonts w:ascii="Arial Narrow" w:hAnsi="Arial Narrow"/>
          <w:b/>
          <w:bCs/>
          <w:sz w:val="22"/>
          <w:szCs w:val="22"/>
        </w:rPr>
        <w:t>octubre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4C52C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Iván Israel Bautista Mata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</w:t>
      </w:r>
      <w:r w:rsidR="00122A6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651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octubre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4C52C5" w:rsidRPr="004C52C5" w:rsidRDefault="00966327" w:rsidP="004C52C5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/>
          <w:color w:val="000000"/>
        </w:rPr>
        <w:t>“</w:t>
      </w:r>
      <w:r w:rsidR="004C52C5" w:rsidRPr="004C52C5">
        <w:rPr>
          <w:rFonts w:ascii="Arial Narrow" w:hAnsi="Arial Narrow"/>
          <w:color w:val="000000"/>
        </w:rPr>
        <w:t>1.</w:t>
      </w:r>
      <w:r w:rsidR="004C52C5" w:rsidRPr="004C52C5">
        <w:rPr>
          <w:rFonts w:ascii="Arial Narrow" w:hAnsi="Arial Narrow"/>
          <w:color w:val="000000"/>
        </w:rPr>
        <w:tab/>
        <w:t>Número total y listado de funcionarios que han sido nombrados, ratificados y designados por la actual legislatura del H. Congreso del Estado.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2.</w:t>
      </w:r>
      <w:r w:rsidRPr="004C52C5">
        <w:rPr>
          <w:rFonts w:ascii="Arial Narrow" w:hAnsi="Arial Narrow"/>
          <w:color w:val="000000"/>
        </w:rPr>
        <w:tab/>
        <w:t>Número total y listado de Comisiones de investigación que se han integrado durante la actual legislatura del H. Congreso del Estado; y cuántas de éstas entregaron informes ante el Congreso.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3.</w:t>
      </w:r>
      <w:r w:rsidRPr="004C52C5">
        <w:rPr>
          <w:rFonts w:ascii="Arial Narrow" w:hAnsi="Arial Narrow"/>
          <w:color w:val="000000"/>
        </w:rPr>
        <w:tab/>
        <w:t>Número total y listado de funcionarios que han comparecido ante la actual legislatura del H. Congreso del Estado; especificando cuáles han sido en comisiones y cuáles ante el Pleno.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4.</w:t>
      </w:r>
      <w:r w:rsidRPr="004C52C5">
        <w:rPr>
          <w:rFonts w:ascii="Arial Narrow" w:hAnsi="Arial Narrow"/>
          <w:color w:val="000000"/>
        </w:rPr>
        <w:tab/>
        <w:t>¿Cuántas veces ha comparecido el gobernador del Estado ante la actual legislatura del H. Congreso del Estado?</w:t>
      </w:r>
    </w:p>
    <w:p w:rsidR="00F42E7F" w:rsidRPr="00D531AA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5.</w:t>
      </w:r>
      <w:r w:rsidRPr="004C52C5">
        <w:rPr>
          <w:rFonts w:ascii="Arial Narrow" w:hAnsi="Arial Narrow"/>
          <w:color w:val="000000"/>
        </w:rPr>
        <w:tab/>
        <w:t>Número de preguntas parlamentarias realizadas o enviadas por Grupo Parlamentario en la actual legislatura del H. Congreso del Estado</w:t>
      </w:r>
      <w:r w:rsidR="00A72787" w:rsidRPr="00D531AA">
        <w:rPr>
          <w:rFonts w:ascii="Arial Narrow" w:hAnsi="Arial Narrow" w:cs="Arial"/>
        </w:rPr>
        <w:t>”</w:t>
      </w:r>
      <w:r w:rsidR="00A72787" w:rsidRPr="00D531AA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Pr="000E0718" w:rsidRDefault="009047AF" w:rsidP="000E0718">
      <w:pPr>
        <w:ind w:left="1416"/>
        <w:jc w:val="both"/>
        <w:rPr>
          <w:rFonts w:ascii="Arial Narrow" w:hAnsi="Arial Narrow"/>
          <w:sz w:val="22"/>
          <w:szCs w:val="22"/>
        </w:rPr>
      </w:pPr>
    </w:p>
    <w:p w:rsidR="000E0718" w:rsidRPr="000E0718" w:rsidRDefault="000E0718" w:rsidP="000E0718">
      <w:pPr>
        <w:pStyle w:val="Sinespaciado"/>
        <w:ind w:left="707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atención a su oficio No. UT-LXVI/071/18, mediante el cual requiere nuestra colaboración para dar respuesta a las solicitudes de información, con número de folio 116502018, 116512018,116522018 me permito proporcionar los datos en los términos planteados en la petición: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0E0718">
        <w:rPr>
          <w:rFonts w:ascii="Arial Narrow" w:hAnsi="Arial Narrow" w:cs="Arial"/>
          <w:b/>
          <w:sz w:val="22"/>
          <w:szCs w:val="22"/>
          <w:lang w:val="es-MX"/>
        </w:rPr>
        <w:t>1.- Número total y listado de funcionarios que han sido nombrados, ratificados y designados por la actual legislatura del H. Congreso del Estado.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Style w:val="Tablaconcuadrcula"/>
        <w:tblW w:w="4844" w:type="pct"/>
        <w:jc w:val="right"/>
        <w:tblLook w:val="04A0"/>
      </w:tblPr>
      <w:tblGrid>
        <w:gridCol w:w="9322"/>
      </w:tblGrid>
      <w:tr w:rsidR="000E0718" w:rsidRPr="00525BE4" w:rsidTr="000E0718">
        <w:trPr>
          <w:trHeight w:val="494"/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hAnsi="Arial" w:cs="Arial"/>
                <w:lang w:val="es-MX"/>
              </w:rPr>
              <w:t xml:space="preserve"> </w:t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16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Miguel Ángel Villa Acosta, como titular de la Dirección de Archivos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15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 la Lic. María del Rosario Nevárez Chávez, como titular de la Unidad de Igualdad de Género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14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Jorge Neaves Chacón, como titular del Instituto de Estudios e Investigación Legislativa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13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Omar Holguín Franco, como titular de la Secretaría de Asuntos Interinstitucionales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12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Luis Enrique Acosta Torres, como titular de la Secretaría de Asuntos Legislativos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Dr. Jorge Luis Issa González, como titular de la Secretaría de Administración del H. Congreso del Estado de Chihuahua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  <w:lang w:val="es-MX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2.- Número total y listado de Comisiones de investigación que se han integrado durante la actual legislatura del H. Congreso del Estado; y cuántas de éstas entregaron informes ante el Congreso.</w:t>
      </w:r>
    </w:p>
    <w:p w:rsidR="002B1E41" w:rsidRDefault="002B1E41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Las Comisiones integradas en la presente legislatura, mediante </w:t>
      </w:r>
      <w:r w:rsidRPr="000E0718">
        <w:rPr>
          <w:rFonts w:ascii="Arial Narrow" w:hAnsi="Arial Narrow" w:cs="Arial"/>
          <w:sz w:val="22"/>
          <w:szCs w:val="22"/>
          <w:lang w:val="es-MX"/>
        </w:rPr>
        <w:t xml:space="preserve">Decreto No. </w:t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  <w:t xml:space="preserve">LXVI/ITCYC/0006/2018 I P.O. </w:t>
      </w:r>
      <w:r w:rsidRPr="000E0718">
        <w:rPr>
          <w:rFonts w:ascii="Arial Narrow" w:hAnsi="Arial Narrow" w:cs="Arial"/>
          <w:sz w:val="22"/>
          <w:szCs w:val="22"/>
        </w:rPr>
        <w:t>son de dictamen legislativo y de fiscalización, no así de investigación, en los términos que a continuación se enlista: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Comisiones de Dictamen Legislativo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PRIMERA DE GOBERNACIÓN Y PUNTOS CONSTITUCIONALES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SEGUNDA DE GOBERNACIÓN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PROGRAMACIÓN, PRESUPUESTO Y HACIENDA PÚBLICA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SEGURIDAD PÚBLICA Y PROTECCIÓN CIVIL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TRANSPARENCIA Y ACCESO A LA INFORMACIÓN PÚBLICA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EDUCACIÓN Y CULTURA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CIENCIA Y TECNOLOGÍA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LOURDES BEATRIZ VALLE ARMENDÁRIZ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JUSTICIA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lastRenderedPageBreak/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DERECHOS HUMANOS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GUSTAVO DE LA ROSA HICKERSON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OBRAS, SERVICIOS PÚBLICOS Y DESARROLLO URBANO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CARMEN ROCÍO GONZÁLEZ ALONSO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ECOLOGÍA Y MEDIO AMBIENTE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TRABAJO Y PREVISIÓN SOCIAL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SOCIAL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PUEBLOS Y COMUNIDADES INDÍGENAS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ROCIO GUADALUPE SARMIENTO RUFINO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VELÁZQUEZ RODRÍGUEZ  </w:t>
      </w:r>
    </w:p>
    <w:p w:rsidR="000E0718" w:rsidRPr="000E0718" w:rsidRDefault="000E0718" w:rsidP="000E0718">
      <w:pPr>
        <w:tabs>
          <w:tab w:val="left" w:pos="1460"/>
        </w:tabs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MUNICIPAL Y FORTALECIMIENTO DEL FEDERALISMO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LORENZO ARTURO PARGA AMADO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BENJAMÍN CARRERA CHÁVEZ  </w:t>
      </w:r>
    </w:p>
    <w:p w:rsidR="000E0718" w:rsidRPr="000E0718" w:rsidRDefault="000E0718" w:rsidP="000E0718">
      <w:pPr>
        <w:spacing w:after="160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ASUNTOS FRONTERIZOS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MISAEL MÁYNEZ CANO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PARTICIPACIÓN CIUDADANA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FERNANDO ÁLVAREZ MONJE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RURAL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SALUD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ECONOMÍA, TURISMO Y SERVICIOS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JUVENTUD Y NIÑEZ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TERRAZAS MUÑOZ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IGUALDAD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ENERGÍA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JANET FRANCIS MENDOZA BERBER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DEPORTE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FAMILIA, ASUNTOS RELIGIOSOS Y VALORES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MARTHA JOSEFINA LEMUS GURROLA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ANTICORRUPCIÓN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ANA CARMEN ESTRADA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MOVILIDAD URBANA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AGUA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FRANCISCO HUMBERTO CHÁVEZ HERRERA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ATENCIÓN A GRUPOS VULNERABLES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RECURSOS FORESTALES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VILLARREAL MACÍAS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FEMINICIDIOS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LETICIA OCHOA MARTÍNEZ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VIVIENDA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OBED LARA CHÁVEZ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RENÉ FRÍAS BENCOMO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Asimismo se integró la Comisión de FISCALIZACIÓN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Respecto a los informes, es importante señalar que de conformidad con el artículo 48 del Reglamento Interior y de Prácticas Parlamentarias, las comisiones y comités rendirán un informe de labores a la Presidencia a más tardar el último día del mes de agosto de cada año, que comprenderá los meses de septiembre a agosto, mismo que contendrá los resultados de los objetivos y metas propuestas.</w:t>
      </w:r>
      <w:r w:rsidRPr="000E0718">
        <w:rPr>
          <w:rFonts w:ascii="Arial Narrow" w:hAnsi="Arial Narrow" w:cs="Arial"/>
          <w:sz w:val="22"/>
          <w:szCs w:val="22"/>
        </w:rPr>
        <w:br/>
      </w:r>
      <w:r w:rsidRPr="000E0718">
        <w:rPr>
          <w:rFonts w:ascii="Arial Narrow" w:hAnsi="Arial Narrow" w:cs="Arial"/>
          <w:sz w:val="22"/>
          <w:szCs w:val="22"/>
        </w:rPr>
        <w:br/>
        <w:t>Tratándose del primer informe, este abarcará de la fecha en que se instale la comisión o comité, hasta el último día del mes de agosto del siguiente año.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3.- Número total y listado de funcionarios que han comparecido ante la actual legislatura del H. Congreso del Estado; especificando cuales han sido en comisiones y cuáles ante el Pleno.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2881"/>
        <w:gridCol w:w="2881"/>
        <w:gridCol w:w="2882"/>
      </w:tblGrid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Órgano 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Fecha de la reunión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Persona que compareció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Seguridad Pública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02/10/2018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Mtro. Oscar Alberto Aparicio Avendaño, Comisionado Estatal de Seguridad.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lastRenderedPageBreak/>
              <w:t>Educación y Cultura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25/09/2018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Dr. Carlos González Herrera, Secretario de Educación y Deporte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Coordinación Política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César Augusto Peniche Espejel, Fiscal General del Estado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Ante el Pleno, no se han celebrado comparecencias.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4.- ¿Cuántas veces ha comparecido el gobernador del Estado ante la actual Legislatura?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 la fecha, no se han celebrado comparecencias del Gobernador del Estado ante la LXVI Legislatura.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5.- Número de preguntas parlamentarias realizadas o enviadas por Grupo Parlamentario en la actual legislatura del H. Congreso del Estado.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En los términos del artículo 66 de la Constitución, no se han formulado preguntas al Secretario General de Gobierno, al Fiscal General del Estado, o cualquiera de los Secretarios o Coordinadores y a los Titulares de los Organismos Públicos Autónomos y Organismos Descentralizados. 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De igual forma, en la presente legislatura no se ha actualizado la hipótesis prevista en los artículos 55 de la Constitución Política del Estado; 22 y 23 de la Ley Orgánica del Poder Legislativo y 110 del Reglamento Interior y de Prácticas Parlamentarias, que se refiere a la presentación por parte del Gobernador del informe del estado que guarda la administración pública a su cargo, y la respuesta que puede formular el Presidente del Congreso en términos generales y los comentarios por un integrante de cada grupo parlamentario, coalición parlamentaria, diputados independientes o representantes de partido político, dentro de la misma sesión, sobre el contenido del informe, en virtud de que dicho informe se presenta hasta el 01 de marzo de 2019.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D531AA" w:rsidRPr="000E0718" w:rsidRDefault="00D531AA" w:rsidP="00D531AA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E0718" w:rsidRPr="006D6C56" w:rsidRDefault="000E0718" w:rsidP="000E0718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lastRenderedPageBreak/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7C" w:rsidRDefault="00FC3B7C">
      <w:r>
        <w:separator/>
      </w:r>
    </w:p>
  </w:endnote>
  <w:endnote w:type="continuationSeparator" w:id="1">
    <w:p w:rsidR="00FC3B7C" w:rsidRDefault="00FC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756E9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756E98" w:rsidP="0077121F">
    <w:pPr>
      <w:pStyle w:val="Piedepgina"/>
    </w:pPr>
    <w:r w:rsidRPr="00756E9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756E9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7C" w:rsidRDefault="00FC3B7C">
      <w:r>
        <w:separator/>
      </w:r>
    </w:p>
  </w:footnote>
  <w:footnote w:type="continuationSeparator" w:id="1">
    <w:p w:rsidR="00FC3B7C" w:rsidRDefault="00FC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56E9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56E9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2782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56E9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0E0718">
            <w:rPr>
              <w:rFonts w:ascii="Arial Narrow" w:hAnsi="Arial Narrow"/>
              <w:sz w:val="16"/>
              <w:szCs w:val="16"/>
            </w:rPr>
            <w:t>12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0718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2A60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1A9F"/>
    <w:rsid w:val="00222028"/>
    <w:rsid w:val="002222CE"/>
    <w:rsid w:val="00222850"/>
    <w:rsid w:val="00223895"/>
    <w:rsid w:val="002241A7"/>
    <w:rsid w:val="00224CD5"/>
    <w:rsid w:val="00227829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1E41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2C5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67F4B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6E98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A7F80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57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3B7C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2826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18336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2016-12-09T19:30:00Z</cp:lastPrinted>
  <dcterms:created xsi:type="dcterms:W3CDTF">2018-10-05T17:57:00Z</dcterms:created>
  <dcterms:modified xsi:type="dcterms:W3CDTF">2018-10-08T17:57:00Z</dcterms:modified>
</cp:coreProperties>
</file>