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466CF1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</w:t>
            </w:r>
            <w:r w:rsidR="00974A51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0801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</w:t>
            </w:r>
            <w:r w:rsidR="00974A5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IX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974A51">
        <w:rPr>
          <w:rFonts w:ascii="Arial Narrow" w:hAnsi="Arial Narrow"/>
          <w:b/>
          <w:bCs/>
          <w:sz w:val="22"/>
          <w:szCs w:val="22"/>
        </w:rPr>
        <w:t>03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974A51">
        <w:rPr>
          <w:rFonts w:ascii="Arial Narrow" w:hAnsi="Arial Narrow"/>
          <w:b/>
          <w:bCs/>
          <w:sz w:val="22"/>
          <w:szCs w:val="22"/>
        </w:rPr>
        <w:t xml:space="preserve">octubre 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CE43C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974A51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JOSE LUIS  ZUBIATE ALARCON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74A5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10801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día </w:t>
      </w:r>
      <w:r w:rsidR="00974A5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19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86787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septiembre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974A51" w:rsidRPr="00974A51" w:rsidRDefault="00966327" w:rsidP="00974A51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974A51" w:rsidRPr="00974A51">
        <w:rPr>
          <w:rFonts w:ascii="Arial Narrow" w:eastAsia="Calibri" w:hAnsi="Arial Narrow"/>
          <w:color w:val="000000"/>
          <w:sz w:val="22"/>
          <w:szCs w:val="22"/>
          <w:lang w:eastAsia="en-US"/>
        </w:rPr>
        <w:t>Solicito al H. CONGRESO DEL ESTADO DE CHIHUAHUA la siguiente información;</w:t>
      </w:r>
    </w:p>
    <w:p w:rsidR="00974A51" w:rsidRPr="00974A51" w:rsidRDefault="00974A51" w:rsidP="00974A51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974A51" w:rsidRPr="00974A51" w:rsidRDefault="00974A51" w:rsidP="00974A51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974A51">
        <w:rPr>
          <w:rFonts w:ascii="Arial Narrow" w:eastAsia="Calibri" w:hAnsi="Arial Narrow"/>
          <w:color w:val="000000"/>
          <w:sz w:val="22"/>
          <w:szCs w:val="22"/>
          <w:lang w:eastAsia="en-US"/>
        </w:rPr>
        <w:t>1. Todas las compras realizadas en el ejercicio 2018</w:t>
      </w:r>
    </w:p>
    <w:p w:rsidR="00F42E7F" w:rsidRPr="00F265D3" w:rsidRDefault="00974A51" w:rsidP="00974A51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74A51">
        <w:rPr>
          <w:rFonts w:ascii="Arial Narrow" w:eastAsia="Calibri" w:hAnsi="Arial Narrow"/>
          <w:color w:val="000000"/>
          <w:sz w:val="22"/>
          <w:szCs w:val="22"/>
          <w:lang w:eastAsia="en-US"/>
        </w:rPr>
        <w:t>2. Desglose financiero del presupuesto de servicios personales al mes de agosto del 2018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A26B4E" w:rsidRPr="000B131E" w:rsidRDefault="00A26B4E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6E7D57" w:rsidRDefault="006E7D57" w:rsidP="006E7D57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974A51" w:rsidRPr="00974A51" w:rsidRDefault="00974A51" w:rsidP="00974A51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974A51">
        <w:rPr>
          <w:rFonts w:ascii="Arial Narrow" w:hAnsi="Arial Narrow" w:cs="Arial"/>
          <w:sz w:val="22"/>
          <w:szCs w:val="22"/>
        </w:rPr>
        <w:t>En atención a su oficio No. UT-LXVI/060/18, recibido el 19 de Septiembre del 2018, cuyo folio es el siguiente 108012018, en el cual se hace el siguiente requerimiento:</w:t>
      </w:r>
    </w:p>
    <w:p w:rsidR="00974A51" w:rsidRPr="00974A51" w:rsidRDefault="00974A51" w:rsidP="00974A51">
      <w:pPr>
        <w:ind w:left="708"/>
        <w:jc w:val="both"/>
        <w:rPr>
          <w:rFonts w:ascii="Arial Narrow" w:hAnsi="Arial Narrow" w:cs="Arial"/>
          <w:sz w:val="22"/>
          <w:szCs w:val="22"/>
        </w:rPr>
      </w:pPr>
    </w:p>
    <w:p w:rsidR="00974A51" w:rsidRPr="00974A51" w:rsidRDefault="00974A51" w:rsidP="00974A51">
      <w:pPr>
        <w:pStyle w:val="Prrafodelista"/>
        <w:numPr>
          <w:ilvl w:val="0"/>
          <w:numId w:val="19"/>
        </w:numPr>
        <w:spacing w:after="0" w:line="240" w:lineRule="auto"/>
        <w:ind w:left="1428"/>
        <w:jc w:val="both"/>
        <w:rPr>
          <w:rFonts w:ascii="Arial Narrow" w:hAnsi="Arial Narrow" w:cs="Arial"/>
          <w:b/>
          <w:lang w:val="es-ES"/>
        </w:rPr>
      </w:pPr>
      <w:r w:rsidRPr="00974A51">
        <w:rPr>
          <w:rFonts w:ascii="Arial Narrow" w:hAnsi="Arial Narrow" w:cs="Arial"/>
          <w:b/>
          <w:lang w:val="es-ES"/>
        </w:rPr>
        <w:t>Solicito al H. Congreso del Estado de Chihuahua la siguiente información:</w:t>
      </w:r>
    </w:p>
    <w:p w:rsidR="00974A51" w:rsidRPr="00974A51" w:rsidRDefault="00974A51" w:rsidP="00974A51">
      <w:pPr>
        <w:pStyle w:val="Prrafodelista"/>
        <w:numPr>
          <w:ilvl w:val="0"/>
          <w:numId w:val="20"/>
        </w:numPr>
        <w:spacing w:after="0" w:line="240" w:lineRule="auto"/>
        <w:ind w:left="1788"/>
        <w:jc w:val="both"/>
        <w:rPr>
          <w:rFonts w:ascii="Arial Narrow" w:hAnsi="Arial Narrow" w:cs="Arial"/>
          <w:b/>
          <w:lang w:val="es-ES"/>
        </w:rPr>
      </w:pPr>
      <w:r w:rsidRPr="00974A51">
        <w:rPr>
          <w:rFonts w:ascii="Arial Narrow" w:hAnsi="Arial Narrow" w:cs="Arial"/>
          <w:b/>
          <w:lang w:val="es-ES"/>
        </w:rPr>
        <w:t>Todas las compras realizadas en el ejercicio 2018</w:t>
      </w:r>
    </w:p>
    <w:p w:rsidR="00974A51" w:rsidRPr="00974A51" w:rsidRDefault="00974A51" w:rsidP="00974A51">
      <w:pPr>
        <w:pStyle w:val="Prrafodelista"/>
        <w:numPr>
          <w:ilvl w:val="0"/>
          <w:numId w:val="20"/>
        </w:numPr>
        <w:spacing w:after="0" w:line="240" w:lineRule="auto"/>
        <w:ind w:left="1788"/>
        <w:jc w:val="both"/>
        <w:rPr>
          <w:rFonts w:ascii="Arial Narrow" w:hAnsi="Arial Narrow" w:cs="Arial"/>
          <w:b/>
          <w:lang w:val="es-ES"/>
        </w:rPr>
      </w:pPr>
      <w:r w:rsidRPr="00974A51">
        <w:rPr>
          <w:rFonts w:ascii="Arial Narrow" w:hAnsi="Arial Narrow" w:cs="Arial"/>
          <w:b/>
          <w:lang w:val="es-ES"/>
        </w:rPr>
        <w:t>Desglose financiero del presupuesto de servicios personales al mes de agosto 2018.</w:t>
      </w:r>
    </w:p>
    <w:p w:rsidR="00974A51" w:rsidRPr="00974A51" w:rsidRDefault="00974A51" w:rsidP="00974A51">
      <w:pPr>
        <w:ind w:left="708"/>
        <w:jc w:val="both"/>
        <w:rPr>
          <w:rFonts w:ascii="Arial Narrow" w:hAnsi="Arial Narrow" w:cs="Arial"/>
          <w:sz w:val="22"/>
          <w:szCs w:val="22"/>
        </w:rPr>
      </w:pPr>
    </w:p>
    <w:p w:rsidR="00974A51" w:rsidRPr="00974A51" w:rsidRDefault="00974A51" w:rsidP="00974A51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974A51">
        <w:rPr>
          <w:rFonts w:ascii="Arial Narrow" w:hAnsi="Arial Narrow" w:cs="Arial"/>
          <w:sz w:val="22"/>
          <w:szCs w:val="22"/>
        </w:rPr>
        <w:t>Atendiendo a la solicitud planteada me permito anexarle documento Excel con la información solicitada.</w:t>
      </w:r>
    </w:p>
    <w:p w:rsidR="00974A51" w:rsidRPr="00974A51" w:rsidRDefault="00974A51" w:rsidP="00974A51">
      <w:pPr>
        <w:ind w:left="708"/>
        <w:jc w:val="both"/>
        <w:rPr>
          <w:rFonts w:ascii="Arial Narrow" w:hAnsi="Arial Narrow" w:cs="Arial"/>
          <w:sz w:val="22"/>
          <w:szCs w:val="22"/>
        </w:rPr>
      </w:pPr>
    </w:p>
    <w:p w:rsidR="00974A51" w:rsidRPr="00974A51" w:rsidRDefault="00974A51" w:rsidP="00974A51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974A51">
        <w:rPr>
          <w:rFonts w:ascii="Arial Narrow" w:hAnsi="Arial Narrow" w:cs="Arial"/>
          <w:sz w:val="22"/>
          <w:szCs w:val="22"/>
        </w:rPr>
        <w:t>Respecto al punto número dos desglose financiero del presupuesto de servicios personales, en apego a lo previsto en el Manual de Contabilidad Gubernamental en el capítulo VII de los estados e informes contables, presupuestarios, programáticos y de los indicadores de postura fiscal. Apartado III Estado Analítico del Ejercicio del Presupuesto, inciso a) Clasificación por objeto del gasto (capitulo y concepto), se le proporciona el presupuesto modificado y pagado a la fecha que usted solicito.</w:t>
      </w:r>
    </w:p>
    <w:p w:rsidR="00974A51" w:rsidRDefault="00974A51" w:rsidP="00974A51">
      <w:pPr>
        <w:jc w:val="both"/>
        <w:rPr>
          <w:rFonts w:ascii="Arial" w:hAnsi="Arial" w:cs="Arial"/>
          <w:sz w:val="20"/>
          <w:szCs w:val="20"/>
        </w:rPr>
      </w:pPr>
    </w:p>
    <w:p w:rsidR="00974A51" w:rsidRDefault="00974A51" w:rsidP="00974A5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160" w:type="dxa"/>
        <w:jc w:val="center"/>
        <w:tblCellMar>
          <w:left w:w="70" w:type="dxa"/>
          <w:right w:w="70" w:type="dxa"/>
        </w:tblCellMar>
        <w:tblLook w:val="04A0"/>
      </w:tblPr>
      <w:tblGrid>
        <w:gridCol w:w="4840"/>
        <w:gridCol w:w="1660"/>
        <w:gridCol w:w="1660"/>
      </w:tblGrid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MX" w:eastAsia="es-MX"/>
              </w:rPr>
              <w:t>Capítulo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MX" w:eastAsia="es-MX"/>
              </w:rPr>
              <w:t>Modificado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MX" w:eastAsia="es-MX"/>
              </w:rPr>
              <w:t>Pagado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Servicios personales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MX" w:eastAsia="es-MX"/>
              </w:rPr>
              <w:t>Concepto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Remuneraciones al personal de carácter permanente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$41,805,972.13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$28,049,157.90 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Remuneraciones al personal de carácter transitorio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33,166,617.22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25,775,297.61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Remuneraciones adicionales y especiales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112,770,406.97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64,923,867.80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Seguridad social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21,298,806.33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5,374,935.12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Otras prestaciones sociales y económicas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20,824,242.78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18,928,289.62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lastRenderedPageBreak/>
              <w:t>Previsiones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2,749,081.38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0.00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Pago de estímulos a servidores públicos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3,174,440.23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941,681.03</w:t>
            </w:r>
          </w:p>
        </w:tc>
      </w:tr>
      <w:tr w:rsidR="00974A51" w:rsidRPr="00435388" w:rsidTr="00974A51">
        <w:trPr>
          <w:trHeight w:val="300"/>
          <w:jc w:val="center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$235,789,567.04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74A51" w:rsidRPr="00435388" w:rsidRDefault="00974A51" w:rsidP="00B4134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435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$143,993,229.08 </w:t>
            </w:r>
          </w:p>
        </w:tc>
      </w:tr>
    </w:tbl>
    <w:p w:rsidR="006302B5" w:rsidRDefault="006302B5" w:rsidP="00974A51">
      <w:pPr>
        <w:jc w:val="both"/>
        <w:rPr>
          <w:rFonts w:ascii="Arial Narrow" w:hAnsi="Arial Narrow"/>
          <w:sz w:val="22"/>
          <w:szCs w:val="22"/>
        </w:rPr>
      </w:pPr>
    </w:p>
    <w:p w:rsidR="006302B5" w:rsidRDefault="006302B5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F265D3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A26B4E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9D4" w:rsidRDefault="008539D4">
      <w:r>
        <w:separator/>
      </w:r>
    </w:p>
  </w:endnote>
  <w:endnote w:type="continuationSeparator" w:id="1">
    <w:p w:rsidR="008539D4" w:rsidRDefault="0085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EB3773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5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0251F" w:rsidRDefault="0020251F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EB3773" w:rsidP="0077121F">
    <w:pPr>
      <w:pStyle w:val="Piedepgina"/>
    </w:pPr>
    <w:r w:rsidRPr="00EB3773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20251F" w:rsidRPr="00AB6508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20251F" w:rsidRPr="00BD19B1" w:rsidRDefault="00EB3773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20251F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20251F" w:rsidRPr="00BD19B1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9D4" w:rsidRDefault="008539D4">
      <w:r>
        <w:separator/>
      </w:r>
    </w:p>
  </w:footnote>
  <w:footnote w:type="continuationSeparator" w:id="1">
    <w:p w:rsidR="008539D4" w:rsidRDefault="00853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20251F" w:rsidRPr="00D30BA7" w:rsidTr="00717963">
      <w:trPr>
        <w:trHeight w:val="964"/>
      </w:trPr>
      <w:tc>
        <w:tcPr>
          <w:tcW w:w="914" w:type="pct"/>
          <w:vMerge w:val="restart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20251F" w:rsidRPr="00D30BA7" w:rsidTr="00717963">
      <w:trPr>
        <w:trHeight w:val="424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20251F" w:rsidRPr="00D30BA7" w:rsidTr="00717963">
      <w:trPr>
        <w:trHeight w:val="193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20251F" w:rsidRPr="00D30BA7" w:rsidRDefault="0020251F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20251F" w:rsidRPr="000D45AD" w:rsidRDefault="0020251F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EB3773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EB3773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DA2587">
            <w:rPr>
              <w:rFonts w:ascii="Arial Narrow" w:hAnsi="Arial Narrow"/>
              <w:noProof/>
              <w:sz w:val="16"/>
              <w:szCs w:val="16"/>
            </w:rPr>
            <w:t>3</w:t>
          </w:r>
          <w:r w:rsidR="00EB3773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974A5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20251F" w:rsidRPr="00D30BA7" w:rsidTr="00717963">
      <w:trPr>
        <w:trHeight w:val="70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20251F" w:rsidRPr="00D30BA7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20251F" w:rsidRPr="005648EB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20251F" w:rsidRDefault="0020251F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F20820"/>
    <w:multiLevelType w:val="hybridMultilevel"/>
    <w:tmpl w:val="E56AAFC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7BC486B"/>
    <w:multiLevelType w:val="hybridMultilevel"/>
    <w:tmpl w:val="F0B609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0"/>
  </w:num>
  <w:num w:numId="5">
    <w:abstractNumId w:val="14"/>
  </w:num>
  <w:num w:numId="6">
    <w:abstractNumId w:val="8"/>
  </w:num>
  <w:num w:numId="7">
    <w:abstractNumId w:val="5"/>
  </w:num>
  <w:num w:numId="8">
    <w:abstractNumId w:val="4"/>
  </w:num>
  <w:num w:numId="9">
    <w:abstractNumId w:val="19"/>
  </w:num>
  <w:num w:numId="10">
    <w:abstractNumId w:val="11"/>
  </w:num>
  <w:num w:numId="11">
    <w:abstractNumId w:val="18"/>
  </w:num>
  <w:num w:numId="12">
    <w:abstractNumId w:val="3"/>
  </w:num>
  <w:num w:numId="13">
    <w:abstractNumId w:val="12"/>
  </w:num>
  <w:num w:numId="14">
    <w:abstractNumId w:val="15"/>
  </w:num>
  <w:num w:numId="15">
    <w:abstractNumId w:val="6"/>
  </w:num>
  <w:num w:numId="16">
    <w:abstractNumId w:val="10"/>
  </w:num>
  <w:num w:numId="17">
    <w:abstractNumId w:val="16"/>
  </w:num>
  <w:num w:numId="18">
    <w:abstractNumId w:val="7"/>
  </w:num>
  <w:num w:numId="19">
    <w:abstractNumId w:val="17"/>
  </w:num>
  <w:num w:numId="20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3B04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3CCC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251F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4E9C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CF1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02B5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320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54E8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9D4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4A51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099C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25C6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3C5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2587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889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3773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7424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2018-08-30T14:53:00Z</cp:lastPrinted>
  <dcterms:created xsi:type="dcterms:W3CDTF">2018-10-03T15:50:00Z</dcterms:created>
  <dcterms:modified xsi:type="dcterms:W3CDTF">2018-10-03T15:50:00Z</dcterms:modified>
</cp:coreProperties>
</file>