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14E36">
              <w:rPr>
                <w:rFonts w:ascii="Arial Narrow" w:eastAsia="Calibri" w:hAnsi="Arial Narrow"/>
                <w:color w:val="000000"/>
                <w:sz w:val="16"/>
                <w:szCs w:val="16"/>
                <w:lang w:eastAsia="en-US"/>
              </w:rPr>
              <w:t>9092</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11367">
              <w:rPr>
                <w:rFonts w:ascii="Arial Narrow" w:eastAsia="Calibri" w:hAnsi="Arial Narrow"/>
                <w:color w:val="000000"/>
                <w:sz w:val="16"/>
                <w:szCs w:val="16"/>
                <w:lang w:val="es-MX" w:eastAsia="en-US"/>
              </w:rPr>
              <w:t>0</w:t>
            </w:r>
            <w:r w:rsidR="00D14E36">
              <w:rPr>
                <w:rFonts w:ascii="Arial Narrow" w:eastAsia="Calibri" w:hAnsi="Arial Narrow"/>
                <w:color w:val="000000"/>
                <w:sz w:val="16"/>
                <w:szCs w:val="16"/>
                <w:lang w:val="es-MX" w:eastAsia="en-US"/>
              </w:rPr>
              <w:t>2</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511BFD">
        <w:rPr>
          <w:rFonts w:ascii="Arial Narrow" w:hAnsi="Arial Narrow"/>
          <w:b/>
          <w:bCs/>
          <w:sz w:val="22"/>
          <w:szCs w:val="22"/>
        </w:rPr>
        <w:t>14</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D14E36">
        <w:rPr>
          <w:rFonts w:ascii="Arial Narrow" w:eastAsia="Calibri" w:hAnsi="Arial Narrow"/>
          <w:b/>
          <w:color w:val="000000"/>
          <w:sz w:val="22"/>
          <w:szCs w:val="22"/>
          <w:lang w:val="es-MX" w:eastAsia="en-US"/>
        </w:rPr>
        <w:t>Miguel Angel Boticheli Tiziano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D14E36">
        <w:rPr>
          <w:rFonts w:ascii="Arial Narrow" w:eastAsia="Calibri" w:hAnsi="Arial Narrow"/>
          <w:color w:val="000000"/>
          <w:sz w:val="22"/>
          <w:szCs w:val="22"/>
          <w:lang w:val="es-MX" w:eastAsia="en-US"/>
        </w:rPr>
        <w:t>9092</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E51716">
        <w:rPr>
          <w:rFonts w:ascii="Arial Narrow" w:eastAsia="Calibri" w:hAnsi="Arial Narrow"/>
          <w:color w:val="000000"/>
          <w:sz w:val="22"/>
          <w:szCs w:val="22"/>
          <w:lang w:val="es-ES_tradnl" w:eastAsia="en-US"/>
        </w:rPr>
        <w:t>0</w:t>
      </w:r>
      <w:r w:rsidR="00D14E36">
        <w:rPr>
          <w:rFonts w:ascii="Arial Narrow" w:eastAsia="Calibri" w:hAnsi="Arial Narrow"/>
          <w:color w:val="000000"/>
          <w:sz w:val="22"/>
          <w:szCs w:val="22"/>
          <w:lang w:val="es-ES_tradnl" w:eastAsia="en-US"/>
        </w:rPr>
        <w:t>2</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D14E36" w:rsidRDefault="00AF65C5" w:rsidP="00AF65C5">
      <w:pPr>
        <w:spacing w:line="0" w:lineRule="atLeast"/>
        <w:ind w:left="1134" w:hanging="426"/>
        <w:jc w:val="both"/>
        <w:rPr>
          <w:rFonts w:ascii="Arial Narrow" w:hAnsi="Arial Narrow"/>
          <w:color w:val="000000"/>
        </w:rPr>
      </w:pPr>
      <w:r>
        <w:rPr>
          <w:rFonts w:ascii="Arial Narrow" w:hAnsi="Arial Narrow"/>
          <w:color w:val="000000"/>
        </w:rPr>
        <w:t>(</w:t>
      </w:r>
      <w:r w:rsidRPr="00AF65C5">
        <w:rPr>
          <w:rFonts w:ascii="Arial Narrow" w:hAnsi="Arial Narrow"/>
          <w:b/>
          <w:color w:val="000000"/>
        </w:rPr>
        <w:t>A</w:t>
      </w:r>
      <w:r>
        <w:rPr>
          <w:rFonts w:ascii="Arial Narrow" w:hAnsi="Arial Narrow"/>
          <w:color w:val="000000"/>
        </w:rPr>
        <w:t xml:space="preserve">) </w:t>
      </w:r>
      <w:r w:rsidR="00966327" w:rsidRPr="00D14E36">
        <w:rPr>
          <w:rFonts w:ascii="Arial Narrow" w:hAnsi="Arial Narrow"/>
          <w:color w:val="000000"/>
        </w:rPr>
        <w:t>“</w:t>
      </w:r>
      <w:r>
        <w:rPr>
          <w:rFonts w:ascii="Arial Narrow" w:hAnsi="Arial Narrow"/>
          <w:color w:val="000000"/>
        </w:rPr>
        <w:t>Es de interés público se hagan públicos los criterios con los cuales se determinó la integración del “panel de especialistas” que seleccionaran al Fiscal anticorrupción</w:t>
      </w:r>
      <w:r w:rsidR="00E51716" w:rsidRPr="00D14E36">
        <w:rPr>
          <w:rFonts w:ascii="Arial Narrow" w:hAnsi="Arial Narrow" w:cs="Arial"/>
        </w:rPr>
        <w:t>.</w:t>
      </w:r>
      <w:r w:rsidR="00A72787" w:rsidRPr="00D14E36">
        <w:rPr>
          <w:rFonts w:ascii="Arial Narrow" w:hAnsi="Arial Narrow" w:cs="Arial"/>
        </w:rPr>
        <w:t>”</w:t>
      </w:r>
      <w:r w:rsidR="00A72787" w:rsidRPr="00D14E36">
        <w:rPr>
          <w:rFonts w:ascii="Arial Narrow" w:hAnsi="Arial Narrow"/>
          <w:color w:val="000000"/>
        </w:rPr>
        <w:t xml:space="preserve"> </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C305E5" w:rsidRPr="00C305E5" w:rsidRDefault="00C305E5" w:rsidP="00C305E5">
      <w:pPr>
        <w:ind w:left="709"/>
        <w:jc w:val="both"/>
        <w:rPr>
          <w:rFonts w:ascii="Arial Narrow" w:hAnsi="Arial Narrow" w:cs="Arial"/>
          <w:sz w:val="22"/>
          <w:szCs w:val="22"/>
        </w:rPr>
      </w:pPr>
      <w:r w:rsidRPr="00C305E5">
        <w:rPr>
          <w:rFonts w:ascii="Arial Narrow" w:hAnsi="Arial Narrow" w:cs="Arial"/>
          <w:sz w:val="22"/>
          <w:szCs w:val="22"/>
        </w:rPr>
        <w:t>En atención al oficio UT-LXV/249/18, relativo al requerimiento de datos que obran en poder de esta Secretaría, necesarios para emitir respuesta a esta solicitud de información con folio No. 090922018, me permito comentarle que:</w:t>
      </w:r>
    </w:p>
    <w:p w:rsidR="00C305E5" w:rsidRPr="00C305E5" w:rsidRDefault="00C305E5" w:rsidP="00C305E5">
      <w:pPr>
        <w:ind w:left="709"/>
        <w:jc w:val="both"/>
        <w:rPr>
          <w:rFonts w:ascii="Arial Narrow" w:hAnsi="Arial Narrow" w:cs="Arial"/>
          <w:sz w:val="22"/>
          <w:szCs w:val="22"/>
        </w:rPr>
      </w:pPr>
    </w:p>
    <w:p w:rsidR="00C305E5" w:rsidRPr="00C305E5" w:rsidRDefault="00C305E5" w:rsidP="00C305E5">
      <w:pPr>
        <w:ind w:left="709"/>
        <w:jc w:val="both"/>
        <w:rPr>
          <w:rFonts w:ascii="Arial Narrow" w:hAnsi="Arial Narrow" w:cs="Arial"/>
          <w:sz w:val="22"/>
          <w:szCs w:val="22"/>
        </w:rPr>
      </w:pPr>
      <w:r w:rsidRPr="00C305E5">
        <w:rPr>
          <w:rFonts w:ascii="Arial Narrow" w:hAnsi="Arial Narrow" w:cs="Arial"/>
          <w:sz w:val="22"/>
          <w:szCs w:val="22"/>
        </w:rPr>
        <w:t>Los criterios empleados para la elección de quienes integran el Panel de Especialistas, encargado del procedimiento de selección de la persona titular de la Fiscalía Especializada Anticorrupción, atendieron a lo dispuesto por el artículo 13 Ter de la Ley Orgánica del Poder Ejecutivo, que señala lo siguiente:</w:t>
      </w:r>
    </w:p>
    <w:p w:rsidR="00C305E5" w:rsidRDefault="00C305E5" w:rsidP="00C305E5">
      <w:pPr>
        <w:rPr>
          <w:rFonts w:ascii="Arial" w:hAnsi="Arial" w:cs="Arial"/>
        </w:rPr>
      </w:pPr>
    </w:p>
    <w:p w:rsidR="00C305E5" w:rsidRDefault="00C305E5" w:rsidP="00C305E5">
      <w:pPr>
        <w:rPr>
          <w:rFonts w:ascii="Arial" w:hAnsi="Arial" w:cs="Arial"/>
        </w:rPr>
      </w:pP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ARTÍCULO 13 Ter. El nombramiento de quien ocupe la titularidad de la Fiscalía Especializada en Combate a la Corrupción se sujetará a lo dispuesto en la Constitución Política del Estado de Chihuahua y al siguiente procedimiento:</w:t>
      </w:r>
    </w:p>
    <w:p w:rsidR="00C305E5" w:rsidRPr="006A1941" w:rsidRDefault="00C305E5" w:rsidP="006A1941">
      <w:pPr>
        <w:ind w:left="1560"/>
        <w:jc w:val="both"/>
        <w:rPr>
          <w:rFonts w:asciiTheme="minorHAnsi" w:hAnsiTheme="minorHAnsi" w:cstheme="minorHAnsi"/>
          <w:sz w:val="22"/>
          <w:szCs w:val="22"/>
        </w:rPr>
      </w:pP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 I. Se integrará un Panel de nueve Especialistas, quienes conformarán la terna de aspirantes a ocupar el cargo de que se trata, y se designarán de la siguiente manera: </w:t>
      </w:r>
    </w:p>
    <w:p w:rsidR="00C305E5" w:rsidRPr="006A1941" w:rsidRDefault="00C305E5" w:rsidP="006A1941">
      <w:pPr>
        <w:ind w:left="2268"/>
        <w:jc w:val="both"/>
        <w:rPr>
          <w:rFonts w:asciiTheme="minorHAnsi" w:hAnsiTheme="minorHAnsi" w:cstheme="minorHAnsi"/>
          <w:sz w:val="22"/>
          <w:szCs w:val="22"/>
        </w:rPr>
      </w:pPr>
      <w:r w:rsidRPr="006A1941">
        <w:rPr>
          <w:rFonts w:asciiTheme="minorHAnsi" w:hAnsiTheme="minorHAnsi" w:cstheme="minorHAnsi"/>
          <w:sz w:val="22"/>
          <w:szCs w:val="22"/>
        </w:rPr>
        <w:t xml:space="preserve">a. Cinco por el Poder Ejecutivo. </w:t>
      </w:r>
    </w:p>
    <w:p w:rsidR="00C305E5" w:rsidRPr="006A1941" w:rsidRDefault="00C305E5" w:rsidP="006A1941">
      <w:pPr>
        <w:ind w:left="2268"/>
        <w:jc w:val="both"/>
        <w:rPr>
          <w:rFonts w:asciiTheme="minorHAnsi" w:hAnsiTheme="minorHAnsi" w:cstheme="minorHAnsi"/>
          <w:sz w:val="22"/>
          <w:szCs w:val="22"/>
        </w:rPr>
      </w:pPr>
      <w:r w:rsidRPr="006A1941">
        <w:rPr>
          <w:rFonts w:asciiTheme="minorHAnsi" w:hAnsiTheme="minorHAnsi" w:cstheme="minorHAnsi"/>
          <w:sz w:val="22"/>
          <w:szCs w:val="22"/>
        </w:rPr>
        <w:t xml:space="preserve">b. Cuatro por el Poder Legislativo, a propuesta de la Junta de Coordinación Política. </w:t>
      </w:r>
    </w:p>
    <w:p w:rsidR="00C305E5" w:rsidRPr="006A1941" w:rsidRDefault="00C305E5" w:rsidP="006A1941">
      <w:pPr>
        <w:ind w:left="1560"/>
        <w:jc w:val="both"/>
        <w:rPr>
          <w:rFonts w:asciiTheme="minorHAnsi" w:hAnsiTheme="minorHAnsi" w:cstheme="minorHAnsi"/>
          <w:sz w:val="22"/>
          <w:szCs w:val="22"/>
        </w:rPr>
      </w:pP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No podrá haber más de cinco miembros de un mismo sexo. </w:t>
      </w:r>
    </w:p>
    <w:p w:rsidR="00C305E5" w:rsidRPr="006A1941" w:rsidRDefault="00C305E5" w:rsidP="006A1941">
      <w:pPr>
        <w:ind w:left="1560"/>
        <w:jc w:val="both"/>
        <w:rPr>
          <w:rFonts w:asciiTheme="minorHAnsi" w:hAnsiTheme="minorHAnsi" w:cstheme="minorHAnsi"/>
          <w:sz w:val="22"/>
          <w:szCs w:val="22"/>
        </w:rPr>
      </w:pP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Quienes integren el Panel de Especialistas desempeñarán su cargo de manera honorífica, y deberán cumplir con los siguientes requisitos: </w:t>
      </w: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1. Contar con la ciudadanía mexicana y encontrarse en pleno ejercicio de sus derechos. </w:t>
      </w: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2. Tener una edad mínima de treinta años. </w:t>
      </w: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3. No haber recibido condena por la comisión de un delito doloso, ni inhabilitación en el servicio público. </w:t>
      </w: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lastRenderedPageBreak/>
        <w:t xml:space="preserve">4. Acreditar ser personas con experiencia y de reconocida trayectoria en materia de combate a la corrupción. </w:t>
      </w: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5. No haber ocupado cargo público, ni haber desempeñado cargo de dirección nacional, estatal o municipal, en algún partido político, en los últimos cinco años</w:t>
      </w:r>
    </w:p>
    <w:p w:rsidR="00C305E5" w:rsidRPr="006A1941" w:rsidRDefault="00C305E5" w:rsidP="006A1941">
      <w:pPr>
        <w:ind w:left="1560"/>
        <w:jc w:val="both"/>
        <w:rPr>
          <w:rFonts w:asciiTheme="minorHAnsi" w:hAnsiTheme="minorHAnsi" w:cstheme="minorHAnsi"/>
          <w:sz w:val="22"/>
          <w:szCs w:val="22"/>
        </w:rPr>
      </w:pPr>
    </w:p>
    <w:p w:rsidR="00C305E5"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Se exceptúa de lo anterior, el ejercicio de la docencia en instituciones públicas de educación e investigación científica. </w:t>
      </w:r>
    </w:p>
    <w:p w:rsidR="006A1941" w:rsidRPr="006A1941" w:rsidRDefault="006A1941" w:rsidP="006A1941">
      <w:pPr>
        <w:ind w:left="1560"/>
        <w:jc w:val="both"/>
        <w:rPr>
          <w:rFonts w:asciiTheme="minorHAnsi" w:hAnsiTheme="minorHAnsi" w:cstheme="minorHAnsi"/>
          <w:sz w:val="22"/>
          <w:szCs w:val="22"/>
        </w:rPr>
      </w:pP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6. No haberse registrado como candidata o candidato propietario o suplente por ambos principios, en el proceso electoral inmediato anterior al de su designación. </w:t>
      </w: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7. Presentar declaración de inexistencia de conflicto de interés. </w:t>
      </w:r>
    </w:p>
    <w:p w:rsidR="00C305E5" w:rsidRPr="006A1941" w:rsidRDefault="00C305E5" w:rsidP="006A1941">
      <w:pPr>
        <w:ind w:left="1560"/>
        <w:jc w:val="both"/>
        <w:rPr>
          <w:rFonts w:asciiTheme="minorHAnsi" w:hAnsiTheme="minorHAnsi" w:cstheme="minorHAnsi"/>
          <w:sz w:val="22"/>
          <w:szCs w:val="22"/>
        </w:rPr>
      </w:pP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 xml:space="preserve">La designación de quienes integren el Panel de Especialistas se hará mediante Decreto que al efecto emita el Congreso, mismo que se publicará en los portales de internet de los Poderes Legislativo y Ejecutivo. </w:t>
      </w:r>
    </w:p>
    <w:p w:rsidR="00C305E5" w:rsidRPr="006A1941" w:rsidRDefault="00C305E5" w:rsidP="006A1941">
      <w:pPr>
        <w:ind w:left="1560"/>
        <w:jc w:val="both"/>
        <w:rPr>
          <w:rFonts w:asciiTheme="minorHAnsi" w:hAnsiTheme="minorHAnsi" w:cstheme="minorHAnsi"/>
          <w:sz w:val="22"/>
          <w:szCs w:val="22"/>
        </w:rPr>
      </w:pP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La instalación del referido Panel se hará dentro de los cinco días naturales siguientes a la entrada en vigor del citado Decreto.</w:t>
      </w:r>
    </w:p>
    <w:p w:rsidR="00C305E5" w:rsidRPr="006A1941" w:rsidRDefault="00C305E5" w:rsidP="006A1941">
      <w:pPr>
        <w:ind w:left="1560"/>
        <w:jc w:val="both"/>
        <w:rPr>
          <w:rFonts w:asciiTheme="minorHAnsi" w:hAnsiTheme="minorHAnsi" w:cstheme="minorHAnsi"/>
          <w:sz w:val="22"/>
          <w:szCs w:val="22"/>
        </w:rPr>
      </w:pPr>
    </w:p>
    <w:p w:rsidR="00C305E5" w:rsidRPr="006A1941" w:rsidRDefault="00C305E5" w:rsidP="006A1941">
      <w:pPr>
        <w:ind w:left="1560"/>
        <w:jc w:val="both"/>
        <w:rPr>
          <w:rFonts w:asciiTheme="minorHAnsi" w:hAnsiTheme="minorHAnsi" w:cstheme="minorHAnsi"/>
          <w:sz w:val="22"/>
          <w:szCs w:val="22"/>
        </w:rPr>
      </w:pPr>
      <w:r w:rsidRPr="006A1941">
        <w:rPr>
          <w:rFonts w:asciiTheme="minorHAnsi" w:hAnsiTheme="minorHAnsi" w:cstheme="minorHAnsi"/>
          <w:sz w:val="22"/>
          <w:szCs w:val="22"/>
        </w:rPr>
        <w:t>II. …</w:t>
      </w:r>
    </w:p>
    <w:p w:rsidR="00C305E5" w:rsidRDefault="00C305E5" w:rsidP="00C305E5">
      <w:pPr>
        <w:rPr>
          <w:rFonts w:ascii="Arial" w:hAnsi="Arial" w:cs="Arial"/>
        </w:rPr>
      </w:pPr>
    </w:p>
    <w:p w:rsidR="00571916" w:rsidRDefault="00571916" w:rsidP="00C305E5">
      <w:pPr>
        <w:rPr>
          <w:rFonts w:ascii="Arial" w:hAnsi="Arial" w:cs="Arial"/>
        </w:rPr>
      </w:pPr>
    </w:p>
    <w:p w:rsidR="00C305E5" w:rsidRPr="006A1941" w:rsidRDefault="00C305E5" w:rsidP="006A1941">
      <w:pPr>
        <w:ind w:left="709"/>
        <w:jc w:val="both"/>
        <w:rPr>
          <w:rFonts w:ascii="Arial Narrow" w:hAnsi="Arial Narrow" w:cs="Arial"/>
        </w:rPr>
      </w:pPr>
      <w:r w:rsidRPr="00E414ED">
        <w:rPr>
          <w:rFonts w:ascii="Arial Narrow" w:hAnsi="Arial Narrow" w:cs="Arial"/>
          <w:sz w:val="22"/>
          <w:szCs w:val="22"/>
        </w:rPr>
        <w:t>Fue al seno de la Junta de Coordinación Política de este H. Congreso del Estado en donde se integró la propuesta, mediante el dictamen correspondiente, misma que fue puesta a consideración del Pleno y resultó aprobada, en sesión del 12 de julio del año en curso</w:t>
      </w:r>
      <w:r w:rsidRPr="006A1941">
        <w:rPr>
          <w:rFonts w:ascii="Arial Narrow" w:hAnsi="Arial Narrow" w:cs="Arial"/>
        </w:rPr>
        <w:t xml:space="preserve">. </w:t>
      </w:r>
    </w:p>
    <w:p w:rsidR="00C305E5" w:rsidRDefault="00C305E5" w:rsidP="00C305E5">
      <w:pPr>
        <w:rPr>
          <w:rFonts w:ascii="Arial" w:hAnsi="Arial" w:cs="Arial"/>
        </w:rPr>
      </w:pPr>
    </w:p>
    <w:p w:rsidR="00C305E5" w:rsidRPr="00E414ED" w:rsidRDefault="00C305E5" w:rsidP="00E414ED">
      <w:pPr>
        <w:ind w:left="709"/>
        <w:rPr>
          <w:rFonts w:ascii="Arial Narrow" w:hAnsi="Arial Narrow" w:cs="Arial"/>
          <w:sz w:val="22"/>
          <w:szCs w:val="22"/>
        </w:rPr>
      </w:pPr>
      <w:r w:rsidRPr="00E414ED">
        <w:rPr>
          <w:rFonts w:ascii="Arial Narrow" w:hAnsi="Arial Narrow" w:cs="Arial"/>
          <w:sz w:val="22"/>
          <w:szCs w:val="22"/>
        </w:rPr>
        <w:t>Enlace al dictamen y decretos:</w:t>
      </w:r>
    </w:p>
    <w:p w:rsidR="00C305E5" w:rsidRPr="00E414ED" w:rsidRDefault="00C305E5" w:rsidP="00E414ED">
      <w:pPr>
        <w:ind w:left="709"/>
        <w:rPr>
          <w:rFonts w:ascii="Arial Narrow" w:hAnsi="Arial Narrow" w:cs="Arial"/>
          <w:sz w:val="22"/>
          <w:szCs w:val="22"/>
        </w:rPr>
      </w:pPr>
    </w:p>
    <w:p w:rsidR="00C305E5" w:rsidRPr="00E414ED" w:rsidRDefault="00C305E5" w:rsidP="00E414ED">
      <w:pPr>
        <w:ind w:left="709"/>
        <w:rPr>
          <w:rFonts w:ascii="Arial Narrow" w:hAnsi="Arial Narrow" w:cs="Arial"/>
          <w:sz w:val="22"/>
          <w:szCs w:val="22"/>
        </w:rPr>
      </w:pPr>
      <w:r w:rsidRPr="00E414ED">
        <w:rPr>
          <w:rFonts w:ascii="Arial Narrow" w:hAnsi="Arial Narrow" w:cs="Arial"/>
          <w:sz w:val="22"/>
          <w:szCs w:val="22"/>
        </w:rPr>
        <w:t>Dictamen</w:t>
      </w:r>
    </w:p>
    <w:p w:rsidR="00C305E5" w:rsidRPr="00E414ED" w:rsidRDefault="00350BB0" w:rsidP="00E414ED">
      <w:pPr>
        <w:ind w:left="709"/>
        <w:rPr>
          <w:rFonts w:ascii="Arial Narrow" w:hAnsi="Arial Narrow" w:cs="Arial"/>
          <w:sz w:val="22"/>
          <w:szCs w:val="22"/>
        </w:rPr>
      </w:pPr>
      <w:hyperlink r:id="rId7" w:history="1">
        <w:r w:rsidR="00C305E5" w:rsidRPr="00E414ED">
          <w:rPr>
            <w:rStyle w:val="Hipervnculo"/>
            <w:rFonts w:ascii="Arial Narrow" w:hAnsi="Arial Narrow" w:cs="Arial"/>
            <w:sz w:val="22"/>
            <w:szCs w:val="22"/>
          </w:rPr>
          <w:t>http://www.congresochihuahua2.gob.mx/biblioteca/dictamenes/archivosDictamenes/8200.pdf</w:t>
        </w:r>
      </w:hyperlink>
      <w:r w:rsidR="00C305E5" w:rsidRPr="00E414ED">
        <w:rPr>
          <w:rFonts w:ascii="Arial Narrow" w:hAnsi="Arial Narrow" w:cs="Arial"/>
          <w:sz w:val="22"/>
          <w:szCs w:val="22"/>
        </w:rPr>
        <w:t xml:space="preserve"> </w:t>
      </w:r>
    </w:p>
    <w:p w:rsidR="00C305E5" w:rsidRPr="00E414ED" w:rsidRDefault="00C305E5" w:rsidP="00E414ED">
      <w:pPr>
        <w:ind w:left="709"/>
        <w:rPr>
          <w:rFonts w:ascii="Arial Narrow" w:hAnsi="Arial Narrow" w:cs="Arial"/>
          <w:sz w:val="22"/>
          <w:szCs w:val="22"/>
        </w:rPr>
      </w:pPr>
    </w:p>
    <w:p w:rsidR="00C305E5" w:rsidRPr="00E414ED" w:rsidRDefault="00C305E5" w:rsidP="00E414ED">
      <w:pPr>
        <w:ind w:left="709"/>
        <w:rPr>
          <w:rFonts w:ascii="Arial Narrow" w:hAnsi="Arial Narrow" w:cs="Arial"/>
          <w:sz w:val="22"/>
          <w:szCs w:val="22"/>
        </w:rPr>
      </w:pPr>
      <w:r w:rsidRPr="00E414ED">
        <w:rPr>
          <w:rFonts w:ascii="Arial Narrow" w:hAnsi="Arial Narrow" w:cs="Arial"/>
          <w:sz w:val="22"/>
          <w:szCs w:val="22"/>
        </w:rPr>
        <w:t>Decretos</w:t>
      </w:r>
    </w:p>
    <w:p w:rsidR="00C305E5" w:rsidRPr="00E414ED" w:rsidRDefault="00350BB0" w:rsidP="00E414ED">
      <w:pPr>
        <w:ind w:left="709"/>
        <w:rPr>
          <w:rFonts w:ascii="Arial Narrow" w:hAnsi="Arial Narrow" w:cs="Arial"/>
          <w:sz w:val="22"/>
          <w:szCs w:val="22"/>
        </w:rPr>
      </w:pPr>
      <w:hyperlink r:id="rId8" w:history="1">
        <w:r w:rsidR="00C305E5" w:rsidRPr="00E414ED">
          <w:rPr>
            <w:rStyle w:val="Hipervnculo"/>
            <w:rFonts w:ascii="Arial Narrow" w:hAnsi="Arial Narrow" w:cs="Arial"/>
            <w:sz w:val="22"/>
            <w:szCs w:val="22"/>
          </w:rPr>
          <w:t>http://www.congresochihuahua2.gob.mx/biblioteca/decretos/archivosDecretos/6806.pdf</w:t>
        </w:r>
      </w:hyperlink>
      <w:r w:rsidR="00C305E5" w:rsidRPr="00E414ED">
        <w:rPr>
          <w:rFonts w:ascii="Arial Narrow" w:hAnsi="Arial Narrow" w:cs="Arial"/>
          <w:sz w:val="22"/>
          <w:szCs w:val="22"/>
        </w:rPr>
        <w:t xml:space="preserve"> </w:t>
      </w:r>
    </w:p>
    <w:p w:rsidR="00C305E5" w:rsidRPr="00E414ED" w:rsidRDefault="00350BB0" w:rsidP="00E414ED">
      <w:pPr>
        <w:ind w:left="709"/>
        <w:rPr>
          <w:rFonts w:ascii="Arial Narrow" w:hAnsi="Arial Narrow" w:cs="Arial"/>
          <w:sz w:val="22"/>
          <w:szCs w:val="22"/>
        </w:rPr>
      </w:pPr>
      <w:hyperlink r:id="rId9" w:history="1">
        <w:r w:rsidR="00C305E5" w:rsidRPr="00E414ED">
          <w:rPr>
            <w:rStyle w:val="Hipervnculo"/>
            <w:rFonts w:ascii="Arial Narrow" w:hAnsi="Arial Narrow" w:cs="Arial"/>
            <w:sz w:val="22"/>
            <w:szCs w:val="22"/>
          </w:rPr>
          <w:t>http://www.congresochihuahua2.gob.mx/biblioteca/decretos/archivosDecretos/6807.pdf</w:t>
        </w:r>
      </w:hyperlink>
      <w:r w:rsidR="00C305E5" w:rsidRPr="00E414ED">
        <w:rPr>
          <w:rFonts w:ascii="Arial Narrow" w:hAnsi="Arial Narrow" w:cs="Arial"/>
          <w:sz w:val="22"/>
          <w:szCs w:val="22"/>
        </w:rPr>
        <w:t xml:space="preserve"> </w:t>
      </w:r>
    </w:p>
    <w:p w:rsidR="00C305E5" w:rsidRPr="00E414ED" w:rsidRDefault="00C305E5" w:rsidP="00E414ED">
      <w:pPr>
        <w:ind w:left="709"/>
        <w:rPr>
          <w:rFonts w:ascii="Arial Narrow" w:hAnsi="Arial Narrow" w:cs="Arial"/>
          <w:sz w:val="22"/>
          <w:szCs w:val="22"/>
        </w:rPr>
      </w:pPr>
    </w:p>
    <w:p w:rsidR="00C305E5" w:rsidRPr="00E414ED" w:rsidRDefault="00C305E5" w:rsidP="00E414ED">
      <w:pPr>
        <w:ind w:left="709"/>
        <w:jc w:val="both"/>
        <w:rPr>
          <w:rFonts w:ascii="Arial Narrow" w:hAnsi="Arial Narrow" w:cs="Arial"/>
          <w:sz w:val="22"/>
          <w:szCs w:val="22"/>
        </w:rPr>
      </w:pPr>
      <w:r w:rsidRPr="00E414ED">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C305E5" w:rsidRDefault="00C305E5" w:rsidP="009047AF">
      <w:pPr>
        <w:ind w:left="709"/>
        <w:jc w:val="both"/>
        <w:rPr>
          <w:rFonts w:ascii="Arial Narrow" w:hAnsi="Arial Narrow"/>
          <w:sz w:val="22"/>
          <w:szCs w:val="22"/>
        </w:rPr>
      </w:pPr>
    </w:p>
    <w:p w:rsidR="0042344C" w:rsidRDefault="0042344C" w:rsidP="00896BEC">
      <w:pPr>
        <w:ind w:left="709"/>
        <w:jc w:val="both"/>
        <w:rPr>
          <w:rFonts w:ascii="Arial Narrow" w:hAnsi="Arial Narrow" w:cs="Arial"/>
          <w:sz w:val="22"/>
          <w:szCs w:val="22"/>
          <w:shd w:val="clear" w:color="auto" w:fill="FFFFFF"/>
        </w:rPr>
      </w:pPr>
    </w:p>
    <w:p w:rsidR="00E414ED" w:rsidRDefault="00E414ED" w:rsidP="00896BEC">
      <w:pPr>
        <w:ind w:left="709"/>
        <w:jc w:val="both"/>
        <w:rPr>
          <w:rFonts w:ascii="Arial Narrow" w:hAnsi="Arial Narrow" w:cs="Arial"/>
          <w:sz w:val="22"/>
          <w:szCs w:val="22"/>
          <w:shd w:val="clear" w:color="auto" w:fill="FFFFFF"/>
        </w:rPr>
      </w:pPr>
    </w:p>
    <w:p w:rsidR="00E414ED" w:rsidRDefault="00E414ED" w:rsidP="00896BEC">
      <w:pPr>
        <w:ind w:left="709"/>
        <w:jc w:val="both"/>
        <w:rPr>
          <w:rFonts w:ascii="Arial Narrow" w:hAnsi="Arial Narrow" w:cs="Arial"/>
          <w:sz w:val="22"/>
          <w:szCs w:val="22"/>
          <w:shd w:val="clear" w:color="auto" w:fill="FFFFFF"/>
        </w:rPr>
      </w:pPr>
    </w:p>
    <w:p w:rsidR="00E414ED" w:rsidRDefault="00E414ED"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10"/>
      <w:headerReference w:type="default" r:id="rId11"/>
      <w:footerReference w:type="even" r:id="rId12"/>
      <w:footerReference w:type="default" r:id="rId13"/>
      <w:headerReference w:type="first" r:id="rId14"/>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202" w:rsidRDefault="00784202">
      <w:r>
        <w:separator/>
      </w:r>
    </w:p>
  </w:endnote>
  <w:endnote w:type="continuationSeparator" w:id="1">
    <w:p w:rsidR="00784202" w:rsidRDefault="00784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350BB0"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350BB0" w:rsidP="0077121F">
    <w:pPr>
      <w:pStyle w:val="Piedepgina"/>
    </w:pPr>
    <w:r w:rsidRPr="00350BB0">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350BB0"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202" w:rsidRDefault="00784202">
      <w:r>
        <w:separator/>
      </w:r>
    </w:p>
  </w:footnote>
  <w:footnote w:type="continuationSeparator" w:id="1">
    <w:p w:rsidR="00784202" w:rsidRDefault="00784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350BB0"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350BB0" w:rsidRPr="00D30BA7">
            <w:rPr>
              <w:rFonts w:ascii="Arial Narrow" w:hAnsi="Arial Narrow"/>
              <w:sz w:val="16"/>
              <w:szCs w:val="16"/>
            </w:rPr>
            <w:fldChar w:fldCharType="separate"/>
          </w:r>
          <w:r w:rsidR="00004080">
            <w:rPr>
              <w:rFonts w:ascii="Arial Narrow" w:hAnsi="Arial Narrow"/>
              <w:noProof/>
              <w:sz w:val="16"/>
              <w:szCs w:val="16"/>
            </w:rPr>
            <w:t>4</w:t>
          </w:r>
          <w:r w:rsidR="00350BB0" w:rsidRPr="00D30BA7">
            <w:rPr>
              <w:rFonts w:ascii="Arial Narrow" w:hAnsi="Arial Narrow"/>
              <w:sz w:val="16"/>
              <w:szCs w:val="16"/>
            </w:rPr>
            <w:fldChar w:fldCharType="end"/>
          </w:r>
          <w:r w:rsidRPr="00D30BA7">
            <w:rPr>
              <w:rFonts w:ascii="Arial Narrow" w:hAnsi="Arial Narrow"/>
              <w:sz w:val="16"/>
              <w:szCs w:val="16"/>
            </w:rPr>
            <w:t xml:space="preserve"> de </w:t>
          </w:r>
          <w:r w:rsidR="00E414ED">
            <w:rPr>
              <w:rFonts w:ascii="Arial Narrow" w:hAnsi="Arial Narrow"/>
              <w:sz w:val="16"/>
              <w:szCs w:val="16"/>
            </w:rPr>
            <w:t>4</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80"/>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0BB0"/>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BFD"/>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202"/>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decretos/archivosDecretos/6806.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ngresochihuahua2.gob.mx/biblioteca/dictamenes/archivosDictamenes/8200.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gresochihuahua2.gob.mx/biblioteca/decretos/archivosDecretos/6807.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8100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9553</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2018-08-14T17:56:00Z</dcterms:created>
  <dcterms:modified xsi:type="dcterms:W3CDTF">2018-08-14T17:56:00Z</dcterms:modified>
</cp:coreProperties>
</file>