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B794E" w14:textId="2D08B1BA" w:rsidR="000D1D5F" w:rsidRDefault="000D1D5F" w:rsidP="000D1D5F">
      <w:pPr>
        <w:tabs>
          <w:tab w:val="left" w:pos="540"/>
        </w:tabs>
        <w:jc w:val="both"/>
        <w:rPr>
          <w:rFonts w:ascii="10.5" w:hAnsi="10.5"/>
          <w:b/>
          <w:sz w:val="26"/>
          <w:szCs w:val="26"/>
        </w:rPr>
      </w:pPr>
    </w:p>
    <w:p w14:paraId="6EA3183A" w14:textId="12C9B63D" w:rsidR="00996B61" w:rsidRDefault="00996B61" w:rsidP="00996B61">
      <w:pPr>
        <w:spacing w:line="360" w:lineRule="auto"/>
        <w:jc w:val="right"/>
        <w:rPr>
          <w:rFonts w:ascii="Avenir Next LT Pro" w:eastAsia="Calibri" w:hAnsi="Avenir Next LT Pro" w:cs="Arial"/>
        </w:rPr>
      </w:pPr>
    </w:p>
    <w:p w14:paraId="55EDF7AA" w14:textId="77777777" w:rsidR="00996B61" w:rsidRDefault="00996B61" w:rsidP="00996B61">
      <w:pPr>
        <w:spacing w:line="360" w:lineRule="auto"/>
        <w:jc w:val="right"/>
        <w:rPr>
          <w:rFonts w:ascii="Avenir Next LT Pro" w:eastAsia="Calibri" w:hAnsi="Avenir Next LT Pro" w:cs="Arial"/>
        </w:rPr>
      </w:pPr>
    </w:p>
    <w:p w14:paraId="51EA628B" w14:textId="77777777" w:rsidR="00071870" w:rsidRDefault="00071870" w:rsidP="00996B61">
      <w:pPr>
        <w:spacing w:line="360" w:lineRule="auto"/>
        <w:jc w:val="right"/>
        <w:rPr>
          <w:rFonts w:ascii="Avenir Next LT Pro" w:eastAsia="Calibri" w:hAnsi="Avenir Next LT Pro" w:cs="Arial"/>
        </w:rPr>
      </w:pPr>
    </w:p>
    <w:p w14:paraId="254322E8" w14:textId="77777777" w:rsidR="00996B61" w:rsidRDefault="00996B61" w:rsidP="00996B61">
      <w:pPr>
        <w:spacing w:line="360" w:lineRule="auto"/>
        <w:jc w:val="both"/>
        <w:rPr>
          <w:rFonts w:ascii="Avenir Next LT Pro" w:eastAsia="Calibri" w:hAnsi="Avenir Next LT Pro" w:cs="Arial"/>
          <w:b/>
          <w:bCs/>
        </w:rPr>
      </w:pPr>
      <w:r>
        <w:rPr>
          <w:rFonts w:ascii="Avenir Next LT Pro" w:eastAsia="Calibri" w:hAnsi="Avenir Next LT Pro" w:cs="Arial"/>
          <w:b/>
          <w:bCs/>
        </w:rPr>
        <w:t>H. CONGRESO DEL ESTADO</w:t>
      </w:r>
    </w:p>
    <w:p w14:paraId="1B9EE936" w14:textId="77777777" w:rsidR="00996B61" w:rsidRDefault="00996B61" w:rsidP="00996B61">
      <w:pPr>
        <w:spacing w:line="360" w:lineRule="auto"/>
        <w:jc w:val="both"/>
        <w:rPr>
          <w:rFonts w:ascii="Avenir Next LT Pro" w:eastAsia="Calibri" w:hAnsi="Avenir Next LT Pro" w:cs="Arial"/>
          <w:b/>
          <w:bCs/>
        </w:rPr>
      </w:pPr>
      <w:r>
        <w:rPr>
          <w:rFonts w:ascii="Avenir Next LT Pro" w:eastAsia="Calibri" w:hAnsi="Avenir Next LT Pro" w:cs="Arial"/>
          <w:b/>
          <w:bCs/>
        </w:rPr>
        <w:t xml:space="preserve">P R E S E N T E.- </w:t>
      </w:r>
    </w:p>
    <w:p w14:paraId="2A5CD222" w14:textId="77777777" w:rsidR="00071870" w:rsidRDefault="00071870" w:rsidP="00996B61">
      <w:pPr>
        <w:spacing w:line="360" w:lineRule="auto"/>
        <w:jc w:val="both"/>
        <w:rPr>
          <w:rFonts w:ascii="Avenir Next LT Pro" w:eastAsia="Calibri" w:hAnsi="Avenir Next LT Pro" w:cs="Arial"/>
          <w:b/>
          <w:bCs/>
        </w:rPr>
      </w:pPr>
    </w:p>
    <w:p w14:paraId="6DD310B3" w14:textId="61D051D5" w:rsidR="00071870" w:rsidRPr="00C11B99" w:rsidRDefault="00996B61" w:rsidP="00996B61">
      <w:pPr>
        <w:spacing w:line="360" w:lineRule="auto"/>
        <w:jc w:val="both"/>
        <w:rPr>
          <w:rFonts w:ascii="Avenir Next LT Pro" w:eastAsia="Calibri" w:hAnsi="Avenir Next LT Pro" w:cs="Arial"/>
          <w:b/>
          <w:bCs/>
        </w:rPr>
      </w:pPr>
      <w:r>
        <w:rPr>
          <w:rFonts w:ascii="Avenir Next LT Pro" w:eastAsia="Calibri" w:hAnsi="Avenir Next LT Pro" w:cs="Arial"/>
          <w:b/>
          <w:bCs/>
        </w:rPr>
        <w:t>JOSÉ LUIS VILLALOBOS GARCÍA</w:t>
      </w:r>
      <w:r>
        <w:rPr>
          <w:rFonts w:ascii="Avenir Next LT Pro" w:eastAsia="Calibri" w:hAnsi="Avenir Next LT Pro" w:cs="Arial"/>
        </w:rPr>
        <w:t>, Diputado de la Sexagésima Octava Legislatura del Honorable Congreso del Estado, integrante del Grupo Parlamentario del Partido Revolucionario Institucional con fundamento en lo que dispone los artículos 68, fracción I de la Constitución Política del Estado Libre y Soberano de Chihuahua 167, fracción I, 168, 168 BIS y 170 de la Ley Orgánica del Poder Legislativo, 2, fracción IV, 75, 76, fracción V, 77 y 102 del Reglamento Interior y de Prácticas Parlamentarias del Poder Legislativo, y demás relativos comparezco ante esta Honorable Soberanía, a fin de presentar</w:t>
      </w:r>
      <w:r>
        <w:rPr>
          <w:rFonts w:ascii="Avenir Next LT Pro" w:eastAsia="Calibri" w:hAnsi="Avenir Next LT Pro" w:cs="Arial"/>
          <w:b/>
          <w:bCs/>
        </w:rPr>
        <w:t xml:space="preserve">; </w:t>
      </w:r>
      <w:r w:rsidR="003274C6" w:rsidRPr="003274C6">
        <w:rPr>
          <w:rFonts w:ascii="Avenir Next LT Pro" w:eastAsia="Calibri" w:hAnsi="Avenir Next LT Pro" w:cs="Arial"/>
          <w:b/>
          <w:bCs/>
        </w:rPr>
        <w:t>INICIATIVA CON CARÁCTER DE DECRETO POR EL QUE SE REFORMAN Y ADICIONAN DIVERSAS DISPOSICIONES DE LA LEY PARA EL FOMENTO Y LA PARTICIPACIÓN DE LAS ORGANIZACIONES DE LA SOCIEDAD CIVIL</w:t>
      </w:r>
      <w:r w:rsidR="00794003">
        <w:rPr>
          <w:rFonts w:ascii="Avenir Next LT Pro" w:eastAsia="Calibri" w:hAnsi="Avenir Next LT Pro" w:cs="Arial"/>
          <w:b/>
          <w:bCs/>
        </w:rPr>
        <w:t xml:space="preserve">, AGRUPACIONES Y REDES </w:t>
      </w:r>
      <w:r w:rsidR="003274C6" w:rsidRPr="003274C6">
        <w:rPr>
          <w:rFonts w:ascii="Avenir Next LT Pro" w:eastAsia="Calibri" w:hAnsi="Avenir Next LT Pro" w:cs="Arial"/>
          <w:b/>
          <w:bCs/>
        </w:rPr>
        <w:t xml:space="preserve"> DEL ESTADO DE CHIHUAHUA</w:t>
      </w:r>
      <w:r w:rsidR="009A419C">
        <w:rPr>
          <w:rFonts w:ascii="Avenir Next LT Pro" w:eastAsia="Calibri" w:hAnsi="Avenir Next LT Pro" w:cs="Arial"/>
          <w:b/>
          <w:bCs/>
        </w:rPr>
        <w:t xml:space="preserve"> EN MATERIA DE FORTALECIMIENTO DEL REGISTRO ESTATAL</w:t>
      </w:r>
      <w:r w:rsidR="003274C6" w:rsidRPr="003274C6">
        <w:rPr>
          <w:rFonts w:ascii="Avenir Next LT Pro" w:eastAsia="Calibri" w:hAnsi="Avenir Next LT Pro" w:cs="Arial"/>
          <w:b/>
          <w:bCs/>
        </w:rPr>
        <w:t>.</w:t>
      </w:r>
      <w:r w:rsidR="0088274B">
        <w:rPr>
          <w:rFonts w:ascii="Avenir Next LT Pro" w:eastAsia="Calibri" w:hAnsi="Avenir Next LT Pro" w:cs="Arial"/>
          <w:b/>
          <w:bCs/>
        </w:rPr>
        <w:t xml:space="preserve"> </w:t>
      </w:r>
      <w:r>
        <w:rPr>
          <w:rFonts w:ascii="Avenir Next LT Pro" w:eastAsia="Calibri" w:hAnsi="Avenir Next LT Pro" w:cs="Arial"/>
        </w:rPr>
        <w:t xml:space="preserve">Lo anterior </w:t>
      </w:r>
      <w:r>
        <w:rPr>
          <w:rFonts w:ascii="Avenir Next LT Pro" w:eastAsia="Verdana" w:hAnsi="Avenir Next LT Pro" w:cs="Arial"/>
          <w:color w:val="000000"/>
        </w:rPr>
        <w:t>por los motivos y fundamentos que a continuación se expresan:</w:t>
      </w:r>
    </w:p>
    <w:p w14:paraId="624D89C8" w14:textId="77777777" w:rsidR="00C16D6B" w:rsidRPr="0063570B" w:rsidRDefault="00C16D6B" w:rsidP="00C16D6B">
      <w:pPr>
        <w:jc w:val="center"/>
        <w:rPr>
          <w:rFonts w:ascii="Avenir Next LT Pro" w:eastAsia="Calibri" w:hAnsi="Avenir Next LT Pro" w:cs="Arial"/>
          <w:b/>
          <w:bCs/>
        </w:rPr>
      </w:pPr>
      <w:r w:rsidRPr="0063570B">
        <w:rPr>
          <w:rFonts w:ascii="Avenir Next LT Pro" w:eastAsia="Calibri" w:hAnsi="Avenir Next LT Pro" w:cs="Arial"/>
          <w:b/>
          <w:bCs/>
        </w:rPr>
        <w:t>EXPOSICIÓN DE MOTIVOS</w:t>
      </w:r>
    </w:p>
    <w:p w14:paraId="5C16E641" w14:textId="77777777" w:rsidR="00071870" w:rsidRPr="0063570B" w:rsidRDefault="00071870" w:rsidP="00C16D6B">
      <w:pPr>
        <w:jc w:val="center"/>
        <w:rPr>
          <w:rFonts w:ascii="Avenir Next LT Pro" w:eastAsia="Calibri" w:hAnsi="Avenir Next LT Pro" w:cs="Arial"/>
          <w:b/>
          <w:bCs/>
        </w:rPr>
      </w:pPr>
    </w:p>
    <w:p w14:paraId="60A60039" w14:textId="77777777" w:rsid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En Chihuahua, las organizaciones de la sociedad civil realizan una labor indispensable y cercana a la vida cotidiana de miles de personas. Allí donde existe una necesidad social, con frecuencia son estas organizaciones las que acompañan, orientan, atienden y construyen soluciones junto con las comunidades. </w:t>
      </w:r>
    </w:p>
    <w:p w14:paraId="3BB4B204" w14:textId="58615A3A"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lastRenderedPageBreak/>
        <w:t>Su trabajo complementa la acción del Estado en materias tan relevantes como la educación, la salud, la protección del medio ambiente, la cultura y la atención de grupos en situación de vulnerabilidad. Además de prestar servicios, generan confianza, articulan redes de apoyo, movilizan la participación ciudadana y aportan conocimiento directo sobre las problemáticas de cada comunidad. Fortalecerlas significa, por tanto, ampliar la capacidad colectiva para atender necesidades públicas y mejorar las condiciones de vida en la entidad.</w:t>
      </w:r>
    </w:p>
    <w:p w14:paraId="1E1E0A6A" w14:textId="1412E1F0"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Reconociendo ese valor público, la Ley para el Fomento y la Participación de las Organizaciones de la Sociedad Civil, Agrupaciones y Redes del Estado de Chihuahua estableció un marco jurídico para apoyar su desarrollo, promover su participación y facilitar la coordinación con las autoridades. </w:t>
      </w:r>
      <w:r w:rsidR="00F20E29">
        <w:rPr>
          <w:rFonts w:ascii="Avenir Next LT Pro" w:eastAsia="Calibri" w:hAnsi="Avenir Next LT Pro" w:cs="Arial"/>
          <w:lang w:val="es-MX"/>
        </w:rPr>
        <w:t>En su</w:t>
      </w:r>
      <w:r w:rsidRPr="001159E5">
        <w:rPr>
          <w:rFonts w:ascii="Avenir Next LT Pro" w:eastAsia="Calibri" w:hAnsi="Avenir Next LT Pro" w:cs="Arial"/>
          <w:lang w:val="es-MX"/>
        </w:rPr>
        <w:t xml:space="preserve"> Capítulo III regula el Registro Estatal, a cargo de la Secretaría de Desarrollo Humano y Bien Común, por conducto de la Junta de Asistencia Social Privada, este Registro cumple funciones necesarias: otorga la Constancia de Identificación Única, acredita la existencia legal de las organizaciones y permite dar seguimiento al cumplimiento de sus obligaciones. </w:t>
      </w:r>
    </w:p>
    <w:p w14:paraId="01823883" w14:textId="249DBAF9"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Actualmente el directorio de las OSC´S</w:t>
      </w:r>
      <w:r w:rsidR="00113594">
        <w:rPr>
          <w:rStyle w:val="Refdenotaalpie"/>
          <w:rFonts w:ascii="Avenir Next LT Pro" w:eastAsia="Calibri" w:hAnsi="Avenir Next LT Pro" w:cs="Arial"/>
          <w:lang w:val="es-MX"/>
        </w:rPr>
        <w:footnoteReference w:id="1"/>
      </w:r>
      <w:r w:rsidRPr="001159E5">
        <w:rPr>
          <w:rFonts w:ascii="Avenir Next LT Pro" w:eastAsia="Calibri" w:hAnsi="Avenir Next LT Pro" w:cs="Arial"/>
          <w:lang w:val="es-MX"/>
        </w:rPr>
        <w:t>, disponible en la página web de la Junta de Asistencia Social Privada del Estado de Chihuahua reúne a 384 organizaciones inscritas y concentra datos como expediente, RFC, razón social, municipio, domicilio, teléfono, correo electrónico y ámbito de acción. Esta información ofrece una base institucional confiable sobre la cual es posible construir una herramienta de mayor utilidad pública.</w:t>
      </w:r>
    </w:p>
    <w:p w14:paraId="7BBEAF4F"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Sin embargo, en su funcionamiento actual, el Registro opera principalmente como un padrón administrativo y un directorio estático. Los datos publicados </w:t>
      </w:r>
      <w:r w:rsidRPr="001159E5">
        <w:rPr>
          <w:rFonts w:ascii="Avenir Next LT Pro" w:eastAsia="Calibri" w:hAnsi="Avenir Next LT Pro" w:cs="Arial"/>
          <w:lang w:val="es-MX"/>
        </w:rPr>
        <w:lastRenderedPageBreak/>
        <w:t>permiten saber que una organización existe y está formalmente inscrita, pero no explican con claridad qué labor realiza, a qué población atiende ni cuáles son los programas, actividades, servicios o productos que ofrece. Esta falta de información limita la posibilidad de que una persona encuentre apoyo, que una empresa identifique un proyecto social con el cual colaborar o que una autoridad conozca las capacidades ya disponibles en una comunidad.</w:t>
      </w:r>
    </w:p>
    <w:p w14:paraId="5D5872F8"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Acreditar formalmente a las organizaciones es indispensable, pero no suficiente para fortalecerlas. El fomento también exige crear condiciones para que su trabajo sea conocido, para que encuentren aliados, para que accedan a nuevas oportunidades de colaboración y para que los recursos, conocimientos y capacidades existentes puedan ponerse al servicio de un mayor número de personas.</w:t>
      </w:r>
    </w:p>
    <w:p w14:paraId="253F707B"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En respuesta a esta necesidad, la presente iniciativa propone ampliar el alcance funcional del Registro Estatal </w:t>
      </w:r>
      <w:r w:rsidRPr="008F7901">
        <w:rPr>
          <w:rFonts w:ascii="Avenir Next LT Pro" w:eastAsia="Calibri" w:hAnsi="Avenir Next LT Pro" w:cs="Arial"/>
          <w:lang w:val="es-MX"/>
        </w:rPr>
        <w:t>mediante una plataforma digital interactiva y de libre consulta pública.</w:t>
      </w:r>
      <w:r w:rsidRPr="001159E5">
        <w:rPr>
          <w:rFonts w:ascii="Avenir Next LT Pro" w:eastAsia="Calibri" w:hAnsi="Avenir Next LT Pro" w:cs="Arial"/>
          <w:lang w:val="es-MX"/>
        </w:rPr>
        <w:t xml:space="preserve"> En ella, cada organización inscrita podrá dar a conocer su misión y mantener actualizado un catálogo de las actividades, los programas, los servicios y los productos que ofrece. </w:t>
      </w:r>
    </w:p>
    <w:p w14:paraId="72D72215" w14:textId="5A13C876" w:rsidR="001159E5" w:rsidRPr="001159E5" w:rsidRDefault="001159E5" w:rsidP="00664414">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Esta propuesta no </w:t>
      </w:r>
      <w:r w:rsidR="00603194">
        <w:rPr>
          <w:rFonts w:ascii="Avenir Next LT Pro" w:eastAsia="Calibri" w:hAnsi="Avenir Next LT Pro" w:cs="Arial"/>
          <w:lang w:val="es-MX"/>
        </w:rPr>
        <w:t>busca crear</w:t>
      </w:r>
      <w:r w:rsidRPr="001159E5">
        <w:rPr>
          <w:rFonts w:ascii="Avenir Next LT Pro" w:eastAsia="Calibri" w:hAnsi="Avenir Next LT Pro" w:cs="Arial"/>
          <w:lang w:val="es-MX"/>
        </w:rPr>
        <w:t xml:space="preserve"> un registro distinto ni sustituye sus funciones actuales; sino que aprovecha la estructura existente y le incorpora una dimensión activa de difusión, vinculación y cooperación. Se propone que la plataforma concentre y difunda la oferta institucional de las organizaciones y además facilite su vinculación directa con:</w:t>
      </w:r>
      <w:r w:rsidR="00603194">
        <w:rPr>
          <w:rFonts w:ascii="Avenir Next LT Pro" w:eastAsia="Calibri" w:hAnsi="Avenir Next LT Pro" w:cs="Arial"/>
          <w:lang w:val="es-MX"/>
        </w:rPr>
        <w:t xml:space="preserve"> </w:t>
      </w:r>
      <w:r w:rsidRPr="001159E5">
        <w:rPr>
          <w:rFonts w:ascii="Avenir Next LT Pro" w:eastAsia="Calibri" w:hAnsi="Avenir Next LT Pro" w:cs="Arial"/>
          <w:lang w:val="es-MX"/>
        </w:rPr>
        <w:t>Dependencias y entidades de los tres órdenes de gobierno</w:t>
      </w:r>
      <w:r w:rsidR="00664414">
        <w:rPr>
          <w:rFonts w:ascii="Avenir Next LT Pro" w:eastAsia="Calibri" w:hAnsi="Avenir Next LT Pro" w:cs="Arial"/>
          <w:lang w:val="es-MX"/>
        </w:rPr>
        <w:t>, l</w:t>
      </w:r>
      <w:r w:rsidRPr="001159E5">
        <w:rPr>
          <w:rFonts w:ascii="Avenir Next LT Pro" w:eastAsia="Calibri" w:hAnsi="Avenir Next LT Pro" w:cs="Arial"/>
          <w:lang w:val="es-MX"/>
        </w:rPr>
        <w:t>a iniciativa privada, Instituciones de educación superior y centros de investigación; y</w:t>
      </w:r>
      <w:r w:rsidR="00664414">
        <w:rPr>
          <w:rFonts w:ascii="Avenir Next LT Pro" w:eastAsia="Calibri" w:hAnsi="Avenir Next LT Pro" w:cs="Arial"/>
          <w:lang w:val="es-MX"/>
        </w:rPr>
        <w:t xml:space="preserve"> l</w:t>
      </w:r>
      <w:r w:rsidRPr="001159E5">
        <w:rPr>
          <w:rFonts w:ascii="Avenir Next LT Pro" w:eastAsia="Calibri" w:hAnsi="Avenir Next LT Pro" w:cs="Arial"/>
          <w:lang w:val="es-MX"/>
        </w:rPr>
        <w:t>a ciudadanía en general que requiere atención o desea sumarse al trabajo social.</w:t>
      </w:r>
    </w:p>
    <w:p w14:paraId="424379D6" w14:textId="219FCC93"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lastRenderedPageBreak/>
        <w:t xml:space="preserve">Para la ciudadanía, </w:t>
      </w:r>
      <w:r w:rsidR="00664414">
        <w:rPr>
          <w:rFonts w:ascii="Avenir Next LT Pro" w:eastAsia="Calibri" w:hAnsi="Avenir Next LT Pro" w:cs="Arial"/>
          <w:lang w:val="es-MX"/>
        </w:rPr>
        <w:t xml:space="preserve">esta </w:t>
      </w:r>
      <w:r w:rsidRPr="001159E5">
        <w:rPr>
          <w:rFonts w:ascii="Avenir Next LT Pro" w:eastAsia="Calibri" w:hAnsi="Avenir Next LT Pro" w:cs="Arial"/>
          <w:lang w:val="es-MX"/>
        </w:rPr>
        <w:t>plataforma ofrecería un medio oficial, accesible y confiable para localizar apoyos y conocer qué organizaciones se encuentran legalmente registradas y activas. Para las organizaciones de la sociedad civil, sería una herramienta de fortalecimiento institucional: les permitiría hacer visible su experiencia, acreditar públicamente el trabajo que realizan, llegar a más personas beneficiarias y establecer vínculos con aliados, clientes, donantes y personas voluntarias.</w:t>
      </w:r>
    </w:p>
    <w:p w14:paraId="31A5EA79"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Ese fortalecimiento no se reduce a una mayor presencia pública. Contar con un espacio institucional para mostrar y actualizar su oferta puede ayudar a las organizaciones a diversificar sus fuentes de ingreso, generar alianzas de largo plazo, acceder a oportunidades de contratación o colaboración y reducir su dependencia de apoyos aislados. </w:t>
      </w:r>
    </w:p>
    <w:p w14:paraId="4520F4BB"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También puede favorecer el intercambio de experiencias entre organizaciones, la formación de redes y la complementariedad de capacidades, de modo que puedan atender problemas más complejos sin duplicar esfuerzos. </w:t>
      </w:r>
    </w:p>
    <w:p w14:paraId="1C597C6F"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En términos prácticos, una organización más visible, vinculada y sostenible está en mejores condiciones de profesionalizar su operación, dar continuidad a sus proyectos y ampliar el impacto de su trabajo en la comunidad.</w:t>
      </w:r>
    </w:p>
    <w:p w14:paraId="0A7887D5" w14:textId="77777777" w:rsidR="007F0810"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Para las autoridades de los tres órdenes de gobierno, la plataforma serviría como una fuente de información estratégica para orientar la inversión social, identificar servicios y aliados, aprovechar mejor los recursos públicos y evitar la duplicidad de esfuerzos. </w:t>
      </w:r>
    </w:p>
    <w:p w14:paraId="30076147" w14:textId="00139645"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 xml:space="preserve">A la iniciativa privada le facilitaría encontrar organizaciones con experiencia acreditada para desarrollar acciones de responsabilidad social; y a las instituciones educativas y centros de investigación les brindaría información útil </w:t>
      </w:r>
      <w:r w:rsidRPr="001159E5">
        <w:rPr>
          <w:rFonts w:ascii="Avenir Next LT Pro" w:eastAsia="Calibri" w:hAnsi="Avenir Next LT Pro" w:cs="Arial"/>
          <w:lang w:val="es-MX"/>
        </w:rPr>
        <w:lastRenderedPageBreak/>
        <w:t>para impulsar proyectos de vinculación académica, servicio social, prácticas profesionales e investigación aplicada.</w:t>
      </w:r>
    </w:p>
    <w:p w14:paraId="262BA80D" w14:textId="77777777" w:rsidR="001159E5" w:rsidRPr="001159E5" w:rsidRDefault="001159E5" w:rsidP="001159E5">
      <w:pPr>
        <w:spacing w:after="160" w:line="360" w:lineRule="auto"/>
        <w:jc w:val="both"/>
        <w:rPr>
          <w:rFonts w:ascii="Avenir Next LT Pro" w:eastAsia="Calibri" w:hAnsi="Avenir Next LT Pro" w:cs="Arial"/>
          <w:lang w:val="es-MX"/>
        </w:rPr>
      </w:pPr>
      <w:r w:rsidRPr="001159E5">
        <w:rPr>
          <w:rFonts w:ascii="Avenir Next LT Pro" w:eastAsia="Calibri" w:hAnsi="Avenir Next LT Pro" w:cs="Arial"/>
          <w:lang w:val="es-MX"/>
        </w:rPr>
        <w:t>En suma, fortalecer a las organizaciones de la sociedad civil implica mucho más que reconocer su existencia jurídica. Supone ofrecerles condiciones para que puedan sostener su labor, ampliar su presencia, generar confianza, conectarse con otros actores y convertir su experiencia en soluciones de mayor alcance. Esta propuesta facilitará el acceso de la población a servicios de interés social, mejorará la información disponible para las decisiones públicas y privadas, promoverá la coordinación intersectorial y permitirá aprovechar de manera más eficiente los recursos comunitarios.</w:t>
      </w:r>
    </w:p>
    <w:p w14:paraId="73DACA98" w14:textId="1B180469" w:rsidR="001159E5" w:rsidRPr="001159E5" w:rsidRDefault="007F0810" w:rsidP="001159E5">
      <w:pPr>
        <w:spacing w:after="160" w:line="360" w:lineRule="auto"/>
        <w:jc w:val="both"/>
        <w:rPr>
          <w:rFonts w:ascii="Avenir Next LT Pro" w:eastAsia="Calibri" w:hAnsi="Avenir Next LT Pro" w:cs="Arial"/>
          <w:lang w:val="es-MX"/>
        </w:rPr>
      </w:pPr>
      <w:r>
        <w:rPr>
          <w:rFonts w:ascii="Avenir Next LT Pro" w:eastAsia="Calibri" w:hAnsi="Avenir Next LT Pro" w:cs="Arial"/>
          <w:lang w:val="es-MX"/>
        </w:rPr>
        <w:t xml:space="preserve">Fortalecer </w:t>
      </w:r>
      <w:r w:rsidR="001159E5" w:rsidRPr="001159E5">
        <w:rPr>
          <w:rFonts w:ascii="Avenir Next LT Pro" w:eastAsia="Calibri" w:hAnsi="Avenir Next LT Pro" w:cs="Arial"/>
          <w:lang w:val="es-MX"/>
        </w:rPr>
        <w:t xml:space="preserve">el Registro Estatal no es una modificación meramente formal. Es una medida concreta para hacer efectivos los objetivos de fomento, transparencia, coordinación y participación social que inspiran la Ley. Al aprovechar la infraestructura digital disponible, el Estado puede contribuir a que las organizaciones sean más visibles, sólidas, autónomas y sostenibles, y a que su trabajo llegue a más comunidades y personas. </w:t>
      </w:r>
    </w:p>
    <w:p w14:paraId="577BC305" w14:textId="77777777" w:rsidR="00EE0352" w:rsidRPr="0063570B" w:rsidRDefault="00EE0352" w:rsidP="00F36A63">
      <w:pPr>
        <w:spacing w:after="160" w:line="360" w:lineRule="auto"/>
        <w:jc w:val="both"/>
        <w:rPr>
          <w:rFonts w:ascii="Avenir Next LT Pro" w:eastAsia="Calibri" w:hAnsi="Avenir Next LT Pro" w:cs="Arial"/>
        </w:rPr>
      </w:pPr>
      <w:r w:rsidRPr="0063570B">
        <w:rPr>
          <w:rFonts w:ascii="Avenir Next LT Pro" w:eastAsia="Calibri" w:hAnsi="Avenir Next LT Pro" w:cs="Arial"/>
        </w:rPr>
        <w:t>Por lo anteriormente expuesto, me permito someter a consideración de esta soberanía, el presente proyecto con carácter de:</w:t>
      </w:r>
    </w:p>
    <w:p w14:paraId="41F56EDB" w14:textId="77777777" w:rsidR="00EE0352" w:rsidRPr="00E54A1F" w:rsidRDefault="00EE0352" w:rsidP="00F36A63">
      <w:pPr>
        <w:spacing w:after="160" w:line="360" w:lineRule="auto"/>
        <w:jc w:val="center"/>
        <w:rPr>
          <w:rFonts w:ascii="Avenir Next LT Pro" w:eastAsia="Calibri" w:hAnsi="Avenir Next LT Pro" w:cs="Arial"/>
          <w:b/>
          <w:bCs/>
        </w:rPr>
      </w:pPr>
      <w:r w:rsidRPr="00E54A1F">
        <w:rPr>
          <w:rFonts w:ascii="Avenir Next LT Pro" w:eastAsia="Calibri" w:hAnsi="Avenir Next LT Pro" w:cs="Arial"/>
          <w:b/>
          <w:bCs/>
        </w:rPr>
        <w:t>DECRETO</w:t>
      </w:r>
    </w:p>
    <w:p w14:paraId="52741B67" w14:textId="1348814D" w:rsidR="00EE0352" w:rsidRPr="0063570B" w:rsidRDefault="00EE0352" w:rsidP="00F36A63">
      <w:pPr>
        <w:spacing w:after="160" w:line="360" w:lineRule="auto"/>
        <w:jc w:val="both"/>
        <w:rPr>
          <w:rFonts w:ascii="Avenir Next LT Pro" w:eastAsia="Calibri" w:hAnsi="Avenir Next LT Pro" w:cs="Arial"/>
        </w:rPr>
      </w:pPr>
      <w:r w:rsidRPr="00E54A1F">
        <w:rPr>
          <w:rFonts w:ascii="Avenir Next LT Pro" w:eastAsia="Calibri" w:hAnsi="Avenir Next LT Pro" w:cs="Arial"/>
          <w:b/>
          <w:bCs/>
        </w:rPr>
        <w:t xml:space="preserve">ARTÍCULO </w:t>
      </w:r>
      <w:proofErr w:type="gramStart"/>
      <w:r w:rsidRPr="00E54A1F">
        <w:rPr>
          <w:rFonts w:ascii="Avenir Next LT Pro" w:eastAsia="Calibri" w:hAnsi="Avenir Next LT Pro" w:cs="Arial"/>
          <w:b/>
          <w:bCs/>
        </w:rPr>
        <w:t>ÚNICO.-</w:t>
      </w:r>
      <w:proofErr w:type="gramEnd"/>
      <w:r w:rsidRPr="0063570B">
        <w:rPr>
          <w:rFonts w:ascii="Avenir Next LT Pro" w:eastAsia="Calibri" w:hAnsi="Avenir Next LT Pro" w:cs="Arial"/>
        </w:rPr>
        <w:t xml:space="preserve"> </w:t>
      </w:r>
      <w:r w:rsidR="003A4734" w:rsidRPr="003A4734">
        <w:rPr>
          <w:rFonts w:ascii="Avenir Next LT Pro" w:eastAsia="Calibri" w:hAnsi="Avenir Next LT Pro" w:cs="Arial"/>
          <w:lang w:val="es-MX"/>
        </w:rPr>
        <w:t xml:space="preserve">Se </w:t>
      </w:r>
      <w:r w:rsidR="00791A5B" w:rsidRPr="00791A5B">
        <w:rPr>
          <w:rFonts w:ascii="Avenir Next LT Pro" w:eastAsia="Calibri" w:hAnsi="Avenir Next LT Pro" w:cs="Arial"/>
          <w:b/>
          <w:bCs/>
          <w:lang w:val="es-MX"/>
        </w:rPr>
        <w:t>REFORMA</w:t>
      </w:r>
      <w:r w:rsidR="00791A5B" w:rsidRPr="003A4734">
        <w:rPr>
          <w:rFonts w:ascii="Avenir Next LT Pro" w:eastAsia="Calibri" w:hAnsi="Avenir Next LT Pro" w:cs="Arial"/>
          <w:lang w:val="es-MX"/>
        </w:rPr>
        <w:t xml:space="preserve"> el</w:t>
      </w:r>
      <w:r w:rsidR="003A4734" w:rsidRPr="003A4734">
        <w:rPr>
          <w:rFonts w:ascii="Avenir Next LT Pro" w:eastAsia="Calibri" w:hAnsi="Avenir Next LT Pro" w:cs="Arial"/>
          <w:lang w:val="es-MX"/>
        </w:rPr>
        <w:t xml:space="preserve"> párrafo segundo del Artículo 10; la fracción VII </w:t>
      </w:r>
      <w:r w:rsidR="00791A5B">
        <w:rPr>
          <w:rFonts w:ascii="Avenir Next LT Pro" w:eastAsia="Calibri" w:hAnsi="Avenir Next LT Pro" w:cs="Arial"/>
          <w:lang w:val="es-MX"/>
        </w:rPr>
        <w:t>del</w:t>
      </w:r>
      <w:r w:rsidR="003A4734" w:rsidRPr="003A4734">
        <w:rPr>
          <w:rFonts w:ascii="Avenir Next LT Pro" w:eastAsia="Calibri" w:hAnsi="Avenir Next LT Pro" w:cs="Arial"/>
          <w:lang w:val="es-MX"/>
        </w:rPr>
        <w:t xml:space="preserve"> </w:t>
      </w:r>
      <w:r w:rsidR="00791A5B" w:rsidRPr="003A4734">
        <w:rPr>
          <w:rFonts w:ascii="Avenir Next LT Pro" w:eastAsia="Calibri" w:hAnsi="Avenir Next LT Pro" w:cs="Arial"/>
          <w:lang w:val="es-MX"/>
        </w:rPr>
        <w:t>artículo</w:t>
      </w:r>
      <w:r w:rsidR="003A4734" w:rsidRPr="003A4734">
        <w:rPr>
          <w:rFonts w:ascii="Avenir Next LT Pro" w:eastAsia="Calibri" w:hAnsi="Avenir Next LT Pro" w:cs="Arial"/>
          <w:lang w:val="es-MX"/>
        </w:rPr>
        <w:t xml:space="preserve"> 12 y la fracción V del Artículo 16, </w:t>
      </w:r>
      <w:r w:rsidR="008D4DB2">
        <w:rPr>
          <w:rFonts w:ascii="Avenir Next LT Pro" w:eastAsia="Calibri" w:hAnsi="Avenir Next LT Pro" w:cs="Arial"/>
          <w:lang w:val="es-MX"/>
        </w:rPr>
        <w:t xml:space="preserve">y </w:t>
      </w:r>
      <w:r w:rsidR="003A4734" w:rsidRPr="003A4734">
        <w:rPr>
          <w:rFonts w:ascii="Avenir Next LT Pro" w:eastAsia="Calibri" w:hAnsi="Avenir Next LT Pro" w:cs="Arial"/>
          <w:lang w:val="es-MX"/>
        </w:rPr>
        <w:t xml:space="preserve">se </w:t>
      </w:r>
      <w:r w:rsidR="003A4734" w:rsidRPr="00791A5B">
        <w:rPr>
          <w:rFonts w:ascii="Avenir Next LT Pro" w:eastAsia="Calibri" w:hAnsi="Avenir Next LT Pro" w:cs="Arial"/>
          <w:b/>
          <w:bCs/>
          <w:lang w:val="es-MX"/>
        </w:rPr>
        <w:t>ADICIONAN</w:t>
      </w:r>
      <w:r w:rsidR="003A4734" w:rsidRPr="003A4734">
        <w:rPr>
          <w:rFonts w:ascii="Avenir Next LT Pro" w:eastAsia="Calibri" w:hAnsi="Avenir Next LT Pro" w:cs="Arial"/>
          <w:lang w:val="es-MX"/>
        </w:rPr>
        <w:t xml:space="preserve"> las fracciones V, VI y VII al Artículo 11; y la </w:t>
      </w:r>
      <w:r w:rsidR="008D4DB2" w:rsidRPr="003A4734">
        <w:rPr>
          <w:rFonts w:ascii="Avenir Next LT Pro" w:eastAsia="Calibri" w:hAnsi="Avenir Next LT Pro" w:cs="Arial"/>
          <w:lang w:val="es-MX"/>
        </w:rPr>
        <w:t>Fracción</w:t>
      </w:r>
      <w:r w:rsidR="003A4734" w:rsidRPr="003A4734">
        <w:rPr>
          <w:rFonts w:ascii="Avenir Next LT Pro" w:eastAsia="Calibri" w:hAnsi="Avenir Next LT Pro" w:cs="Arial"/>
          <w:lang w:val="es-MX"/>
        </w:rPr>
        <w:t xml:space="preserve"> VIII al </w:t>
      </w:r>
      <w:r w:rsidR="008D4DB2" w:rsidRPr="003A4734">
        <w:rPr>
          <w:rFonts w:ascii="Avenir Next LT Pro" w:eastAsia="Calibri" w:hAnsi="Avenir Next LT Pro" w:cs="Arial"/>
          <w:lang w:val="es-MX"/>
        </w:rPr>
        <w:t>artículo</w:t>
      </w:r>
      <w:r w:rsidR="003A4734" w:rsidRPr="003A4734">
        <w:rPr>
          <w:rFonts w:ascii="Avenir Next LT Pro" w:eastAsia="Calibri" w:hAnsi="Avenir Next LT Pro" w:cs="Arial"/>
          <w:lang w:val="es-MX"/>
        </w:rPr>
        <w:t xml:space="preserve"> 12 todos de la Ley para el Fomento y la Participación de las Organizaciones de la Sociedad Civil, Agrupaciones y Redes del Estado de Chihuahua, para quedar redactados de la siguiente manera:</w:t>
      </w:r>
    </w:p>
    <w:p w14:paraId="4514FBEE" w14:textId="623D2AE0" w:rsidR="008838BC" w:rsidRPr="008838BC" w:rsidRDefault="008838BC" w:rsidP="004241CD">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lastRenderedPageBreak/>
        <w:t>Artículo 10.</w:t>
      </w:r>
      <w:r w:rsidR="004241CD">
        <w:rPr>
          <w:rFonts w:ascii="Avenir Next LT Pro" w:eastAsia="Calibri" w:hAnsi="Avenir Next LT Pro" w:cs="Arial"/>
          <w:b/>
          <w:bCs/>
          <w:lang w:val="es-MX"/>
        </w:rPr>
        <w:t xml:space="preserve"> </w:t>
      </w:r>
      <w:r w:rsidRPr="008838BC">
        <w:rPr>
          <w:rFonts w:ascii="Avenir Next LT Pro" w:eastAsia="Calibri" w:hAnsi="Avenir Next LT Pro" w:cs="Arial"/>
          <w:b/>
          <w:bCs/>
          <w:lang w:val="es-MX"/>
        </w:rPr>
        <w:t>[...]</w:t>
      </w:r>
    </w:p>
    <w:p w14:paraId="5111AD88" w14:textId="77777777" w:rsidR="008838BC" w:rsidRPr="003A665D" w:rsidRDefault="008838BC" w:rsidP="008838BC">
      <w:pPr>
        <w:spacing w:after="160" w:line="360" w:lineRule="auto"/>
        <w:ind w:left="567"/>
        <w:jc w:val="both"/>
        <w:rPr>
          <w:rFonts w:ascii="Avenir Next LT Pro" w:eastAsia="Calibri" w:hAnsi="Avenir Next LT Pro" w:cs="Arial"/>
          <w:lang w:val="es-MX"/>
        </w:rPr>
      </w:pPr>
      <w:r w:rsidRPr="003A665D">
        <w:rPr>
          <w:rFonts w:ascii="Avenir Next LT Pro" w:eastAsia="Calibri" w:hAnsi="Avenir Next LT Pro" w:cs="Arial"/>
          <w:lang w:val="es-MX"/>
        </w:rPr>
        <w:t xml:space="preserve">El Registro Estatal será de </w:t>
      </w:r>
      <w:r w:rsidRPr="003A665D">
        <w:rPr>
          <w:rFonts w:ascii="Avenir Next LT Pro" w:eastAsia="Calibri" w:hAnsi="Avenir Next LT Pro" w:cs="Arial"/>
          <w:b/>
          <w:bCs/>
          <w:lang w:val="es-MX"/>
        </w:rPr>
        <w:t>libre</w:t>
      </w:r>
      <w:r w:rsidRPr="003A665D">
        <w:rPr>
          <w:rFonts w:ascii="Avenir Next LT Pro" w:eastAsia="Calibri" w:hAnsi="Avenir Next LT Pro" w:cs="Arial"/>
          <w:lang w:val="es-MX"/>
        </w:rPr>
        <w:t xml:space="preserve"> acceso público</w:t>
      </w:r>
      <w:r w:rsidRPr="008838BC">
        <w:rPr>
          <w:rFonts w:ascii="Avenir Next LT Pro" w:eastAsia="Calibri" w:hAnsi="Avenir Next LT Pro" w:cs="Arial"/>
          <w:b/>
          <w:bCs/>
          <w:lang w:val="es-MX"/>
        </w:rPr>
        <w:t xml:space="preserve">, mediante plataforma digital interactiva, </w:t>
      </w:r>
      <w:r w:rsidRPr="003A665D">
        <w:rPr>
          <w:rFonts w:ascii="Avenir Next LT Pro" w:eastAsia="Calibri" w:hAnsi="Avenir Next LT Pro" w:cs="Arial"/>
          <w:lang w:val="es-MX"/>
        </w:rPr>
        <w:t>y contendrá los datos generales</w:t>
      </w:r>
      <w:r w:rsidRPr="008838BC">
        <w:rPr>
          <w:rFonts w:ascii="Avenir Next LT Pro" w:eastAsia="Calibri" w:hAnsi="Avenir Next LT Pro" w:cs="Arial"/>
          <w:b/>
          <w:bCs/>
          <w:lang w:val="es-MX"/>
        </w:rPr>
        <w:t xml:space="preserve">, así como el catálogo público actualizado de la oferta de actividades, programas, servicios y productos que brindan a la comunidad las </w:t>
      </w:r>
      <w:r w:rsidRPr="003A665D">
        <w:rPr>
          <w:rFonts w:ascii="Avenir Next LT Pro" w:eastAsia="Calibri" w:hAnsi="Avenir Next LT Pro" w:cs="Arial"/>
          <w:lang w:val="es-MX"/>
        </w:rPr>
        <w:t>Organizaciones de la Sociedad Civil.</w:t>
      </w:r>
    </w:p>
    <w:p w14:paraId="2E3B0C9B" w14:textId="77777777" w:rsidR="008838BC" w:rsidRPr="00E166F7" w:rsidRDefault="008838BC" w:rsidP="008838BC">
      <w:pPr>
        <w:spacing w:after="160" w:line="360" w:lineRule="auto"/>
        <w:ind w:left="567"/>
        <w:jc w:val="both"/>
        <w:rPr>
          <w:rFonts w:ascii="Avenir Next LT Pro" w:eastAsia="Calibri" w:hAnsi="Avenir Next LT Pro" w:cs="Arial"/>
          <w:lang w:val="es-MX"/>
        </w:rPr>
      </w:pPr>
      <w:r w:rsidRPr="008838BC">
        <w:rPr>
          <w:rFonts w:ascii="Avenir Next LT Pro" w:eastAsia="Calibri" w:hAnsi="Avenir Next LT Pro" w:cs="Arial"/>
          <w:b/>
          <w:bCs/>
          <w:lang w:val="es-MX"/>
        </w:rPr>
        <w:t xml:space="preserve">Artículo 11. </w:t>
      </w:r>
      <w:r w:rsidRPr="00E166F7">
        <w:rPr>
          <w:rFonts w:ascii="Avenir Next LT Pro" w:eastAsia="Calibri" w:hAnsi="Avenir Next LT Pro" w:cs="Arial"/>
          <w:lang w:val="es-MX"/>
        </w:rPr>
        <w:t>El Registro Estatal tendrá las siguientes funciones:</w:t>
      </w:r>
    </w:p>
    <w:p w14:paraId="2A5F53C0" w14:textId="77777777" w:rsidR="008838BC" w:rsidRPr="00E166F7" w:rsidRDefault="008838BC" w:rsidP="008838BC">
      <w:pPr>
        <w:spacing w:after="160" w:line="360" w:lineRule="auto"/>
        <w:ind w:left="567"/>
        <w:jc w:val="both"/>
        <w:rPr>
          <w:rFonts w:ascii="Avenir Next LT Pro" w:eastAsia="Calibri" w:hAnsi="Avenir Next LT Pro" w:cs="Arial"/>
          <w:lang w:val="es-MX"/>
        </w:rPr>
      </w:pPr>
      <w:r w:rsidRPr="00E166F7">
        <w:rPr>
          <w:rFonts w:ascii="Avenir Next LT Pro" w:eastAsia="Calibri" w:hAnsi="Avenir Next LT Pro" w:cs="Arial"/>
          <w:lang w:val="es-MX"/>
        </w:rPr>
        <w:t>I. a IV. [...]</w:t>
      </w:r>
    </w:p>
    <w:p w14:paraId="261CC47E"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V. Establecer y mantener actualizada una base de datos en plataforma digital interactiva y de libre consulta pública, que concentre la oferta de actividades, programas, servicios y productos de las Organizaciones de la Sociedad Civil, Agrupaciones y Redes inscritas.</w:t>
      </w:r>
    </w:p>
    <w:p w14:paraId="38AAE426"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VI. Difundir de manera continua la oferta de servicios y actividades de las organizaciones a través de los portales y canales de comunicación oficiales de la Secretaría y de la Junta de Asistencia.</w:t>
      </w:r>
    </w:p>
    <w:p w14:paraId="0EFF5F7F"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VII. Promover la vinculación directa de las organizaciones inscritas con dependencias gubernamentales, la iniciativa privada, instituciones educativas, centros de investigación y la ciudadanía en general.</w:t>
      </w:r>
    </w:p>
    <w:p w14:paraId="75FF4EDE" w14:textId="77777777" w:rsidR="008838BC" w:rsidRPr="00E166F7" w:rsidRDefault="008838BC" w:rsidP="008838BC">
      <w:pPr>
        <w:spacing w:after="160" w:line="360" w:lineRule="auto"/>
        <w:ind w:left="567"/>
        <w:jc w:val="both"/>
        <w:rPr>
          <w:rFonts w:ascii="Avenir Next LT Pro" w:eastAsia="Calibri" w:hAnsi="Avenir Next LT Pro" w:cs="Arial"/>
          <w:lang w:val="es-MX"/>
        </w:rPr>
      </w:pPr>
      <w:r w:rsidRPr="008838BC">
        <w:rPr>
          <w:rFonts w:ascii="Avenir Next LT Pro" w:eastAsia="Calibri" w:hAnsi="Avenir Next LT Pro" w:cs="Arial"/>
          <w:b/>
          <w:bCs/>
          <w:lang w:val="es-MX"/>
        </w:rPr>
        <w:t xml:space="preserve">Artículo 12. </w:t>
      </w:r>
      <w:r w:rsidRPr="00E166F7">
        <w:rPr>
          <w:rFonts w:ascii="Avenir Next LT Pro" w:eastAsia="Calibri" w:hAnsi="Avenir Next LT Pro" w:cs="Arial"/>
          <w:lang w:val="es-MX"/>
        </w:rPr>
        <w:t>Para ser inscritas en el Registro Estatal, las Organizaciones de la Sociedad Civil, deberán cumplir lo siguiente:</w:t>
      </w:r>
    </w:p>
    <w:p w14:paraId="5E81A2A4"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I. a VI. [...]</w:t>
      </w:r>
    </w:p>
    <w:p w14:paraId="2E49617E"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lastRenderedPageBreak/>
        <w:t>VII. Presentar la descripción de la oferta de actividades, programas, servicios y productos que la organización pone a disposición del público.</w:t>
      </w:r>
    </w:p>
    <w:p w14:paraId="502DF889"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VIII. Los demás que establezca esta Ley y su Reglamento.</w:t>
      </w:r>
    </w:p>
    <w:p w14:paraId="0EA490D7" w14:textId="77777777" w:rsidR="008838BC" w:rsidRPr="00D81AA1" w:rsidRDefault="008838BC" w:rsidP="008838BC">
      <w:pPr>
        <w:spacing w:after="160" w:line="360" w:lineRule="auto"/>
        <w:ind w:left="567"/>
        <w:jc w:val="both"/>
        <w:rPr>
          <w:rFonts w:ascii="Avenir Next LT Pro" w:eastAsia="Calibri" w:hAnsi="Avenir Next LT Pro" w:cs="Arial"/>
          <w:lang w:val="es-MX"/>
        </w:rPr>
      </w:pPr>
      <w:r w:rsidRPr="008838BC">
        <w:rPr>
          <w:rFonts w:ascii="Avenir Next LT Pro" w:eastAsia="Calibri" w:hAnsi="Avenir Next LT Pro" w:cs="Arial"/>
          <w:b/>
          <w:bCs/>
          <w:lang w:val="es-MX"/>
        </w:rPr>
        <w:t xml:space="preserve">Artículo 16. </w:t>
      </w:r>
      <w:r w:rsidRPr="00D81AA1">
        <w:rPr>
          <w:rFonts w:ascii="Avenir Next LT Pro" w:eastAsia="Calibri" w:hAnsi="Avenir Next LT Pro" w:cs="Arial"/>
          <w:lang w:val="es-MX"/>
        </w:rPr>
        <w:t>Son obligaciones de las Organizaciones de la Sociedad Civil, Agrupaciones y Redes, para efectos de la asignación de apoyos y estímulos económicos, las siguientes:</w:t>
      </w:r>
    </w:p>
    <w:p w14:paraId="5A553F40"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I. a IV. [...]</w:t>
      </w:r>
    </w:p>
    <w:p w14:paraId="13686E78" w14:textId="77777777" w:rsidR="008838BC" w:rsidRPr="008838BC" w:rsidRDefault="008838BC" w:rsidP="008838BC">
      <w:pPr>
        <w:spacing w:after="160" w:line="360" w:lineRule="auto"/>
        <w:ind w:left="567"/>
        <w:jc w:val="both"/>
        <w:rPr>
          <w:rFonts w:ascii="Avenir Next LT Pro" w:eastAsia="Calibri" w:hAnsi="Avenir Next LT Pro" w:cs="Arial"/>
          <w:b/>
          <w:bCs/>
          <w:lang w:val="es-MX"/>
        </w:rPr>
      </w:pPr>
      <w:r w:rsidRPr="008838BC">
        <w:rPr>
          <w:rFonts w:ascii="Avenir Next LT Pro" w:eastAsia="Calibri" w:hAnsi="Avenir Next LT Pro" w:cs="Arial"/>
          <w:b/>
          <w:bCs/>
          <w:lang w:val="es-MX"/>
        </w:rPr>
        <w:t xml:space="preserve">V. </w:t>
      </w:r>
      <w:r w:rsidRPr="00BC35DD">
        <w:rPr>
          <w:rFonts w:ascii="Avenir Next LT Pro" w:eastAsia="Calibri" w:hAnsi="Avenir Next LT Pro" w:cs="Arial"/>
          <w:lang w:val="es-MX"/>
        </w:rPr>
        <w:t>Notificar al Registro Estatal, sobre los cambios o modificaciones de sus estatutos, órganos de gobierno, denominación o razón social, objeto social, domicilio fiscal y social, representante legal, suspensión y/o reanudación de actividades, fusión, extinción, liquidación o disolución, así como la denominación de las Agrupaciones y/o Redes de las que forme parte, y cuando se deje de pertenecer a las mismas, en un plazo no mayor a quince días naturales contados a partir de la modificación o cambio respectivo</w:t>
      </w:r>
      <w:r w:rsidRPr="008838BC">
        <w:rPr>
          <w:rFonts w:ascii="Avenir Next LT Pro" w:eastAsia="Calibri" w:hAnsi="Avenir Next LT Pro" w:cs="Arial"/>
          <w:b/>
          <w:bCs/>
          <w:lang w:val="es-MX"/>
        </w:rPr>
        <w:t>, así como mantener actualizada la información referente a su oferta de actividades, servicios y productos.</w:t>
      </w:r>
    </w:p>
    <w:p w14:paraId="7FB55028" w14:textId="1AD0CFAB" w:rsidR="0021523D" w:rsidRPr="00C82E76" w:rsidRDefault="008838BC" w:rsidP="00043F11">
      <w:pPr>
        <w:spacing w:after="160" w:line="360" w:lineRule="auto"/>
        <w:ind w:left="567"/>
        <w:jc w:val="both"/>
        <w:rPr>
          <w:rFonts w:ascii="Avenir Next LT Pro" w:eastAsia="Calibri" w:hAnsi="Avenir Next LT Pro" w:cs="Arial"/>
          <w:b/>
          <w:bCs/>
          <w:lang w:val="en-US"/>
        </w:rPr>
      </w:pPr>
      <w:r w:rsidRPr="00C82E76">
        <w:rPr>
          <w:rFonts w:ascii="Avenir Next LT Pro" w:eastAsia="Calibri" w:hAnsi="Avenir Next LT Pro" w:cs="Arial"/>
          <w:b/>
          <w:bCs/>
          <w:lang w:val="en-US"/>
        </w:rPr>
        <w:t xml:space="preserve">VI. </w:t>
      </w:r>
      <w:proofErr w:type="spellStart"/>
      <w:proofErr w:type="gramStart"/>
      <w:r w:rsidRPr="00C82E76">
        <w:rPr>
          <w:rFonts w:ascii="Avenir Next LT Pro" w:eastAsia="Calibri" w:hAnsi="Avenir Next LT Pro" w:cs="Arial"/>
          <w:b/>
          <w:bCs/>
          <w:lang w:val="en-US"/>
        </w:rPr>
        <w:t>a</w:t>
      </w:r>
      <w:proofErr w:type="spellEnd"/>
      <w:proofErr w:type="gramEnd"/>
      <w:r w:rsidRPr="00C82E76">
        <w:rPr>
          <w:rFonts w:ascii="Avenir Next LT Pro" w:eastAsia="Calibri" w:hAnsi="Avenir Next LT Pro" w:cs="Arial"/>
          <w:b/>
          <w:bCs/>
          <w:lang w:val="en-US"/>
        </w:rPr>
        <w:t xml:space="preserve"> IX. [...]</w:t>
      </w:r>
    </w:p>
    <w:p w14:paraId="4DE72A09" w14:textId="02B66551" w:rsidR="00C16D6B" w:rsidRPr="00574860" w:rsidRDefault="00C16D6B" w:rsidP="00F36A63">
      <w:pPr>
        <w:spacing w:line="360" w:lineRule="auto"/>
        <w:jc w:val="center"/>
        <w:rPr>
          <w:rFonts w:ascii="Avenir Next LT Pro" w:eastAsia="Calibri" w:hAnsi="Avenir Next LT Pro" w:cs="Arial"/>
          <w:b/>
          <w:bCs/>
          <w:lang w:val="en-US"/>
        </w:rPr>
      </w:pPr>
      <w:r w:rsidRPr="00574860">
        <w:rPr>
          <w:rFonts w:ascii="Avenir Next LT Pro" w:eastAsia="Calibri" w:hAnsi="Avenir Next LT Pro" w:cs="Arial"/>
          <w:b/>
          <w:bCs/>
          <w:lang w:val="en-US"/>
        </w:rPr>
        <w:t>T R A N S I T O R I O</w:t>
      </w:r>
      <w:r w:rsidR="00A5356C">
        <w:rPr>
          <w:rFonts w:ascii="Avenir Next LT Pro" w:eastAsia="Calibri" w:hAnsi="Avenir Next LT Pro" w:cs="Arial"/>
          <w:b/>
          <w:bCs/>
          <w:lang w:val="en-US"/>
        </w:rPr>
        <w:t xml:space="preserve"> S</w:t>
      </w:r>
    </w:p>
    <w:p w14:paraId="5BFDCA6D" w14:textId="77777777" w:rsidR="0046489A" w:rsidRPr="00574860" w:rsidRDefault="0046489A" w:rsidP="00F36A63">
      <w:pPr>
        <w:spacing w:line="360" w:lineRule="auto"/>
        <w:jc w:val="center"/>
        <w:rPr>
          <w:rFonts w:ascii="Avenir Next LT Pro" w:eastAsia="Calibri" w:hAnsi="Avenir Next LT Pro" w:cs="Arial"/>
          <w:lang w:val="en-US"/>
        </w:rPr>
      </w:pPr>
    </w:p>
    <w:p w14:paraId="38448631" w14:textId="6AEA6A0F" w:rsidR="00C16D6B" w:rsidRDefault="00F84B68" w:rsidP="00F36A63">
      <w:pPr>
        <w:spacing w:line="360" w:lineRule="auto"/>
        <w:jc w:val="both"/>
        <w:rPr>
          <w:rFonts w:ascii="Avenir Next LT Pro" w:eastAsia="Calibri" w:hAnsi="Avenir Next LT Pro" w:cs="Arial"/>
        </w:rPr>
      </w:pPr>
      <w:r w:rsidRPr="00445843">
        <w:rPr>
          <w:rFonts w:ascii="Avenir Next LT Pro" w:eastAsia="Calibri" w:hAnsi="Avenir Next LT Pro" w:cs="Arial"/>
          <w:b/>
          <w:bCs/>
        </w:rPr>
        <w:t>PRIMERO</w:t>
      </w:r>
      <w:r w:rsidR="00C16D6B" w:rsidRPr="0063570B">
        <w:rPr>
          <w:rFonts w:ascii="Avenir Next LT Pro" w:eastAsia="Calibri" w:hAnsi="Avenir Next LT Pro" w:cs="Arial"/>
        </w:rPr>
        <w:t>.</w:t>
      </w:r>
      <w:r w:rsidR="00C16D6B" w:rsidRPr="0046489A">
        <w:rPr>
          <w:rFonts w:ascii="Avenir Next LT Pro" w:eastAsia="Calibri" w:hAnsi="Avenir Next LT Pro" w:cs="Arial"/>
        </w:rPr>
        <w:t xml:space="preserve"> - El presente Decreto entrará en vigor al día siguiente de su publicación en el Periódico Oficial del Estado.</w:t>
      </w:r>
    </w:p>
    <w:p w14:paraId="49F1A5A8" w14:textId="77777777" w:rsidR="00F84B68" w:rsidRDefault="00F84B68" w:rsidP="00F36A63">
      <w:pPr>
        <w:spacing w:line="360" w:lineRule="auto"/>
        <w:jc w:val="both"/>
        <w:rPr>
          <w:rFonts w:ascii="Avenir Next LT Pro" w:eastAsia="Calibri" w:hAnsi="Avenir Next LT Pro" w:cs="Arial"/>
        </w:rPr>
      </w:pPr>
    </w:p>
    <w:p w14:paraId="2C29264D" w14:textId="4F18A7CA" w:rsidR="00F84B68" w:rsidRDefault="00F84B68" w:rsidP="00F36A63">
      <w:pPr>
        <w:spacing w:line="360" w:lineRule="auto"/>
        <w:jc w:val="both"/>
        <w:rPr>
          <w:rFonts w:ascii="Avenir Next LT Pro" w:eastAsia="Calibri" w:hAnsi="Avenir Next LT Pro" w:cs="Arial"/>
        </w:rPr>
      </w:pPr>
      <w:proofErr w:type="gramStart"/>
      <w:r w:rsidRPr="00445843">
        <w:rPr>
          <w:rFonts w:ascii="Avenir Next LT Pro" w:eastAsia="Calibri" w:hAnsi="Avenir Next LT Pro" w:cs="Arial"/>
          <w:b/>
          <w:bCs/>
        </w:rPr>
        <w:lastRenderedPageBreak/>
        <w:t>SEGUNDO.</w:t>
      </w:r>
      <w:r w:rsidRPr="0063570B">
        <w:rPr>
          <w:rFonts w:ascii="Avenir Next LT Pro" w:eastAsia="Calibri" w:hAnsi="Avenir Next LT Pro" w:cs="Arial"/>
        </w:rPr>
        <w:t>-</w:t>
      </w:r>
      <w:proofErr w:type="gramEnd"/>
      <w:r>
        <w:rPr>
          <w:rFonts w:ascii="Avenir Next LT Pro" w:eastAsia="Calibri" w:hAnsi="Avenir Next LT Pro" w:cs="Arial"/>
        </w:rPr>
        <w:t xml:space="preserve"> </w:t>
      </w:r>
      <w:r w:rsidR="00AF3AA7" w:rsidRPr="00AF3AA7">
        <w:rPr>
          <w:rFonts w:ascii="Avenir Next LT Pro" w:eastAsia="Calibri" w:hAnsi="Avenir Next LT Pro" w:cs="Arial"/>
        </w:rPr>
        <w:t xml:space="preserve">El Ejecutivo del Estado contará con </w:t>
      </w:r>
      <w:r w:rsidR="00AF3AA7">
        <w:rPr>
          <w:rFonts w:ascii="Avenir Next LT Pro" w:eastAsia="Calibri" w:hAnsi="Avenir Next LT Pro" w:cs="Arial"/>
        </w:rPr>
        <w:t>180</w:t>
      </w:r>
      <w:r w:rsidR="00AF3AA7" w:rsidRPr="00AF3AA7">
        <w:rPr>
          <w:rFonts w:ascii="Avenir Next LT Pro" w:eastAsia="Calibri" w:hAnsi="Avenir Next LT Pro" w:cs="Arial"/>
        </w:rPr>
        <w:t xml:space="preserve"> días naturales, contados a partir de la entrada en vigor del presente Decreto, para realizar las adecuaciones </w:t>
      </w:r>
      <w:r w:rsidR="00381713">
        <w:rPr>
          <w:rFonts w:ascii="Avenir Next LT Pro" w:eastAsia="Calibri" w:hAnsi="Avenir Next LT Pro" w:cs="Arial"/>
        </w:rPr>
        <w:t>Reglamentarias correspondientes</w:t>
      </w:r>
      <w:r w:rsidR="00AF3AA7" w:rsidRPr="00AF3AA7">
        <w:rPr>
          <w:rFonts w:ascii="Avenir Next LT Pro" w:eastAsia="Calibri" w:hAnsi="Avenir Next LT Pro" w:cs="Arial"/>
        </w:rPr>
        <w:t>.</w:t>
      </w:r>
    </w:p>
    <w:p w14:paraId="28EF2D1E" w14:textId="20A7C781" w:rsidR="00043F11" w:rsidRPr="002A0889" w:rsidRDefault="00166040" w:rsidP="00043F11">
      <w:pPr>
        <w:spacing w:line="360" w:lineRule="auto"/>
        <w:jc w:val="both"/>
        <w:rPr>
          <w:rFonts w:ascii="Avenir Next LT Pro" w:eastAsia="Calibri" w:hAnsi="Avenir Next LT Pro" w:cs="Arial"/>
          <w:lang w:val="es-MX"/>
        </w:rPr>
      </w:pPr>
      <w:proofErr w:type="gramStart"/>
      <w:r>
        <w:rPr>
          <w:rFonts w:ascii="Avenir Next LT Pro" w:eastAsia="Calibri" w:hAnsi="Avenir Next LT Pro" w:cs="Arial"/>
          <w:b/>
          <w:bCs/>
          <w:lang w:val="es-MX"/>
        </w:rPr>
        <w:t>TERCERO</w:t>
      </w:r>
      <w:r w:rsidR="00043F11" w:rsidRPr="00043F11">
        <w:rPr>
          <w:rFonts w:ascii="Avenir Next LT Pro" w:eastAsia="Calibri" w:hAnsi="Avenir Next LT Pro" w:cs="Arial"/>
          <w:b/>
          <w:bCs/>
          <w:lang w:val="es-MX"/>
        </w:rPr>
        <w:t>.-</w:t>
      </w:r>
      <w:proofErr w:type="gramEnd"/>
      <w:r w:rsidR="00043F11" w:rsidRPr="00043F11">
        <w:rPr>
          <w:rFonts w:ascii="Avenir Next LT Pro" w:eastAsia="Calibri" w:hAnsi="Avenir Next LT Pro" w:cs="Arial"/>
          <w:b/>
          <w:bCs/>
          <w:lang w:val="es-MX"/>
        </w:rPr>
        <w:t xml:space="preserve"> </w:t>
      </w:r>
      <w:r w:rsidR="00043F11" w:rsidRPr="002A0889">
        <w:rPr>
          <w:rFonts w:ascii="Avenir Next LT Pro" w:eastAsia="Calibri" w:hAnsi="Avenir Next LT Pro" w:cs="Arial"/>
          <w:lang w:val="es-MX"/>
        </w:rPr>
        <w:t xml:space="preserve">La Secretaría de Desarrollo Humano y Bien Común, por conducto de la Junta de Asistencia Social Privada, dispondrá de un plazo no mayor a </w:t>
      </w:r>
      <w:r w:rsidRPr="002A0889">
        <w:rPr>
          <w:rFonts w:ascii="Avenir Next LT Pro" w:eastAsia="Calibri" w:hAnsi="Avenir Next LT Pro" w:cs="Arial"/>
          <w:lang w:val="es-MX"/>
        </w:rPr>
        <w:t>90</w:t>
      </w:r>
      <w:r w:rsidR="00043F11" w:rsidRPr="002A0889">
        <w:rPr>
          <w:rFonts w:ascii="Avenir Next LT Pro" w:eastAsia="Calibri" w:hAnsi="Avenir Next LT Pro" w:cs="Arial"/>
          <w:lang w:val="es-MX"/>
        </w:rPr>
        <w:t xml:space="preserve"> días hábiles a partir </w:t>
      </w:r>
      <w:r w:rsidRPr="002A0889">
        <w:rPr>
          <w:rFonts w:ascii="Avenir Next LT Pro" w:eastAsia="Calibri" w:hAnsi="Avenir Next LT Pro" w:cs="Arial"/>
          <w:lang w:val="es-MX"/>
        </w:rPr>
        <w:t xml:space="preserve">de la expedición de las adecuaciones </w:t>
      </w:r>
      <w:r w:rsidR="00C96A58" w:rsidRPr="002A0889">
        <w:rPr>
          <w:rFonts w:ascii="Avenir Next LT Pro" w:eastAsia="Calibri" w:hAnsi="Avenir Next LT Pro" w:cs="Arial"/>
          <w:lang w:val="es-MX"/>
        </w:rPr>
        <w:t xml:space="preserve">Reglamentarias correspondientes </w:t>
      </w:r>
      <w:r w:rsidR="00043F11" w:rsidRPr="002A0889">
        <w:rPr>
          <w:rFonts w:ascii="Avenir Next LT Pro" w:eastAsia="Calibri" w:hAnsi="Avenir Next LT Pro" w:cs="Arial"/>
          <w:lang w:val="es-MX"/>
        </w:rPr>
        <w:t>para adecuar la infraestructura tecnológica e implementar la plataforma digital interactiva del Registro Estatal.</w:t>
      </w:r>
    </w:p>
    <w:p w14:paraId="7CB9B642" w14:textId="389C7416" w:rsidR="00043F11" w:rsidRPr="003C759F" w:rsidRDefault="00060F61" w:rsidP="00F36A63">
      <w:pPr>
        <w:spacing w:line="360" w:lineRule="auto"/>
        <w:jc w:val="both"/>
        <w:rPr>
          <w:rFonts w:ascii="Avenir Next LT Pro" w:eastAsia="Calibri" w:hAnsi="Avenir Next LT Pro" w:cs="Arial"/>
          <w:lang w:val="es-MX"/>
        </w:rPr>
      </w:pPr>
      <w:proofErr w:type="gramStart"/>
      <w:r>
        <w:rPr>
          <w:rFonts w:ascii="Avenir Next LT Pro" w:eastAsia="Calibri" w:hAnsi="Avenir Next LT Pro" w:cs="Arial"/>
          <w:b/>
          <w:bCs/>
          <w:lang w:val="es-MX"/>
        </w:rPr>
        <w:t>CUARTO</w:t>
      </w:r>
      <w:r w:rsidR="00043F11" w:rsidRPr="00043F11">
        <w:rPr>
          <w:rFonts w:ascii="Avenir Next LT Pro" w:eastAsia="Calibri" w:hAnsi="Avenir Next LT Pro" w:cs="Arial"/>
          <w:b/>
          <w:bCs/>
          <w:lang w:val="es-MX"/>
        </w:rPr>
        <w:t>.-</w:t>
      </w:r>
      <w:proofErr w:type="gramEnd"/>
      <w:r w:rsidR="00043F11" w:rsidRPr="00043F11">
        <w:rPr>
          <w:rFonts w:ascii="Avenir Next LT Pro" w:eastAsia="Calibri" w:hAnsi="Avenir Next LT Pro" w:cs="Arial"/>
          <w:b/>
          <w:bCs/>
          <w:lang w:val="es-MX"/>
        </w:rPr>
        <w:t xml:space="preserve"> </w:t>
      </w:r>
      <w:r w:rsidR="00043F11" w:rsidRPr="002A0889">
        <w:rPr>
          <w:rFonts w:ascii="Avenir Next LT Pro" w:eastAsia="Calibri" w:hAnsi="Avenir Next LT Pro" w:cs="Arial"/>
          <w:lang w:val="es-MX"/>
        </w:rPr>
        <w:t xml:space="preserve">Las Organizaciones de la Sociedad Civil, Agrupaciones y Redes con registro vigente dispondrán de un plazo de 90 días </w:t>
      </w:r>
      <w:r w:rsidR="00C96A58" w:rsidRPr="002A0889">
        <w:rPr>
          <w:rFonts w:ascii="Avenir Next LT Pro" w:eastAsia="Calibri" w:hAnsi="Avenir Next LT Pro" w:cs="Arial"/>
          <w:lang w:val="es-MX"/>
        </w:rPr>
        <w:t>hábiles</w:t>
      </w:r>
      <w:r w:rsidR="00043F11" w:rsidRPr="002A0889">
        <w:rPr>
          <w:rFonts w:ascii="Avenir Next LT Pro" w:eastAsia="Calibri" w:hAnsi="Avenir Next LT Pro" w:cs="Arial"/>
          <w:lang w:val="es-MX"/>
        </w:rPr>
        <w:t>, contados a partir de la habilitación de la plataforma digital, para registrar o actualizar la información relativa a su catálogo de actividades, productos y servicios.</w:t>
      </w:r>
    </w:p>
    <w:p w14:paraId="37DCE75C" w14:textId="77777777" w:rsidR="00C16D6B" w:rsidRDefault="00C16D6B" w:rsidP="00F36A63">
      <w:pPr>
        <w:spacing w:line="360" w:lineRule="auto"/>
        <w:jc w:val="both"/>
        <w:rPr>
          <w:rFonts w:ascii="Avenir Next LT Pro" w:eastAsia="Calibri" w:hAnsi="Avenir Next LT Pro" w:cs="Arial"/>
        </w:rPr>
      </w:pPr>
      <w:r w:rsidRPr="00445843">
        <w:rPr>
          <w:rFonts w:ascii="Avenir Next LT Pro" w:eastAsia="Calibri" w:hAnsi="Avenir Next LT Pro" w:cs="Arial"/>
          <w:b/>
          <w:bCs/>
        </w:rPr>
        <w:t>ECONÓMICO</w:t>
      </w:r>
      <w:r w:rsidRPr="0063570B">
        <w:rPr>
          <w:rFonts w:ascii="Avenir Next LT Pro" w:eastAsia="Calibri" w:hAnsi="Avenir Next LT Pro" w:cs="Arial"/>
        </w:rPr>
        <w:t>.</w:t>
      </w:r>
      <w:r w:rsidRPr="0046489A">
        <w:rPr>
          <w:rFonts w:ascii="Avenir Next LT Pro" w:eastAsia="Calibri" w:hAnsi="Avenir Next LT Pro" w:cs="Arial"/>
        </w:rPr>
        <w:t xml:space="preserve"> Aprobado que sea, túrnese a la Secretaría para que elabore la minuta de Decreto, en los términos en que deba publicarse.</w:t>
      </w:r>
    </w:p>
    <w:p w14:paraId="5056B80F" w14:textId="77777777" w:rsidR="0046489A" w:rsidRPr="0046489A" w:rsidRDefault="0046489A" w:rsidP="00F36A63">
      <w:pPr>
        <w:spacing w:line="360" w:lineRule="auto"/>
        <w:jc w:val="both"/>
        <w:rPr>
          <w:rFonts w:ascii="Avenir Next LT Pro" w:eastAsia="Calibri" w:hAnsi="Avenir Next LT Pro" w:cs="Arial"/>
        </w:rPr>
      </w:pPr>
    </w:p>
    <w:p w14:paraId="209F5436" w14:textId="56E3419C" w:rsidR="00C93177" w:rsidRPr="0063570B" w:rsidRDefault="00C16D6B" w:rsidP="00F36A63">
      <w:pPr>
        <w:spacing w:line="360" w:lineRule="auto"/>
        <w:jc w:val="both"/>
        <w:rPr>
          <w:rFonts w:ascii="Avenir Next LT Pro" w:eastAsia="Calibri" w:hAnsi="Avenir Next LT Pro" w:cs="Arial"/>
        </w:rPr>
      </w:pPr>
      <w:r w:rsidRPr="00445843">
        <w:rPr>
          <w:rFonts w:ascii="Avenir Next LT Pro" w:eastAsia="Calibri" w:hAnsi="Avenir Next LT Pro" w:cs="Arial"/>
          <w:b/>
          <w:bCs/>
        </w:rPr>
        <w:t xml:space="preserve">D A D </w:t>
      </w:r>
      <w:proofErr w:type="gramStart"/>
      <w:r w:rsidRPr="00445843">
        <w:rPr>
          <w:rFonts w:ascii="Avenir Next LT Pro" w:eastAsia="Calibri" w:hAnsi="Avenir Next LT Pro" w:cs="Arial"/>
          <w:b/>
          <w:bCs/>
        </w:rPr>
        <w:t>O</w:t>
      </w:r>
      <w:r w:rsidRPr="0046489A">
        <w:rPr>
          <w:rFonts w:ascii="Avenir Next LT Pro" w:eastAsia="Calibri" w:hAnsi="Avenir Next LT Pro" w:cs="Arial"/>
        </w:rPr>
        <w:t xml:space="preserve">  </w:t>
      </w:r>
      <w:r w:rsidR="00A036A5" w:rsidRPr="00A036A5">
        <w:rPr>
          <w:rFonts w:ascii="Avenir Next LT Pro" w:eastAsia="Calibri" w:hAnsi="Avenir Next LT Pro" w:cs="Arial"/>
          <w:lang w:val="es-MX"/>
        </w:rPr>
        <w:t>en</w:t>
      </w:r>
      <w:proofErr w:type="gramEnd"/>
      <w:r w:rsidR="00A036A5" w:rsidRPr="00A036A5">
        <w:rPr>
          <w:rFonts w:ascii="Avenir Next LT Pro" w:eastAsia="Calibri" w:hAnsi="Avenir Next LT Pro" w:cs="Arial"/>
          <w:lang w:val="es-MX"/>
        </w:rPr>
        <w:t xml:space="preserve"> la sede del Poder Legislativo del Estado de Chihuahua, a los </w:t>
      </w:r>
      <w:r w:rsidR="00C82E76">
        <w:rPr>
          <w:rFonts w:ascii="Avenir Next LT Pro" w:eastAsia="Calibri" w:hAnsi="Avenir Next LT Pro" w:cs="Arial"/>
          <w:lang w:val="es-MX"/>
        </w:rPr>
        <w:t>2</w:t>
      </w:r>
      <w:r w:rsidR="00942D44">
        <w:rPr>
          <w:rFonts w:ascii="Avenir Next LT Pro" w:eastAsia="Calibri" w:hAnsi="Avenir Next LT Pro" w:cs="Arial"/>
          <w:lang w:val="es-MX"/>
        </w:rPr>
        <w:t>7</w:t>
      </w:r>
      <w:r w:rsidR="00A036A5" w:rsidRPr="00A036A5">
        <w:rPr>
          <w:rFonts w:ascii="Avenir Next LT Pro" w:eastAsia="Calibri" w:hAnsi="Avenir Next LT Pro" w:cs="Arial"/>
          <w:lang w:val="es-MX"/>
        </w:rPr>
        <w:t xml:space="preserve"> días  del mes de </w:t>
      </w:r>
      <w:r w:rsidR="00A036A5">
        <w:rPr>
          <w:rFonts w:ascii="Avenir Next LT Pro" w:eastAsia="Calibri" w:hAnsi="Avenir Next LT Pro" w:cs="Arial"/>
          <w:lang w:val="es-MX"/>
        </w:rPr>
        <w:t>Octubre</w:t>
      </w:r>
      <w:r w:rsidR="00A036A5" w:rsidRPr="00A036A5">
        <w:rPr>
          <w:rFonts w:ascii="Avenir Next LT Pro" w:eastAsia="Calibri" w:hAnsi="Avenir Next LT Pro" w:cs="Arial"/>
          <w:lang w:val="es-MX"/>
        </w:rPr>
        <w:t xml:space="preserve"> de 2026.</w:t>
      </w:r>
    </w:p>
    <w:p w14:paraId="423EA585" w14:textId="77777777" w:rsidR="0012729B" w:rsidRPr="0063570B" w:rsidRDefault="0012729B" w:rsidP="00F36A63">
      <w:pPr>
        <w:tabs>
          <w:tab w:val="left" w:pos="540"/>
        </w:tabs>
        <w:spacing w:line="360" w:lineRule="auto"/>
        <w:rPr>
          <w:rFonts w:ascii="Avenir Next LT Pro" w:eastAsia="Calibri" w:hAnsi="Avenir Next LT Pro" w:cs="Arial"/>
        </w:rPr>
      </w:pPr>
    </w:p>
    <w:p w14:paraId="6990CA96" w14:textId="3E3A8C60" w:rsidR="0017726C" w:rsidRPr="00F36A63" w:rsidRDefault="0017726C" w:rsidP="00F36A63">
      <w:pPr>
        <w:tabs>
          <w:tab w:val="left" w:pos="540"/>
        </w:tabs>
        <w:spacing w:line="360" w:lineRule="auto"/>
        <w:jc w:val="center"/>
        <w:rPr>
          <w:rFonts w:ascii="Avenir Next LT Pro" w:eastAsia="Calibri" w:hAnsi="Avenir Next LT Pro" w:cs="Arial"/>
          <w:b/>
          <w:bCs/>
        </w:rPr>
      </w:pPr>
      <w:r w:rsidRPr="00F36A63">
        <w:rPr>
          <w:rFonts w:ascii="Avenir Next LT Pro" w:eastAsia="Calibri" w:hAnsi="Avenir Next LT Pro" w:cs="Arial"/>
          <w:b/>
          <w:bCs/>
        </w:rPr>
        <w:t>ATENTAMENTE</w:t>
      </w:r>
    </w:p>
    <w:p w14:paraId="32473E38" w14:textId="77777777" w:rsidR="0012729B" w:rsidRDefault="0012729B" w:rsidP="00F36A63">
      <w:pPr>
        <w:tabs>
          <w:tab w:val="left" w:pos="540"/>
        </w:tabs>
        <w:spacing w:line="360" w:lineRule="auto"/>
        <w:jc w:val="center"/>
        <w:rPr>
          <w:rFonts w:ascii="Avenir Next LT Pro" w:eastAsia="Calibri" w:hAnsi="Avenir Next LT Pro" w:cs="Arial"/>
          <w:b/>
          <w:bCs/>
        </w:rPr>
      </w:pPr>
    </w:p>
    <w:p w14:paraId="5BBD07DE" w14:textId="77777777" w:rsidR="00F36A63" w:rsidRPr="00F36A63" w:rsidRDefault="00F36A63" w:rsidP="00F36A63">
      <w:pPr>
        <w:tabs>
          <w:tab w:val="left" w:pos="540"/>
        </w:tabs>
        <w:spacing w:line="360" w:lineRule="auto"/>
        <w:jc w:val="center"/>
        <w:rPr>
          <w:rFonts w:ascii="Avenir Next LT Pro" w:eastAsia="Calibri" w:hAnsi="Avenir Next LT Pro" w:cs="Arial"/>
          <w:b/>
          <w:bCs/>
        </w:rPr>
      </w:pPr>
    </w:p>
    <w:p w14:paraId="7DBAEF05" w14:textId="0B023007" w:rsidR="0017726C" w:rsidRDefault="0017726C" w:rsidP="00F36A63">
      <w:pPr>
        <w:tabs>
          <w:tab w:val="left" w:pos="540"/>
        </w:tabs>
        <w:spacing w:line="360" w:lineRule="auto"/>
        <w:jc w:val="center"/>
        <w:rPr>
          <w:rFonts w:ascii="Avenir Next LT Pro" w:eastAsia="Calibri" w:hAnsi="Avenir Next LT Pro" w:cs="Arial"/>
          <w:b/>
          <w:bCs/>
        </w:rPr>
      </w:pPr>
      <w:r w:rsidRPr="00F36A63">
        <w:rPr>
          <w:rFonts w:ascii="Avenir Next LT Pro" w:eastAsia="Calibri" w:hAnsi="Avenir Next LT Pro" w:cs="Arial"/>
          <w:b/>
          <w:bCs/>
        </w:rPr>
        <w:t>DIP. JOSÉ LUIS VILLALOBOS GARCÍA.</w:t>
      </w:r>
    </w:p>
    <w:p w14:paraId="0EB55FE4" w14:textId="38890DF4" w:rsidR="009274A6" w:rsidRPr="009274A6" w:rsidRDefault="009274A6" w:rsidP="009274A6">
      <w:pPr>
        <w:tabs>
          <w:tab w:val="left" w:pos="540"/>
        </w:tabs>
        <w:spacing w:line="360" w:lineRule="auto"/>
        <w:jc w:val="both"/>
        <w:rPr>
          <w:rFonts w:ascii="Avenir Next LT Pro" w:eastAsia="Calibri" w:hAnsi="Avenir Next LT Pro" w:cs="Arial"/>
          <w:sz w:val="18"/>
          <w:szCs w:val="18"/>
          <w:lang w:val="es-MX"/>
        </w:rPr>
      </w:pPr>
      <w:r w:rsidRPr="009274A6">
        <w:rPr>
          <w:rFonts w:ascii="Avenir Next LT Pro" w:eastAsia="Calibri" w:hAnsi="Avenir Next LT Pro" w:cs="Arial"/>
          <w:sz w:val="18"/>
          <w:szCs w:val="18"/>
          <w:lang w:val="es-MX"/>
        </w:rPr>
        <w:t xml:space="preserve">La presente hoja de firmas corresponde a iniciativa con carácter de decreto, a efecto de REFORMAR Y </w:t>
      </w:r>
      <w:proofErr w:type="gramStart"/>
      <w:r w:rsidRPr="009274A6">
        <w:rPr>
          <w:rFonts w:ascii="Avenir Next LT Pro" w:eastAsia="Calibri" w:hAnsi="Avenir Next LT Pro" w:cs="Arial"/>
          <w:sz w:val="18"/>
          <w:szCs w:val="18"/>
          <w:lang w:val="es-MX"/>
        </w:rPr>
        <w:t>ADICIONAR  la</w:t>
      </w:r>
      <w:proofErr w:type="gramEnd"/>
      <w:r w:rsidRPr="009274A6">
        <w:rPr>
          <w:rFonts w:ascii="Avenir Next LT Pro" w:eastAsia="Calibri" w:hAnsi="Avenir Next LT Pro" w:cs="Arial"/>
          <w:sz w:val="18"/>
          <w:szCs w:val="18"/>
          <w:lang w:val="es-MX"/>
        </w:rPr>
        <w:t xml:space="preserve"> Ley </w:t>
      </w:r>
      <w:r w:rsidR="00466196">
        <w:rPr>
          <w:rFonts w:ascii="Avenir Next LT Pro" w:eastAsia="Calibri" w:hAnsi="Avenir Next LT Pro" w:cs="Arial"/>
          <w:sz w:val="18"/>
          <w:szCs w:val="18"/>
          <w:lang w:val="es-MX"/>
        </w:rPr>
        <w:t xml:space="preserve">para el Fomento y la </w:t>
      </w:r>
      <w:r w:rsidR="00965B99">
        <w:rPr>
          <w:rFonts w:ascii="Avenir Next LT Pro" w:eastAsia="Calibri" w:hAnsi="Avenir Next LT Pro" w:cs="Arial"/>
          <w:sz w:val="18"/>
          <w:szCs w:val="18"/>
          <w:lang w:val="es-MX"/>
        </w:rPr>
        <w:t>Participación</w:t>
      </w:r>
      <w:r w:rsidR="00466196">
        <w:rPr>
          <w:rFonts w:ascii="Avenir Next LT Pro" w:eastAsia="Calibri" w:hAnsi="Avenir Next LT Pro" w:cs="Arial"/>
          <w:sz w:val="18"/>
          <w:szCs w:val="18"/>
          <w:lang w:val="es-MX"/>
        </w:rPr>
        <w:t xml:space="preserve"> de las </w:t>
      </w:r>
      <w:r w:rsidR="00965B99">
        <w:rPr>
          <w:rFonts w:ascii="Avenir Next LT Pro" w:eastAsia="Calibri" w:hAnsi="Avenir Next LT Pro" w:cs="Arial"/>
          <w:sz w:val="18"/>
          <w:szCs w:val="18"/>
          <w:lang w:val="es-MX"/>
        </w:rPr>
        <w:t>Organizaciones</w:t>
      </w:r>
      <w:r w:rsidR="00466196">
        <w:rPr>
          <w:rFonts w:ascii="Avenir Next LT Pro" w:eastAsia="Calibri" w:hAnsi="Avenir Next LT Pro" w:cs="Arial"/>
          <w:sz w:val="18"/>
          <w:szCs w:val="18"/>
          <w:lang w:val="es-MX"/>
        </w:rPr>
        <w:t xml:space="preserve"> de la Sociedad Civil</w:t>
      </w:r>
      <w:r w:rsidR="00965B99">
        <w:rPr>
          <w:rFonts w:ascii="Avenir Next LT Pro" w:eastAsia="Calibri" w:hAnsi="Avenir Next LT Pro" w:cs="Arial"/>
          <w:sz w:val="18"/>
          <w:szCs w:val="18"/>
          <w:lang w:val="es-MX"/>
        </w:rPr>
        <w:t>, Agrupaciones y Redes del Estado de Chihuahua.</w:t>
      </w:r>
    </w:p>
    <w:p w14:paraId="702C174E" w14:textId="77777777" w:rsidR="00FC35E7" w:rsidRPr="009274A6" w:rsidRDefault="00FC35E7" w:rsidP="00F36A63">
      <w:pPr>
        <w:tabs>
          <w:tab w:val="left" w:pos="540"/>
        </w:tabs>
        <w:spacing w:line="360" w:lineRule="auto"/>
        <w:jc w:val="center"/>
        <w:rPr>
          <w:rFonts w:ascii="Avenir Next LT Pro" w:eastAsia="Calibri" w:hAnsi="Avenir Next LT Pro" w:cs="Arial"/>
          <w:b/>
          <w:bCs/>
          <w:lang w:val="es-MX"/>
        </w:rPr>
      </w:pPr>
    </w:p>
    <w:sectPr w:rsidR="00FC35E7" w:rsidRPr="009274A6" w:rsidSect="005F5A1C">
      <w:headerReference w:type="even" r:id="rId8"/>
      <w:headerReference w:type="default" r:id="rId9"/>
      <w:footerReference w:type="even" r:id="rId10"/>
      <w:footerReference w:type="default" r:id="rId11"/>
      <w:headerReference w:type="first" r:id="rId12"/>
      <w:footerReference w:type="first" r:id="rId13"/>
      <w:pgSz w:w="12240" w:h="15840"/>
      <w:pgMar w:top="2836" w:right="1701"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4F9E" w14:textId="77777777" w:rsidR="001D32F1" w:rsidRDefault="001D32F1" w:rsidP="0045616C">
      <w:r>
        <w:separator/>
      </w:r>
    </w:p>
  </w:endnote>
  <w:endnote w:type="continuationSeparator" w:id="0">
    <w:p w14:paraId="5F0CE17E" w14:textId="77777777" w:rsidR="001D32F1" w:rsidRDefault="001D32F1" w:rsidP="00456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10.5">
    <w:altName w:val="Cambria"/>
    <w:panose1 w:val="00000000000000000000"/>
    <w:charset w:val="00"/>
    <w:family w:val="roman"/>
    <w:notTrueType/>
    <w:pitch w:val="default"/>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Edwardian Script ITC">
    <w:panose1 w:val="030303020407070D0804"/>
    <w:charset w:val="00"/>
    <w:family w:val="script"/>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FD364" w14:textId="77777777" w:rsidR="00BE3F18" w:rsidRDefault="00BE3F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667334"/>
      <w:docPartObj>
        <w:docPartGallery w:val="Page Numbers (Bottom of Page)"/>
        <w:docPartUnique/>
      </w:docPartObj>
    </w:sdtPr>
    <w:sdtEndPr/>
    <w:sdtContent>
      <w:p w14:paraId="6C3612CF" w14:textId="4087B0AD" w:rsidR="001804C1" w:rsidRDefault="001804C1">
        <w:pPr>
          <w:pStyle w:val="Piedepgina"/>
          <w:jc w:val="right"/>
        </w:pPr>
        <w:r>
          <w:fldChar w:fldCharType="begin"/>
        </w:r>
        <w:r>
          <w:instrText>PAGE   \* MERGEFORMAT</w:instrText>
        </w:r>
        <w:r>
          <w:fldChar w:fldCharType="separate"/>
        </w:r>
        <w:r>
          <w:rPr>
            <w:lang w:val="es-ES"/>
          </w:rPr>
          <w:t>2</w:t>
        </w:r>
        <w:r>
          <w:fldChar w:fldCharType="end"/>
        </w:r>
      </w:p>
    </w:sdtContent>
  </w:sdt>
  <w:p w14:paraId="0B41A2EE" w14:textId="748D4FAA" w:rsidR="0045616C" w:rsidRDefault="0045616C" w:rsidP="00E70F29">
    <w:pPr>
      <w:pStyle w:val="Piedepgina"/>
      <w:tabs>
        <w:tab w:val="clear" w:pos="4419"/>
        <w:tab w:val="clear" w:pos="8838"/>
        <w:tab w:val="left" w:pos="7875"/>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AFDC" w14:textId="77777777" w:rsidR="00BE3F18" w:rsidRDefault="00BE3F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EB35" w14:textId="77777777" w:rsidR="001D32F1" w:rsidRDefault="001D32F1" w:rsidP="0045616C">
      <w:r>
        <w:separator/>
      </w:r>
    </w:p>
  </w:footnote>
  <w:footnote w:type="continuationSeparator" w:id="0">
    <w:p w14:paraId="6F16FD16" w14:textId="77777777" w:rsidR="001D32F1" w:rsidRDefault="001D32F1" w:rsidP="0045616C">
      <w:r>
        <w:continuationSeparator/>
      </w:r>
    </w:p>
  </w:footnote>
  <w:footnote w:id="1">
    <w:p w14:paraId="521AA644" w14:textId="444FC445" w:rsidR="00113594" w:rsidRDefault="00113594">
      <w:pPr>
        <w:pStyle w:val="Textonotapie"/>
      </w:pPr>
      <w:r>
        <w:rPr>
          <w:rStyle w:val="Refdenotaalpie"/>
        </w:rPr>
        <w:footnoteRef/>
      </w:r>
      <w:r>
        <w:t xml:space="preserve"> </w:t>
      </w:r>
      <w:r w:rsidRPr="00113594">
        <w:t>https://jaspchihuahua.mx/directorio-de-las-oscs/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7D223" w14:textId="77777777" w:rsidR="00BE3F18" w:rsidRDefault="00BE3F1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B217" w14:textId="3A70A5B5" w:rsidR="0045616C" w:rsidRDefault="00BE3F18" w:rsidP="0045616C">
    <w:pPr>
      <w:tabs>
        <w:tab w:val="left" w:pos="1275"/>
        <w:tab w:val="right" w:pos="8838"/>
      </w:tabs>
    </w:pPr>
    <w:r>
      <w:rPr>
        <w:noProof/>
      </w:rPr>
      <w:drawing>
        <wp:anchor distT="0" distB="0" distL="114300" distR="114300" simplePos="0" relativeHeight="251655168" behindDoc="1" locked="0" layoutInCell="1" allowOverlap="1" wp14:anchorId="3582179B" wp14:editId="6D6B2DDB">
          <wp:simplePos x="0" y="0"/>
          <wp:positionH relativeFrom="column">
            <wp:posOffset>-437197</wp:posOffset>
          </wp:positionH>
          <wp:positionV relativeFrom="paragraph">
            <wp:posOffset>-273367</wp:posOffset>
          </wp:positionV>
          <wp:extent cx="1000125" cy="1181100"/>
          <wp:effectExtent l="0" t="0" r="9525" b="0"/>
          <wp:wrapNone/>
          <wp:docPr id="7768866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stretch>
                    <a:fillRect/>
                  </a:stretch>
                </pic:blipFill>
                <pic:spPr>
                  <a:xfrm>
                    <a:off x="0" y="0"/>
                    <a:ext cx="1000125" cy="1181100"/>
                  </a:xfrm>
                  <a:prstGeom prst="rect">
                    <a:avLst/>
                  </a:prstGeom>
                </pic:spPr>
              </pic:pic>
            </a:graphicData>
          </a:graphic>
          <wp14:sizeRelH relativeFrom="margin">
            <wp14:pctWidth>0</wp14:pctWidth>
          </wp14:sizeRelH>
          <wp14:sizeRelV relativeFrom="margin">
            <wp14:pctHeight>0</wp14:pctHeight>
          </wp14:sizeRelV>
        </wp:anchor>
      </w:drawing>
    </w:r>
    <w:r w:rsidR="00881EDE">
      <w:rPr>
        <w:noProof/>
      </w:rPr>
      <mc:AlternateContent>
        <mc:Choice Requires="wps">
          <w:drawing>
            <wp:anchor distT="0" distB="0" distL="114300" distR="114300" simplePos="0" relativeHeight="251665408" behindDoc="0" locked="0" layoutInCell="1" allowOverlap="1" wp14:anchorId="5DF496AC" wp14:editId="57AF8E9C">
              <wp:simplePos x="0" y="0"/>
              <wp:positionH relativeFrom="column">
                <wp:posOffset>1005840</wp:posOffset>
              </wp:positionH>
              <wp:positionV relativeFrom="paragraph">
                <wp:posOffset>-273367</wp:posOffset>
              </wp:positionV>
              <wp:extent cx="5543550" cy="28575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543550" cy="285750"/>
                      </a:xfrm>
                      <a:prstGeom prst="rect">
                        <a:avLst/>
                      </a:prstGeom>
                      <a:solidFill>
                        <a:sysClr val="window" lastClr="FFFFFF"/>
                      </a:solidFill>
                      <a:ln w="6350">
                        <a:noFill/>
                      </a:ln>
                    </wps:spPr>
                    <wps:txbx>
                      <w:txbxContent>
                        <w:p w14:paraId="69E64C28" w14:textId="06410F21" w:rsidR="0045616C" w:rsidRPr="00881EDE" w:rsidRDefault="00881EDE" w:rsidP="00881EDE">
                          <w:pPr>
                            <w:rPr>
                              <w:sz w:val="22"/>
                              <w:szCs w:val="22"/>
                            </w:rPr>
                          </w:pPr>
                          <w:r w:rsidRPr="00881EDE">
                            <w:rPr>
                              <w:sz w:val="22"/>
                              <w:szCs w:val="22"/>
                            </w:rPr>
                            <w:t>"2026, Año del Bicentenario de la Abolición de la Esclavitud en el Estado de Chihuahua"</w:t>
                          </w:r>
                        </w:p>
                        <w:p w14:paraId="43048514" w14:textId="77777777" w:rsidR="0045616C" w:rsidRDefault="0045616C" w:rsidP="004561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DF496AC" id="_x0000_t202" coordsize="21600,21600" o:spt="202" path="m,l,21600r21600,l21600,xe">
              <v:stroke joinstyle="miter"/>
              <v:path gradientshapeok="t" o:connecttype="rect"/>
            </v:shapetype>
            <v:shape id="Cuadro de texto 4" o:spid="_x0000_s1026" type="#_x0000_t202" style="position:absolute;margin-left:79.2pt;margin-top:-21.5pt;width:436.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" fillcolor="window" stroked="f" strokeweight=".5pt">
              <v:textbox>
                <w:txbxContent>
                  <w:p w14:paraId="69E64C28" w14:textId="06410F21" w:rsidR="0045616C" w:rsidRPr="00881EDE" w:rsidRDefault="00881EDE" w:rsidP="00881EDE">
                    <w:pPr>
                      <w:rPr>
                        <w:sz w:val="22"/>
                        <w:szCs w:val="22"/>
                      </w:rPr>
                    </w:pPr>
                    <w:r w:rsidRPr="00881EDE">
                      <w:rPr>
                        <w:sz w:val="22"/>
                        <w:szCs w:val="22"/>
                      </w:rPr>
                      <w:t>"2026, Año del Bicentenario de la Abolición de la Esclavitud en el Estado de Chihuahua"</w:t>
                    </w:r>
                  </w:p>
                  <w:p w14:paraId="43048514" w14:textId="77777777" w:rsidR="0045616C" w:rsidRDefault="0045616C" w:rsidP="0045616C"/>
                </w:txbxContent>
              </v:textbox>
            </v:shape>
          </w:pict>
        </mc:Fallback>
      </mc:AlternateContent>
    </w:r>
    <w:r w:rsidR="0045616C">
      <w:rPr>
        <w:noProof/>
      </w:rPr>
      <mc:AlternateContent>
        <mc:Choice Requires="wps">
          <w:drawing>
            <wp:anchor distT="0" distB="0" distL="114300" distR="114300" simplePos="0" relativeHeight="251660288" behindDoc="1" locked="0" layoutInCell="1" allowOverlap="1" wp14:anchorId="02F98992" wp14:editId="1D16E62A">
              <wp:simplePos x="0" y="0"/>
              <wp:positionH relativeFrom="margin">
                <wp:posOffset>1202055</wp:posOffset>
              </wp:positionH>
              <wp:positionV relativeFrom="paragraph">
                <wp:posOffset>179705</wp:posOffset>
              </wp:positionV>
              <wp:extent cx="5511165" cy="1270"/>
              <wp:effectExtent l="0" t="19050" r="13335" b="17780"/>
              <wp:wrapNone/>
              <wp:docPr id="8"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165" cy="1270"/>
                      </a:xfrm>
                      <a:custGeom>
                        <a:avLst/>
                        <a:gdLst/>
                        <a:ahLst/>
                        <a:cxnLst/>
                        <a:rect l="l" t="t" r="r" b="b"/>
                        <a:pathLst>
                          <a:path w="5511165">
                            <a:moveTo>
                              <a:pt x="0" y="0"/>
                            </a:moveTo>
                            <a:lnTo>
                              <a:pt x="5510980" y="0"/>
                            </a:lnTo>
                          </a:path>
                        </a:pathLst>
                      </a:custGeom>
                      <a:ln w="30493">
                        <a:solidFill>
                          <a:srgbClr val="802442"/>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E18DEAB" id="Graphic 2" o:spid="_x0000_s1026" style="position:absolute;margin-left:94.65pt;margin-top:14.15pt;width:433.95pt;height:.1pt;z-index:-251656192;visibility:visible;mso-wrap-style:square;mso-wrap-distance-left:9pt;mso-wrap-distance-top:0;mso-wrap-distance-right:9pt;mso-wrap-distance-bottom:0;mso-position-horizontal:absolute;mso-position-horizontal-relative:margin;mso-position-vertical:absolute;mso-position-vertical-relative:text;v-text-anchor:top" coordsize="5511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" path="m,l5510980,e" filled="f" strokecolor="#802442" strokeweight=".84703mm">
              <v:path arrowok="t"/>
              <w10:wrap anchorx="margin"/>
            </v:shape>
          </w:pict>
        </mc:Fallback>
      </mc:AlternateContent>
    </w:r>
    <w:r w:rsidR="0045616C">
      <w:tab/>
    </w:r>
  </w:p>
  <w:p w14:paraId="119B6EAC" w14:textId="6CC624B0" w:rsidR="0045616C" w:rsidRDefault="0045616C" w:rsidP="0045616C">
    <w:pPr>
      <w:tabs>
        <w:tab w:val="left" w:pos="1275"/>
        <w:tab w:val="right" w:pos="8838"/>
      </w:tabs>
    </w:pPr>
  </w:p>
  <w:p w14:paraId="6400C013" w14:textId="05AE8DF4" w:rsidR="00421DA3" w:rsidRDefault="0045616C" w:rsidP="00421DA3">
    <w:pPr>
      <w:pStyle w:val="Encabezado"/>
      <w:jc w:val="right"/>
    </w:pPr>
    <w:r>
      <w:tab/>
    </w:r>
    <w:r w:rsidR="00421DA3">
      <w:rPr>
        <w:rFonts w:ascii="Edwardian Script ITC" w:hAnsi="Edwardian Script ITC"/>
        <w:b/>
        <w:sz w:val="44"/>
      </w:rPr>
      <w:t xml:space="preserve">Diputado José Luis </w:t>
    </w:r>
    <w:proofErr w:type="gramStart"/>
    <w:r w:rsidR="00421DA3">
      <w:rPr>
        <w:rFonts w:ascii="Edwardian Script ITC" w:hAnsi="Edwardian Script ITC"/>
        <w:b/>
        <w:sz w:val="44"/>
      </w:rPr>
      <w:t>Villalobos  García</w:t>
    </w:r>
    <w:proofErr w:type="gramEnd"/>
  </w:p>
  <w:p w14:paraId="368855CB" w14:textId="7F7388BE" w:rsidR="0045616C" w:rsidRDefault="0045616C" w:rsidP="00421DA3">
    <w:pPr>
      <w:tabs>
        <w:tab w:val="left" w:pos="1275"/>
        <w:tab w:val="right" w:pos="8838"/>
      </w:tabs>
      <w:jc w:val="right"/>
    </w:pPr>
  </w:p>
  <w:p w14:paraId="238F320C" w14:textId="0E51D098" w:rsidR="0045616C" w:rsidRDefault="00800023">
    <w:pPr>
      <w:pStyle w:val="Encabezado"/>
    </w:pPr>
    <w:r>
      <w:rPr>
        <w:noProof/>
      </w:rPr>
      <mc:AlternateContent>
        <mc:Choice Requires="wps">
          <w:drawing>
            <wp:anchor distT="0" distB="0" distL="114300" distR="114300" simplePos="0" relativeHeight="251651072" behindDoc="0" locked="0" layoutInCell="1" allowOverlap="1" wp14:anchorId="790C3EA9" wp14:editId="03553332">
              <wp:simplePos x="0" y="0"/>
              <wp:positionH relativeFrom="margin">
                <wp:posOffset>-889635</wp:posOffset>
              </wp:positionH>
              <wp:positionV relativeFrom="paragraph">
                <wp:posOffset>112395</wp:posOffset>
              </wp:positionV>
              <wp:extent cx="2114550" cy="447675"/>
              <wp:effectExtent l="0" t="0" r="0" b="9525"/>
              <wp:wrapNone/>
              <wp:docPr id="5" name="Cuadro de texto 5"/>
              <wp:cNvGraphicFramePr/>
              <a:graphic xmlns:a="http://schemas.openxmlformats.org/drawingml/2006/main">
                <a:graphicData uri="http://schemas.microsoft.com/office/word/2010/wordprocessingShape">
                  <wps:wsp>
                    <wps:cNvSpPr txBox="1"/>
                    <wps:spPr>
                      <a:xfrm>
                        <a:off x="0" y="0"/>
                        <a:ext cx="2114550" cy="447675"/>
                      </a:xfrm>
                      <a:prstGeom prst="rect">
                        <a:avLst/>
                      </a:prstGeom>
                      <a:solidFill>
                        <a:sysClr val="window" lastClr="FFFFFF"/>
                      </a:solidFill>
                      <a:ln w="6350">
                        <a:noFill/>
                      </a:ln>
                    </wps:spPr>
                    <wps:txbx>
                      <w:txbxContent>
                        <w:p w14:paraId="2F1E8531" w14:textId="0541777F" w:rsidR="0045616C" w:rsidRPr="007762C5" w:rsidRDefault="0045616C" w:rsidP="0045616C">
                          <w:pPr>
                            <w:jc w:val="center"/>
                            <w:rPr>
                              <w:rFonts w:ascii="Bell MT" w:hAnsi="Bell MT"/>
                              <w:b/>
                              <w:bCs/>
                              <w:sz w:val="20"/>
                              <w:szCs w:val="20"/>
                            </w:rPr>
                          </w:pPr>
                          <w:r w:rsidRPr="007762C5">
                            <w:rPr>
                              <w:rFonts w:ascii="Bell MT" w:hAnsi="Bell MT"/>
                              <w:b/>
                              <w:bCs/>
                              <w:sz w:val="20"/>
                              <w:szCs w:val="20"/>
                            </w:rPr>
                            <w:t>H.</w:t>
                          </w:r>
                          <w:r w:rsidR="007762C5" w:rsidRPr="007762C5">
                            <w:rPr>
                              <w:rFonts w:ascii="Bell MT" w:hAnsi="Bell MT"/>
                              <w:b/>
                              <w:bCs/>
                              <w:sz w:val="20"/>
                              <w:szCs w:val="20"/>
                            </w:rPr>
                            <w:t xml:space="preserve"> </w:t>
                          </w:r>
                          <w:r w:rsidRPr="007762C5">
                            <w:rPr>
                              <w:rFonts w:ascii="Bell MT" w:hAnsi="Bell MT"/>
                              <w:b/>
                              <w:bCs/>
                              <w:sz w:val="20"/>
                              <w:szCs w:val="20"/>
                            </w:rPr>
                            <w:t>CONGRESO DEL ESTADO DE CHIHUAHUA</w:t>
                          </w:r>
                        </w:p>
                        <w:p w14:paraId="40E87EE5" w14:textId="77777777" w:rsidR="0045616C" w:rsidRPr="0045616C" w:rsidRDefault="0045616C" w:rsidP="004561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90C3EA9" id="Cuadro de texto 5" o:spid="_x0000_s1027" type="#_x0000_t202" style="position:absolute;margin-left:-70.05pt;margin-top:8.85pt;width:166.5pt;height:35.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" fillcolor="window" stroked="f" strokeweight=".5pt">
              <v:textbox>
                <w:txbxContent>
                  <w:p w14:paraId="2F1E8531" w14:textId="0541777F" w:rsidR="0045616C" w:rsidRPr="007762C5" w:rsidRDefault="0045616C" w:rsidP="0045616C">
                    <w:pPr>
                      <w:jc w:val="center"/>
                      <w:rPr>
                        <w:rFonts w:ascii="Bell MT" w:hAnsi="Bell MT"/>
                        <w:b/>
                        <w:bCs/>
                        <w:sz w:val="20"/>
                        <w:szCs w:val="20"/>
                      </w:rPr>
                    </w:pPr>
                    <w:r w:rsidRPr="007762C5">
                      <w:rPr>
                        <w:rFonts w:ascii="Bell MT" w:hAnsi="Bell MT"/>
                        <w:b/>
                        <w:bCs/>
                        <w:sz w:val="20"/>
                        <w:szCs w:val="20"/>
                      </w:rPr>
                      <w:t>H.</w:t>
                    </w:r>
                    <w:r w:rsidR="007762C5" w:rsidRPr="007762C5">
                      <w:rPr>
                        <w:rFonts w:ascii="Bell MT" w:hAnsi="Bell MT"/>
                        <w:b/>
                        <w:bCs/>
                        <w:sz w:val="20"/>
                        <w:szCs w:val="20"/>
                      </w:rPr>
                      <w:t xml:space="preserve"> </w:t>
                    </w:r>
                    <w:r w:rsidRPr="007762C5">
                      <w:rPr>
                        <w:rFonts w:ascii="Bell MT" w:hAnsi="Bell MT"/>
                        <w:b/>
                        <w:bCs/>
                        <w:sz w:val="20"/>
                        <w:szCs w:val="20"/>
                      </w:rPr>
                      <w:t>CONGRESO DEL ESTADO DE CHIHUAHUA</w:t>
                    </w:r>
                  </w:p>
                  <w:p w14:paraId="40E87EE5" w14:textId="77777777" w:rsidR="0045616C" w:rsidRPr="0045616C" w:rsidRDefault="0045616C" w:rsidP="0045616C"/>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C82C" w14:textId="77777777" w:rsidR="00BE3F18" w:rsidRDefault="00BE3F1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7CC7"/>
    <w:multiLevelType w:val="multilevel"/>
    <w:tmpl w:val="4B5E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1294E"/>
    <w:multiLevelType w:val="multilevel"/>
    <w:tmpl w:val="90F46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500ACD"/>
    <w:multiLevelType w:val="hybridMultilevel"/>
    <w:tmpl w:val="228826F8"/>
    <w:lvl w:ilvl="0" w:tplc="083682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7521260"/>
    <w:multiLevelType w:val="hybridMultilevel"/>
    <w:tmpl w:val="3F30773C"/>
    <w:lvl w:ilvl="0" w:tplc="E0C693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0D5A58"/>
    <w:multiLevelType w:val="multilevel"/>
    <w:tmpl w:val="6E54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556DC6"/>
    <w:multiLevelType w:val="hybridMultilevel"/>
    <w:tmpl w:val="8A80C75C"/>
    <w:lvl w:ilvl="0" w:tplc="633427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16C"/>
    <w:rsid w:val="0001215B"/>
    <w:rsid w:val="000130C8"/>
    <w:rsid w:val="00015D63"/>
    <w:rsid w:val="00016588"/>
    <w:rsid w:val="00020588"/>
    <w:rsid w:val="00043F11"/>
    <w:rsid w:val="0005028F"/>
    <w:rsid w:val="00060F61"/>
    <w:rsid w:val="00067947"/>
    <w:rsid w:val="00071870"/>
    <w:rsid w:val="0007480E"/>
    <w:rsid w:val="00080C12"/>
    <w:rsid w:val="000900F8"/>
    <w:rsid w:val="000A7F74"/>
    <w:rsid w:val="000D1D5F"/>
    <w:rsid w:val="000E0A39"/>
    <w:rsid w:val="00104C42"/>
    <w:rsid w:val="00113594"/>
    <w:rsid w:val="001159E5"/>
    <w:rsid w:val="0012729B"/>
    <w:rsid w:val="00147974"/>
    <w:rsid w:val="001518D0"/>
    <w:rsid w:val="001531D8"/>
    <w:rsid w:val="0015759C"/>
    <w:rsid w:val="00166040"/>
    <w:rsid w:val="0017726C"/>
    <w:rsid w:val="001804C1"/>
    <w:rsid w:val="0019181D"/>
    <w:rsid w:val="001B0BE4"/>
    <w:rsid w:val="001B474A"/>
    <w:rsid w:val="001D0C1B"/>
    <w:rsid w:val="001D32F1"/>
    <w:rsid w:val="001D3A2F"/>
    <w:rsid w:val="001D48D2"/>
    <w:rsid w:val="001E4036"/>
    <w:rsid w:val="0021523D"/>
    <w:rsid w:val="002160E9"/>
    <w:rsid w:val="002240C5"/>
    <w:rsid w:val="002260E7"/>
    <w:rsid w:val="002410B0"/>
    <w:rsid w:val="002505F6"/>
    <w:rsid w:val="00252EC7"/>
    <w:rsid w:val="0026570F"/>
    <w:rsid w:val="00267B72"/>
    <w:rsid w:val="00275351"/>
    <w:rsid w:val="002822BA"/>
    <w:rsid w:val="00285928"/>
    <w:rsid w:val="002866EC"/>
    <w:rsid w:val="00287650"/>
    <w:rsid w:val="002A0889"/>
    <w:rsid w:val="002A1E84"/>
    <w:rsid w:val="002C1212"/>
    <w:rsid w:val="002E24B2"/>
    <w:rsid w:val="0030641A"/>
    <w:rsid w:val="00307A74"/>
    <w:rsid w:val="00313F94"/>
    <w:rsid w:val="00317B41"/>
    <w:rsid w:val="0032581A"/>
    <w:rsid w:val="003274C6"/>
    <w:rsid w:val="00327F5A"/>
    <w:rsid w:val="0034690C"/>
    <w:rsid w:val="00346C4B"/>
    <w:rsid w:val="00347016"/>
    <w:rsid w:val="00354767"/>
    <w:rsid w:val="00381713"/>
    <w:rsid w:val="00390E30"/>
    <w:rsid w:val="003A4734"/>
    <w:rsid w:val="003A665D"/>
    <w:rsid w:val="003B7948"/>
    <w:rsid w:val="003C3981"/>
    <w:rsid w:val="003C759F"/>
    <w:rsid w:val="003D7EB4"/>
    <w:rsid w:val="003E156C"/>
    <w:rsid w:val="004003AB"/>
    <w:rsid w:val="00402637"/>
    <w:rsid w:val="004076A4"/>
    <w:rsid w:val="00411B0A"/>
    <w:rsid w:val="00413F2D"/>
    <w:rsid w:val="00421DA3"/>
    <w:rsid w:val="004241CD"/>
    <w:rsid w:val="00445843"/>
    <w:rsid w:val="0045616C"/>
    <w:rsid w:val="00464419"/>
    <w:rsid w:val="0046489A"/>
    <w:rsid w:val="00466196"/>
    <w:rsid w:val="00482CB3"/>
    <w:rsid w:val="00483040"/>
    <w:rsid w:val="004835FF"/>
    <w:rsid w:val="00483771"/>
    <w:rsid w:val="00486EBF"/>
    <w:rsid w:val="00491FFC"/>
    <w:rsid w:val="00493631"/>
    <w:rsid w:val="004C657E"/>
    <w:rsid w:val="004F0750"/>
    <w:rsid w:val="004F5752"/>
    <w:rsid w:val="00505101"/>
    <w:rsid w:val="00512DA6"/>
    <w:rsid w:val="00551B02"/>
    <w:rsid w:val="0056432C"/>
    <w:rsid w:val="00574860"/>
    <w:rsid w:val="005A40C9"/>
    <w:rsid w:val="005A6E5D"/>
    <w:rsid w:val="005B6042"/>
    <w:rsid w:val="005C76D0"/>
    <w:rsid w:val="005D4187"/>
    <w:rsid w:val="005E6C64"/>
    <w:rsid w:val="005F5A1C"/>
    <w:rsid w:val="00603194"/>
    <w:rsid w:val="00627814"/>
    <w:rsid w:val="0063570B"/>
    <w:rsid w:val="006359AC"/>
    <w:rsid w:val="00646DDB"/>
    <w:rsid w:val="00663232"/>
    <w:rsid w:val="00664414"/>
    <w:rsid w:val="006679FB"/>
    <w:rsid w:val="00670AF6"/>
    <w:rsid w:val="006717BA"/>
    <w:rsid w:val="006A6711"/>
    <w:rsid w:val="006B583D"/>
    <w:rsid w:val="006D7058"/>
    <w:rsid w:val="006D7FD9"/>
    <w:rsid w:val="006E6085"/>
    <w:rsid w:val="006F0B98"/>
    <w:rsid w:val="006F6A6B"/>
    <w:rsid w:val="0070170A"/>
    <w:rsid w:val="00735AFC"/>
    <w:rsid w:val="007671DC"/>
    <w:rsid w:val="007762C5"/>
    <w:rsid w:val="00784F44"/>
    <w:rsid w:val="00791A5B"/>
    <w:rsid w:val="00791D14"/>
    <w:rsid w:val="00794003"/>
    <w:rsid w:val="00794EBE"/>
    <w:rsid w:val="007A7B43"/>
    <w:rsid w:val="007E1D87"/>
    <w:rsid w:val="007E385B"/>
    <w:rsid w:val="007E55A8"/>
    <w:rsid w:val="007F0810"/>
    <w:rsid w:val="00800023"/>
    <w:rsid w:val="008022E7"/>
    <w:rsid w:val="00821F66"/>
    <w:rsid w:val="00823772"/>
    <w:rsid w:val="00827B26"/>
    <w:rsid w:val="0084214B"/>
    <w:rsid w:val="00853F70"/>
    <w:rsid w:val="008660D1"/>
    <w:rsid w:val="00881EDE"/>
    <w:rsid w:val="00882223"/>
    <w:rsid w:val="0088274B"/>
    <w:rsid w:val="008838BC"/>
    <w:rsid w:val="00885432"/>
    <w:rsid w:val="008A57BA"/>
    <w:rsid w:val="008B3FDB"/>
    <w:rsid w:val="008D4DB2"/>
    <w:rsid w:val="008E66A3"/>
    <w:rsid w:val="008F0CAA"/>
    <w:rsid w:val="008F6A60"/>
    <w:rsid w:val="008F7901"/>
    <w:rsid w:val="009011FF"/>
    <w:rsid w:val="009170EA"/>
    <w:rsid w:val="009274A6"/>
    <w:rsid w:val="009326C8"/>
    <w:rsid w:val="00933645"/>
    <w:rsid w:val="00942D44"/>
    <w:rsid w:val="009645D3"/>
    <w:rsid w:val="00964FAC"/>
    <w:rsid w:val="00965B99"/>
    <w:rsid w:val="00996B61"/>
    <w:rsid w:val="00997D71"/>
    <w:rsid w:val="009A419C"/>
    <w:rsid w:val="009B7D19"/>
    <w:rsid w:val="009D7009"/>
    <w:rsid w:val="009F75D5"/>
    <w:rsid w:val="00A036A5"/>
    <w:rsid w:val="00A04DF7"/>
    <w:rsid w:val="00A2527B"/>
    <w:rsid w:val="00A31CA5"/>
    <w:rsid w:val="00A321A4"/>
    <w:rsid w:val="00A50220"/>
    <w:rsid w:val="00A5356C"/>
    <w:rsid w:val="00A5585F"/>
    <w:rsid w:val="00A724AC"/>
    <w:rsid w:val="00A96F2D"/>
    <w:rsid w:val="00AA098F"/>
    <w:rsid w:val="00AB52DF"/>
    <w:rsid w:val="00AB655F"/>
    <w:rsid w:val="00AD3FE3"/>
    <w:rsid w:val="00AE1B28"/>
    <w:rsid w:val="00AF0C12"/>
    <w:rsid w:val="00AF3AA7"/>
    <w:rsid w:val="00AF4FCE"/>
    <w:rsid w:val="00B03C44"/>
    <w:rsid w:val="00B04B9E"/>
    <w:rsid w:val="00B10B0A"/>
    <w:rsid w:val="00B129B9"/>
    <w:rsid w:val="00B13625"/>
    <w:rsid w:val="00B22A34"/>
    <w:rsid w:val="00B236F4"/>
    <w:rsid w:val="00B343BC"/>
    <w:rsid w:val="00B35205"/>
    <w:rsid w:val="00B62D7C"/>
    <w:rsid w:val="00B95569"/>
    <w:rsid w:val="00BC35DD"/>
    <w:rsid w:val="00BC623B"/>
    <w:rsid w:val="00BD05B2"/>
    <w:rsid w:val="00BE3417"/>
    <w:rsid w:val="00BE3F18"/>
    <w:rsid w:val="00BF6C86"/>
    <w:rsid w:val="00C02625"/>
    <w:rsid w:val="00C07100"/>
    <w:rsid w:val="00C14F97"/>
    <w:rsid w:val="00C16D6B"/>
    <w:rsid w:val="00C17DBC"/>
    <w:rsid w:val="00C2560C"/>
    <w:rsid w:val="00C40885"/>
    <w:rsid w:val="00C42079"/>
    <w:rsid w:val="00C4450C"/>
    <w:rsid w:val="00C47620"/>
    <w:rsid w:val="00C7114F"/>
    <w:rsid w:val="00C82E76"/>
    <w:rsid w:val="00C93177"/>
    <w:rsid w:val="00C96A58"/>
    <w:rsid w:val="00C97168"/>
    <w:rsid w:val="00CA2804"/>
    <w:rsid w:val="00CC2E8F"/>
    <w:rsid w:val="00CC6B48"/>
    <w:rsid w:val="00CE2CD5"/>
    <w:rsid w:val="00CF443C"/>
    <w:rsid w:val="00D01CC3"/>
    <w:rsid w:val="00D04734"/>
    <w:rsid w:val="00D10274"/>
    <w:rsid w:val="00D16BC8"/>
    <w:rsid w:val="00D24255"/>
    <w:rsid w:val="00D345D3"/>
    <w:rsid w:val="00D4367E"/>
    <w:rsid w:val="00D6067E"/>
    <w:rsid w:val="00D81AA1"/>
    <w:rsid w:val="00DA4BDC"/>
    <w:rsid w:val="00DA5BE9"/>
    <w:rsid w:val="00DB34B5"/>
    <w:rsid w:val="00DB7DA5"/>
    <w:rsid w:val="00DC4F1F"/>
    <w:rsid w:val="00DE6171"/>
    <w:rsid w:val="00DE62E1"/>
    <w:rsid w:val="00DE6C9A"/>
    <w:rsid w:val="00DF3620"/>
    <w:rsid w:val="00DF70DA"/>
    <w:rsid w:val="00E166F7"/>
    <w:rsid w:val="00E42031"/>
    <w:rsid w:val="00E54A1F"/>
    <w:rsid w:val="00E558A2"/>
    <w:rsid w:val="00E70F29"/>
    <w:rsid w:val="00E719F4"/>
    <w:rsid w:val="00E92861"/>
    <w:rsid w:val="00EA18C1"/>
    <w:rsid w:val="00EA6BBD"/>
    <w:rsid w:val="00EB065A"/>
    <w:rsid w:val="00EB7247"/>
    <w:rsid w:val="00EC16D9"/>
    <w:rsid w:val="00ED0FE4"/>
    <w:rsid w:val="00EE0352"/>
    <w:rsid w:val="00EF0FC6"/>
    <w:rsid w:val="00EF3D22"/>
    <w:rsid w:val="00F1231C"/>
    <w:rsid w:val="00F20E29"/>
    <w:rsid w:val="00F30B35"/>
    <w:rsid w:val="00F32617"/>
    <w:rsid w:val="00F36A63"/>
    <w:rsid w:val="00F45048"/>
    <w:rsid w:val="00F83088"/>
    <w:rsid w:val="00F84B68"/>
    <w:rsid w:val="00F94529"/>
    <w:rsid w:val="00F9789D"/>
    <w:rsid w:val="00FA36BB"/>
    <w:rsid w:val="00FB4059"/>
    <w:rsid w:val="00FB75FB"/>
    <w:rsid w:val="00FC35E7"/>
    <w:rsid w:val="00FD3F27"/>
    <w:rsid w:val="00FF12CF"/>
    <w:rsid w:val="00FF25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E1D5F"/>
  <w15:chartTrackingRefBased/>
  <w15:docId w15:val="{723F1255-3DEC-44B8-8C92-C03BFD25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D5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45616C"/>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qFormat/>
    <w:rsid w:val="0045616C"/>
  </w:style>
  <w:style w:type="paragraph" w:styleId="Piedepgina">
    <w:name w:val="footer"/>
    <w:basedOn w:val="Normal"/>
    <w:link w:val="PiedepginaCar"/>
    <w:uiPriority w:val="99"/>
    <w:unhideWhenUsed/>
    <w:rsid w:val="0045616C"/>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45616C"/>
  </w:style>
  <w:style w:type="paragraph" w:styleId="Ttulo">
    <w:name w:val="Title"/>
    <w:basedOn w:val="Normal"/>
    <w:link w:val="TtuloCar"/>
    <w:uiPriority w:val="10"/>
    <w:qFormat/>
    <w:rsid w:val="0045616C"/>
    <w:pPr>
      <w:widowControl w:val="0"/>
      <w:autoSpaceDE w:val="0"/>
      <w:autoSpaceDN w:val="0"/>
      <w:spacing w:before="13"/>
      <w:ind w:left="20" w:hanging="507"/>
    </w:pPr>
    <w:rPr>
      <w:rFonts w:ascii="Arial" w:eastAsia="Arial" w:hAnsi="Arial" w:cs="Arial"/>
      <w:sz w:val="22"/>
      <w:szCs w:val="22"/>
      <w:lang w:eastAsia="en-US"/>
    </w:rPr>
  </w:style>
  <w:style w:type="character" w:customStyle="1" w:styleId="TtuloCar">
    <w:name w:val="Título Car"/>
    <w:basedOn w:val="Fuentedeprrafopredeter"/>
    <w:link w:val="Ttulo"/>
    <w:uiPriority w:val="10"/>
    <w:rsid w:val="0045616C"/>
    <w:rPr>
      <w:rFonts w:ascii="Arial" w:eastAsia="Arial" w:hAnsi="Arial" w:cs="Arial"/>
      <w:lang w:val="es-ES"/>
    </w:rPr>
  </w:style>
  <w:style w:type="table" w:styleId="Tablaconcuadrcula">
    <w:name w:val="Table Grid"/>
    <w:basedOn w:val="Tablanormal"/>
    <w:uiPriority w:val="39"/>
    <w:rsid w:val="00C0262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32617"/>
    <w:pPr>
      <w:spacing w:before="100" w:beforeAutospacing="1" w:after="100" w:afterAutospacing="1"/>
    </w:pPr>
    <w:rPr>
      <w:lang w:val="es-MX" w:eastAsia="es-MX"/>
    </w:rPr>
  </w:style>
  <w:style w:type="character" w:styleId="Textoennegrita">
    <w:name w:val="Strong"/>
    <w:basedOn w:val="Fuentedeprrafopredeter"/>
    <w:uiPriority w:val="22"/>
    <w:qFormat/>
    <w:rsid w:val="00F32617"/>
    <w:rPr>
      <w:b/>
      <w:bCs/>
    </w:rPr>
  </w:style>
  <w:style w:type="character" w:styleId="nfasis">
    <w:name w:val="Emphasis"/>
    <w:basedOn w:val="Fuentedeprrafopredeter"/>
    <w:uiPriority w:val="20"/>
    <w:qFormat/>
    <w:rsid w:val="00F32617"/>
    <w:rPr>
      <w:i/>
      <w:iCs/>
    </w:rPr>
  </w:style>
  <w:style w:type="character" w:styleId="Refdenotaalpie">
    <w:name w:val="footnote reference"/>
    <w:basedOn w:val="Fuentedeprrafopredeter"/>
    <w:uiPriority w:val="99"/>
    <w:semiHidden/>
    <w:unhideWhenUsed/>
    <w:qFormat/>
    <w:rsid w:val="005F5A1C"/>
    <w:rPr>
      <w:vertAlign w:val="superscript"/>
    </w:rPr>
  </w:style>
  <w:style w:type="paragraph" w:styleId="Textonotapie">
    <w:name w:val="footnote text"/>
    <w:basedOn w:val="Normal"/>
    <w:link w:val="TextonotapieCar"/>
    <w:uiPriority w:val="99"/>
    <w:semiHidden/>
    <w:unhideWhenUsed/>
    <w:qFormat/>
    <w:rsid w:val="005F5A1C"/>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semiHidden/>
    <w:rsid w:val="005F5A1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A6228-E009-4D89-BEC5-27C4D773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1861</Words>
  <Characters>10236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Araly Loera Chaparro</dc:creator>
  <cp:keywords/>
  <dc:description/>
  <cp:lastModifiedBy>Andrea Daniela Flores Chacon</cp:lastModifiedBy>
  <cp:revision>2</cp:revision>
  <cp:lastPrinted>2026-02-23T20:09:00Z</cp:lastPrinted>
  <dcterms:created xsi:type="dcterms:W3CDTF">2026-10-23T18:30:00Z</dcterms:created>
  <dcterms:modified xsi:type="dcterms:W3CDTF">2026-10-23T18:30:00Z</dcterms:modified>
</cp:coreProperties>
</file>