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7746" w14:textId="77777777" w:rsidR="00CA2AB7" w:rsidRDefault="00CA2AB7">
      <w:pPr>
        <w:spacing w:line="360" w:lineRule="auto"/>
        <w:jc w:val="both"/>
        <w:rPr>
          <w:rFonts w:ascii="Century Gothic" w:eastAsia="Century Gothic" w:hAnsi="Century Gothic" w:cs="Century Gothic"/>
          <w:b/>
          <w:bCs/>
          <w:sz w:val="24"/>
          <w:szCs w:val="24"/>
        </w:rPr>
      </w:pPr>
    </w:p>
    <w:p w14:paraId="464497D0" w14:textId="77777777" w:rsidR="00CA2AB7" w:rsidRDefault="0004460A">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H. CONGRESO DEL ESTADO DE CHIHUAHUA</w:t>
      </w:r>
    </w:p>
    <w:p w14:paraId="5080E92B" w14:textId="77777777" w:rsidR="00CA2AB7" w:rsidRDefault="0004460A">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P R E S E N T E.-</w:t>
      </w:r>
    </w:p>
    <w:p w14:paraId="7C7DF1F5" w14:textId="77777777" w:rsidR="00CA2AB7" w:rsidRDefault="0004460A">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i/>
          <w:iCs/>
          <w:sz w:val="24"/>
          <w:szCs w:val="24"/>
        </w:rPr>
        <w:t> </w:t>
      </w:r>
    </w:p>
    <w:p w14:paraId="06B82DF5" w14:textId="5C838787" w:rsidR="00CA2AB7" w:rsidRDefault="0004460A">
      <w:pPr>
        <w:spacing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La suscrita,</w:t>
      </w:r>
      <w:r>
        <w:rPr>
          <w:rFonts w:ascii="Century Gothic" w:eastAsia="Century Gothic" w:hAnsi="Century Gothic" w:cs="Century Gothic"/>
          <w:b/>
          <w:bCs/>
          <w:sz w:val="24"/>
          <w:szCs w:val="24"/>
        </w:rPr>
        <w:t xml:space="preserve"> Yesenia Guadalupe Reyes Calzadías</w:t>
      </w:r>
      <w:r>
        <w:rPr>
          <w:rFonts w:ascii="Century Gothic" w:eastAsia="Century Gothic" w:hAnsi="Century Gothic" w:cs="Century Gothic"/>
          <w:sz w:val="24"/>
          <w:szCs w:val="24"/>
        </w:rPr>
        <w:t xml:space="preserve"> </w:t>
      </w:r>
      <w:r>
        <w:rPr>
          <w:rFonts w:ascii="Century Gothic" w:eastAsia="Century Gothic" w:hAnsi="Century Gothic" w:cs="Century Gothic"/>
          <w:color w:val="000000"/>
          <w:sz w:val="24"/>
          <w:szCs w:val="24"/>
        </w:rPr>
        <w:t>en mi carácter de Diputada de la Sexagésima Octava Legislatura del H. Congreso del Estado, integrante del Grupo Parlamentario del Partido Acción Nacional y, en su representación, con fundamento en lo dispuesto en los artículos 64 de la Constitución Política; 169 de la Ley Orgánica del Poder Legislativo, así como 76 y 77 del Reglamento Interior y de Prácticas Parlamentarias del Poder Legislativo, someto a consideración de esta Soberanía, la siguiente</w:t>
      </w:r>
      <w:r>
        <w:rPr>
          <w:rFonts w:ascii="Century Gothic" w:eastAsia="Century Gothic" w:hAnsi="Century Gothic" w:cs="Century Gothic"/>
          <w:b/>
          <w:bCs/>
          <w:color w:val="000000"/>
          <w:sz w:val="24"/>
          <w:szCs w:val="24"/>
        </w:rPr>
        <w:t xml:space="preserve"> </w:t>
      </w:r>
      <w:r>
        <w:rPr>
          <w:rFonts w:ascii="Century Gothic" w:eastAsia="Century Gothic" w:hAnsi="Century Gothic" w:cs="Century Gothic"/>
          <w:b/>
          <w:bCs/>
          <w:i/>
          <w:iCs/>
          <w:sz w:val="24"/>
          <w:szCs w:val="24"/>
        </w:rPr>
        <w:t xml:space="preserve">PROPOSICIÓN CON CARÁCTER DE PUNTO DE ACUERDO, A EFECTO DE EXHORTAR, </w:t>
      </w:r>
      <w:r w:rsidR="009C4F82">
        <w:rPr>
          <w:rFonts w:ascii="Century Gothic" w:eastAsia="Century Gothic" w:hAnsi="Century Gothic" w:cs="Century Gothic"/>
          <w:b/>
          <w:bCs/>
          <w:i/>
          <w:iCs/>
          <w:sz w:val="24"/>
          <w:szCs w:val="24"/>
        </w:rPr>
        <w:t>AL GOBIERNO FEDERAL</w:t>
      </w:r>
      <w:r>
        <w:rPr>
          <w:rFonts w:ascii="Century Gothic" w:eastAsia="Century Gothic" w:hAnsi="Century Gothic" w:cs="Century Gothic"/>
          <w:b/>
          <w:bCs/>
          <w:i/>
          <w:iCs/>
          <w:sz w:val="24"/>
          <w:szCs w:val="24"/>
        </w:rPr>
        <w:t>, PARA DAR ATENCIÓN INMEDIATA A LA PROBLEMÁTICA OCASIONADA DENTRO DEL INSTITUTO MEXICANO DEL SEGURO SOCIAL</w:t>
      </w:r>
      <w:r>
        <w:rPr>
          <w:rFonts w:ascii="Century Gothic" w:eastAsia="Century Gothic" w:hAnsi="Century Gothic" w:cs="Century Gothic"/>
          <w:color w:val="000000"/>
          <w:sz w:val="24"/>
          <w:szCs w:val="24"/>
        </w:rPr>
        <w:t>, lo anterior con sustento en la siguiente:</w:t>
      </w:r>
    </w:p>
    <w:p w14:paraId="62C7BD7C" w14:textId="77777777" w:rsidR="00CA2AB7" w:rsidRDefault="00CA2AB7">
      <w:pPr>
        <w:spacing w:line="360" w:lineRule="auto"/>
        <w:jc w:val="center"/>
        <w:rPr>
          <w:rFonts w:ascii="Century Gothic" w:eastAsia="Century Gothic" w:hAnsi="Century Gothic" w:cs="Century Gothic"/>
          <w:b/>
          <w:bCs/>
          <w:color w:val="000000"/>
          <w:sz w:val="24"/>
          <w:szCs w:val="24"/>
        </w:rPr>
      </w:pPr>
    </w:p>
    <w:p w14:paraId="23BD21B4" w14:textId="77777777" w:rsidR="00CA2AB7" w:rsidRDefault="0004460A">
      <w:pPr>
        <w:spacing w:line="360" w:lineRule="auto"/>
        <w:ind w:firstLine="709"/>
        <w:jc w:val="center"/>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EXPOSICIÓN DE MOTIVOS</w:t>
      </w:r>
    </w:p>
    <w:p w14:paraId="29C2C032"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México no enfrenta un problema menor ni una desatención pasajera; atraviesa la crisis hospitalaria y sociosanitaria más devastadora de su historia moderna, provocada por la improvisación, la negligencia presupuestal y la ceguera ideológica de un solo régimen. Nos encontramos sumidos en una situación que no solamente preocupa, si no que ocupa de toda nuestra atención, seriedad y compromiso.</w:t>
      </w:r>
    </w:p>
    <w:p w14:paraId="2F5414C8" w14:textId="77777777" w:rsidR="00CA2AB7" w:rsidRDefault="00CA2AB7">
      <w:pPr>
        <w:spacing w:line="360" w:lineRule="auto"/>
        <w:ind w:firstLine="709"/>
        <w:jc w:val="both"/>
        <w:rPr>
          <w:rFonts w:ascii="Century Gothic" w:eastAsia="Century Gothic" w:hAnsi="Century Gothic" w:cs="Century Gothic"/>
          <w:sz w:val="24"/>
          <w:szCs w:val="24"/>
        </w:rPr>
      </w:pPr>
    </w:p>
    <w:p w14:paraId="47AE1599"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En días pasados, vivimos lo que no había sucedido desde 1964, con el Movimiento de Médicos de México. Doctoras, doctores, enfermeras, enfermeros y diverso personal que trabaja en el Instituto Mexicano del Seguro Social, salieron a las calles para hacer aún más visible una problemática de la que terminó por colapsar el sistema médico del país.</w:t>
      </w:r>
    </w:p>
    <w:p w14:paraId="7C7F595B" w14:textId="77777777" w:rsidR="00CA2AB7" w:rsidRDefault="00CA2AB7">
      <w:pPr>
        <w:spacing w:line="360" w:lineRule="auto"/>
        <w:ind w:firstLine="709"/>
        <w:jc w:val="both"/>
        <w:rPr>
          <w:rFonts w:ascii="Century Gothic" w:eastAsia="Century Gothic" w:hAnsi="Century Gothic" w:cs="Century Gothic"/>
          <w:sz w:val="24"/>
          <w:szCs w:val="24"/>
        </w:rPr>
      </w:pPr>
    </w:p>
    <w:p w14:paraId="3C9402E7"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Antes de la llegada del movimiento de la Cuarta Transformación, México funcionaba con un sistema de salud que si bien, no era perfecto, era funcional, con instalaciones adecuadas, farmacias surtidas, y un apego al cumplimiento de derechos laborales de sus empleados. Pasamos de la funcionalidad al colapso institucional.</w:t>
      </w:r>
    </w:p>
    <w:p w14:paraId="154021BA" w14:textId="77777777" w:rsidR="00CA2AB7" w:rsidRDefault="00CA2AB7">
      <w:pPr>
        <w:spacing w:line="360" w:lineRule="auto"/>
        <w:ind w:firstLine="709"/>
        <w:jc w:val="both"/>
        <w:rPr>
          <w:rFonts w:ascii="Century Gothic" w:eastAsia="Century Gothic" w:hAnsi="Century Gothic" w:cs="Century Gothic"/>
          <w:sz w:val="24"/>
          <w:szCs w:val="24"/>
        </w:rPr>
      </w:pPr>
    </w:p>
    <w:p w14:paraId="585A8CD3"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Para agosto 2018</w:t>
      </w:r>
      <w:r>
        <w:rPr>
          <w:rFonts w:ascii="Century Gothic" w:eastAsia="Century Gothic" w:hAnsi="Century Gothic" w:cs="Century Gothic"/>
          <w:sz w:val="24"/>
          <w:szCs w:val="24"/>
          <w:vertAlign w:val="superscript"/>
        </w:rPr>
        <w:footnoteReference w:id="1"/>
      </w:r>
      <w:r>
        <w:rPr>
          <w:rFonts w:ascii="Century Gothic" w:eastAsia="Century Gothic" w:hAnsi="Century Gothic" w:cs="Century Gothic"/>
          <w:sz w:val="24"/>
          <w:szCs w:val="24"/>
        </w:rPr>
        <w:t>, antes de la llegada de Andrés Manuel López Obrador, 96 de cada 100 recetas eran surtidas en su totalidad; en 2017, Monterrey recibía el Premio Nacional de Calidad en el Hospital de Cardiología del IMSS</w:t>
      </w:r>
      <w:r>
        <w:rPr>
          <w:rFonts w:ascii="Century Gothic" w:eastAsia="Century Gothic" w:hAnsi="Century Gothic" w:cs="Century Gothic"/>
          <w:sz w:val="24"/>
          <w:szCs w:val="24"/>
          <w:vertAlign w:val="superscript"/>
        </w:rPr>
        <w:footnoteReference w:id="2"/>
      </w:r>
      <w:r>
        <w:rPr>
          <w:rFonts w:ascii="Century Gothic" w:eastAsia="Century Gothic" w:hAnsi="Century Gothic" w:cs="Century Gothic"/>
          <w:sz w:val="24"/>
          <w:szCs w:val="24"/>
        </w:rPr>
        <w:t>; y las y los trabajadores de este Instituto, a pesar de que en 2017 se vivió un terremoto de gran impacto, contaban con sus derechos laborales cubiertos.</w:t>
      </w:r>
    </w:p>
    <w:p w14:paraId="24D95398" w14:textId="77777777" w:rsidR="00CA2AB7" w:rsidRDefault="00CA2AB7">
      <w:pPr>
        <w:spacing w:line="360" w:lineRule="auto"/>
        <w:ind w:firstLine="709"/>
        <w:jc w:val="both"/>
        <w:rPr>
          <w:rFonts w:ascii="Century Gothic" w:eastAsia="Century Gothic" w:hAnsi="Century Gothic" w:cs="Century Gothic"/>
          <w:sz w:val="24"/>
          <w:szCs w:val="24"/>
        </w:rPr>
      </w:pPr>
    </w:p>
    <w:p w14:paraId="4068B8FF"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Hoy en día, 8 años después de ese primer gobierno de Morena, 81 de cada 100 recetas son surtidas en su totalidad</w:t>
      </w:r>
      <w:r>
        <w:rPr>
          <w:rFonts w:ascii="Century Gothic" w:eastAsia="Century Gothic" w:hAnsi="Century Gothic" w:cs="Century Gothic"/>
          <w:sz w:val="24"/>
          <w:szCs w:val="24"/>
          <w:vertAlign w:val="superscript"/>
        </w:rPr>
        <w:footnoteReference w:id="3"/>
      </w:r>
      <w:r>
        <w:rPr>
          <w:rFonts w:ascii="Century Gothic" w:eastAsia="Century Gothic" w:hAnsi="Century Gothic" w:cs="Century Gothic"/>
          <w:sz w:val="24"/>
          <w:szCs w:val="24"/>
        </w:rPr>
        <w:t>; no se abrió convocatoria para el Premio Nacional de Calidad</w:t>
      </w:r>
      <w:r>
        <w:rPr>
          <w:rFonts w:ascii="Century Gothic" w:eastAsia="Century Gothic" w:hAnsi="Century Gothic" w:cs="Century Gothic"/>
          <w:sz w:val="24"/>
          <w:szCs w:val="24"/>
          <w:vertAlign w:val="superscript"/>
        </w:rPr>
        <w:footnoteReference w:id="4"/>
      </w:r>
      <w:r>
        <w:rPr>
          <w:rFonts w:ascii="Century Gothic" w:eastAsia="Century Gothic" w:hAnsi="Century Gothic" w:cs="Century Gothic"/>
          <w:sz w:val="24"/>
          <w:szCs w:val="24"/>
        </w:rPr>
        <w:t xml:space="preserve">; y los trabajadores salieron a tomar las </w:t>
      </w:r>
      <w:r>
        <w:rPr>
          <w:rFonts w:ascii="Century Gothic" w:eastAsia="Century Gothic" w:hAnsi="Century Gothic" w:cs="Century Gothic"/>
          <w:sz w:val="24"/>
          <w:szCs w:val="24"/>
        </w:rPr>
        <w:lastRenderedPageBreak/>
        <w:t>calles, no solo por la falta de respeto y cumplimiento a sus derechos, sino porque además es insostenible la atención médica a las y los mexicanos por la falta de insumos y medicinas.</w:t>
      </w:r>
    </w:p>
    <w:p w14:paraId="0C8DF31E" w14:textId="77777777" w:rsidR="00CA2AB7" w:rsidRDefault="00CA2AB7">
      <w:pPr>
        <w:spacing w:line="360" w:lineRule="auto"/>
        <w:ind w:firstLine="709"/>
        <w:jc w:val="both"/>
        <w:rPr>
          <w:rFonts w:ascii="Century Gothic" w:eastAsia="Century Gothic" w:hAnsi="Century Gothic" w:cs="Century Gothic"/>
          <w:sz w:val="24"/>
          <w:szCs w:val="24"/>
        </w:rPr>
      </w:pPr>
    </w:p>
    <w:p w14:paraId="3CB48FA1"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El desabasto que hoy estrangula a las clínicas de todo el país no es producto del azar, sino del rosario de decisiones fallidas implementadas por las administraciones federales de Morena:</w:t>
      </w:r>
    </w:p>
    <w:p w14:paraId="75F6E322" w14:textId="77777777" w:rsidR="00CA2AB7" w:rsidRDefault="0004460A">
      <w:pPr>
        <w:numPr>
          <w:ilvl w:val="0"/>
          <w:numId w:val="1"/>
        </w:numPr>
        <w:pBdr>
          <w:top w:val="nil"/>
          <w:left w:val="nil"/>
          <w:bottom w:val="nil"/>
          <w:right w:val="nil"/>
          <w:between w:val="nil"/>
        </w:pBdr>
        <w:spacing w:after="0" w:line="360" w:lineRule="auto"/>
        <w:jc w:val="both"/>
        <w:rPr>
          <w:color w:val="000000"/>
          <w:sz w:val="24"/>
          <w:szCs w:val="24"/>
        </w:rPr>
      </w:pPr>
      <w:r>
        <w:rPr>
          <w:rFonts w:ascii="Century Gothic" w:eastAsia="Century Gothic" w:hAnsi="Century Gothic" w:cs="Century Gothic"/>
          <w:b/>
          <w:bCs/>
          <w:color w:val="000000"/>
          <w:sz w:val="24"/>
          <w:szCs w:val="24"/>
        </w:rPr>
        <w:t>Destrucción de la cadena de suministro:</w:t>
      </w:r>
      <w:r>
        <w:rPr>
          <w:rFonts w:ascii="Century Gothic" w:eastAsia="Century Gothic" w:hAnsi="Century Gothic" w:cs="Century Gothic"/>
          <w:color w:val="000000"/>
          <w:sz w:val="24"/>
          <w:szCs w:val="24"/>
        </w:rPr>
        <w:t xml:space="preserve"> Se vetó arbitrariamente a proveedores nacionales bajo el argumento de combatir la corrupción, para posteriormente terminar comprando los mismos fármacos a sobreprecio y sin certificaciones de calidad.</w:t>
      </w:r>
    </w:p>
    <w:p w14:paraId="1B7492C7" w14:textId="77777777" w:rsidR="00CA2AB7" w:rsidRDefault="0004460A">
      <w:pPr>
        <w:numPr>
          <w:ilvl w:val="0"/>
          <w:numId w:val="1"/>
        </w:numPr>
        <w:pBdr>
          <w:top w:val="nil"/>
          <w:left w:val="nil"/>
          <w:bottom w:val="nil"/>
          <w:right w:val="nil"/>
          <w:between w:val="nil"/>
        </w:pBdr>
        <w:spacing w:after="0" w:line="360" w:lineRule="auto"/>
        <w:jc w:val="both"/>
        <w:rPr>
          <w:color w:val="000000"/>
          <w:sz w:val="24"/>
          <w:szCs w:val="24"/>
        </w:rPr>
      </w:pPr>
      <w:r>
        <w:rPr>
          <w:rFonts w:ascii="Century Gothic" w:eastAsia="Century Gothic" w:hAnsi="Century Gothic" w:cs="Century Gothic"/>
          <w:b/>
          <w:bCs/>
          <w:color w:val="000000"/>
          <w:sz w:val="24"/>
          <w:szCs w:val="24"/>
        </w:rPr>
        <w:t>Fracaso de la intermediación internacional:</w:t>
      </w:r>
      <w:r>
        <w:rPr>
          <w:rFonts w:ascii="Century Gothic" w:eastAsia="Century Gothic" w:hAnsi="Century Gothic" w:cs="Century Gothic"/>
          <w:color w:val="000000"/>
          <w:sz w:val="24"/>
          <w:szCs w:val="24"/>
        </w:rPr>
        <w:t xml:space="preserve"> Se pagaron cientos de millones de dólares a la UNOPS para gestiones en el extranjero que terminaron en licitaciones desiertas e incumplimientos sistemáticos.</w:t>
      </w:r>
    </w:p>
    <w:p w14:paraId="622FA6D8" w14:textId="77777777" w:rsidR="00CA2AB7" w:rsidRDefault="0004460A">
      <w:pPr>
        <w:numPr>
          <w:ilvl w:val="0"/>
          <w:numId w:val="1"/>
        </w:numPr>
        <w:pBdr>
          <w:top w:val="nil"/>
          <w:left w:val="nil"/>
          <w:bottom w:val="nil"/>
          <w:right w:val="nil"/>
          <w:between w:val="nil"/>
        </w:pBdr>
        <w:spacing w:after="0" w:line="360" w:lineRule="auto"/>
        <w:jc w:val="both"/>
        <w:rPr>
          <w:color w:val="000000"/>
          <w:sz w:val="24"/>
          <w:szCs w:val="24"/>
        </w:rPr>
      </w:pPr>
      <w:r>
        <w:rPr>
          <w:rFonts w:ascii="Century Gothic" w:eastAsia="Century Gothic" w:hAnsi="Century Gothic" w:cs="Century Gothic"/>
          <w:b/>
          <w:bCs/>
          <w:color w:val="000000"/>
          <w:sz w:val="24"/>
          <w:szCs w:val="24"/>
        </w:rPr>
        <w:t>El fiasco de BIRMEX y la Megafarmacia:</w:t>
      </w:r>
      <w:r>
        <w:rPr>
          <w:rFonts w:ascii="Century Gothic" w:eastAsia="Century Gothic" w:hAnsi="Century Gothic" w:cs="Century Gothic"/>
          <w:color w:val="000000"/>
          <w:sz w:val="24"/>
          <w:szCs w:val="24"/>
        </w:rPr>
        <w:t xml:space="preserve"> Se intentó centralizar la distribución en una "Megafarmacia" propagandística que opera al </w:t>
      </w:r>
      <w:r>
        <w:rPr>
          <w:rFonts w:ascii="Century Gothic" w:eastAsia="Century Gothic" w:hAnsi="Century Gothic" w:cs="Century Gothic"/>
          <w:b/>
          <w:bCs/>
          <w:color w:val="000000"/>
          <w:sz w:val="24"/>
          <w:szCs w:val="24"/>
        </w:rPr>
        <w:t>0.5% de su capacidad instalada</w:t>
      </w:r>
      <w:r>
        <w:rPr>
          <w:rFonts w:ascii="Century Gothic" w:eastAsia="Century Gothic" w:hAnsi="Century Gothic" w:cs="Century Gothic"/>
          <w:color w:val="000000"/>
          <w:sz w:val="24"/>
          <w:szCs w:val="24"/>
        </w:rPr>
        <w:t xml:space="preserve">, despachando un promedio ridículo e insultante de </w:t>
      </w:r>
      <w:r>
        <w:rPr>
          <w:rFonts w:ascii="Century Gothic" w:eastAsia="Century Gothic" w:hAnsi="Century Gothic" w:cs="Century Gothic"/>
          <w:b/>
          <w:bCs/>
          <w:color w:val="000000"/>
          <w:sz w:val="24"/>
          <w:szCs w:val="24"/>
        </w:rPr>
        <w:t>4 recetas diarias</w:t>
      </w:r>
      <w:r>
        <w:rPr>
          <w:rFonts w:ascii="Century Gothic" w:eastAsia="Century Gothic" w:hAnsi="Century Gothic" w:cs="Century Gothic"/>
          <w:color w:val="000000"/>
          <w:sz w:val="24"/>
          <w:szCs w:val="24"/>
        </w:rPr>
        <w:t>, mientras miles de pacientes fallecen esperando tratamientos oncológicos o de hemodiálisis.</w:t>
      </w:r>
    </w:p>
    <w:p w14:paraId="5920A268" w14:textId="77777777" w:rsidR="00CA2AB7" w:rsidRDefault="0004460A">
      <w:pPr>
        <w:numPr>
          <w:ilvl w:val="0"/>
          <w:numId w:val="1"/>
        </w:numPr>
        <w:pBdr>
          <w:top w:val="nil"/>
          <w:left w:val="nil"/>
          <w:bottom w:val="nil"/>
          <w:right w:val="nil"/>
          <w:between w:val="nil"/>
        </w:pBdr>
        <w:spacing w:after="0" w:line="360" w:lineRule="auto"/>
        <w:jc w:val="both"/>
        <w:rPr>
          <w:color w:val="000000"/>
          <w:sz w:val="24"/>
          <w:szCs w:val="24"/>
        </w:rPr>
      </w:pPr>
      <w:r>
        <w:rPr>
          <w:rFonts w:ascii="Century Gothic" w:eastAsia="Century Gothic" w:hAnsi="Century Gothic" w:cs="Century Gothic"/>
          <w:b/>
          <w:bCs/>
          <w:color w:val="000000"/>
          <w:sz w:val="24"/>
          <w:szCs w:val="24"/>
        </w:rPr>
        <w:t>Anulaciones por irregularidades:</w:t>
      </w:r>
      <w:r>
        <w:rPr>
          <w:rFonts w:ascii="Century Gothic" w:eastAsia="Century Gothic" w:hAnsi="Century Gothic" w:cs="Century Gothic"/>
          <w:color w:val="000000"/>
          <w:sz w:val="24"/>
          <w:szCs w:val="24"/>
        </w:rPr>
        <w:t xml:space="preserve"> Compras consolidadas declaradas nulas por la propia Secretaría de Anticorrupción y Buen Gobierno ante la detección de sobrecostos exorbitantes y opacidad.</w:t>
      </w:r>
    </w:p>
    <w:p w14:paraId="540345DF" w14:textId="77777777" w:rsidR="00CA2AB7" w:rsidRDefault="0004460A">
      <w:pPr>
        <w:numPr>
          <w:ilvl w:val="0"/>
          <w:numId w:val="1"/>
        </w:numPr>
        <w:pBdr>
          <w:top w:val="nil"/>
          <w:left w:val="nil"/>
          <w:bottom w:val="nil"/>
          <w:right w:val="nil"/>
          <w:between w:val="nil"/>
        </w:pBdr>
        <w:spacing w:after="0" w:line="360" w:lineRule="auto"/>
        <w:jc w:val="both"/>
        <w:rPr>
          <w:color w:val="000000"/>
          <w:sz w:val="24"/>
          <w:szCs w:val="24"/>
        </w:rPr>
      </w:pPr>
      <w:r>
        <w:rPr>
          <w:rFonts w:ascii="Century Gothic" w:eastAsia="Century Gothic" w:hAnsi="Century Gothic" w:cs="Century Gothic"/>
          <w:b/>
          <w:bCs/>
          <w:color w:val="000000"/>
          <w:sz w:val="24"/>
          <w:szCs w:val="24"/>
        </w:rPr>
        <w:t>Adjudicaciones empañadas por el amiguismo:</w:t>
      </w:r>
      <w:r>
        <w:rPr>
          <w:rFonts w:ascii="Century Gothic" w:eastAsia="Century Gothic" w:hAnsi="Century Gothic" w:cs="Century Gothic"/>
          <w:color w:val="000000"/>
          <w:sz w:val="24"/>
          <w:szCs w:val="24"/>
        </w:rPr>
        <w:t xml:space="preserve"> Se asignaron contratos directos por más de </w:t>
      </w:r>
      <w:r>
        <w:rPr>
          <w:rFonts w:ascii="Century Gothic" w:eastAsia="Century Gothic" w:hAnsi="Century Gothic" w:cs="Century Gothic"/>
          <w:b/>
          <w:bCs/>
          <w:color w:val="000000"/>
          <w:sz w:val="24"/>
          <w:szCs w:val="24"/>
        </w:rPr>
        <w:t>420 millones de pesos</w:t>
      </w:r>
      <w:r>
        <w:rPr>
          <w:rFonts w:ascii="Century Gothic" w:eastAsia="Century Gothic" w:hAnsi="Century Gothic" w:cs="Century Gothic"/>
          <w:color w:val="000000"/>
          <w:sz w:val="24"/>
          <w:szCs w:val="24"/>
        </w:rPr>
        <w:t xml:space="preserve"> a empresas vinculadas a actores políticos del oficialismo —como el senador Carlos Lomelí—, compañías previamente sancionadas y cuyos insumos jamás llegaron a las farmacias de los hospitales.</w:t>
      </w:r>
    </w:p>
    <w:p w14:paraId="1C9C70E7" w14:textId="77777777" w:rsidR="00CA2AB7" w:rsidRDefault="0004460A">
      <w:pPr>
        <w:numPr>
          <w:ilvl w:val="0"/>
          <w:numId w:val="1"/>
        </w:numPr>
        <w:pBdr>
          <w:top w:val="nil"/>
          <w:left w:val="nil"/>
          <w:bottom w:val="nil"/>
          <w:right w:val="nil"/>
          <w:between w:val="nil"/>
        </w:pBdr>
        <w:spacing w:after="0" w:line="360" w:lineRule="auto"/>
        <w:jc w:val="both"/>
        <w:rPr>
          <w:color w:val="000000"/>
          <w:sz w:val="24"/>
          <w:szCs w:val="24"/>
        </w:rPr>
      </w:pPr>
      <w:r>
        <w:rPr>
          <w:rFonts w:ascii="Century Gothic" w:eastAsia="Century Gothic" w:hAnsi="Century Gothic" w:cs="Century Gothic"/>
          <w:b/>
          <w:bCs/>
          <w:color w:val="000000"/>
          <w:sz w:val="24"/>
          <w:szCs w:val="24"/>
        </w:rPr>
        <w:lastRenderedPageBreak/>
        <w:t>Medidas improvisadas y humillantes:</w:t>
      </w:r>
      <w:r>
        <w:rPr>
          <w:rFonts w:ascii="Century Gothic" w:eastAsia="Century Gothic" w:hAnsi="Century Gothic" w:cs="Century Gothic"/>
          <w:color w:val="000000"/>
          <w:sz w:val="24"/>
          <w:szCs w:val="24"/>
        </w:rPr>
        <w:t xml:space="preserve"> Se recurrió a la instalación de "módulos itinerantes" en banquetas y al traspaso de responsabilidades a farmacias privadas, evidenciando la incapacidad absoluta de la burocracia federal para administrar la logística médica básica.</w:t>
      </w:r>
    </w:p>
    <w:p w14:paraId="38A40F2E" w14:textId="77777777" w:rsidR="00CA2AB7" w:rsidRDefault="00CA2AB7">
      <w:pPr>
        <w:pBdr>
          <w:top w:val="nil"/>
          <w:left w:val="nil"/>
          <w:bottom w:val="nil"/>
          <w:right w:val="nil"/>
          <w:between w:val="nil"/>
        </w:pBdr>
        <w:spacing w:line="360" w:lineRule="auto"/>
        <w:ind w:left="720"/>
        <w:jc w:val="both"/>
        <w:rPr>
          <w:rFonts w:ascii="Century Gothic" w:eastAsia="Century Gothic" w:hAnsi="Century Gothic" w:cs="Century Gothic"/>
          <w:color w:val="000000"/>
          <w:sz w:val="24"/>
          <w:szCs w:val="24"/>
        </w:rPr>
      </w:pPr>
    </w:p>
    <w:p w14:paraId="08E73992"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La narrativa oficialista intenta minimizar la indignación social afirmando que el sistema avanza hacia la gratuidad y la excelencia. Nada más alejado de la realidad. La Cuarta Transformación desmanteló una infraestructura funcional para sustituirla por un entramado de ocurrencias administrativas que han costado vidas humanas.</w:t>
      </w:r>
    </w:p>
    <w:p w14:paraId="2998520F" w14:textId="77777777" w:rsidR="00CA2AB7" w:rsidRDefault="00CA2AB7">
      <w:pPr>
        <w:spacing w:line="360" w:lineRule="auto"/>
        <w:jc w:val="both"/>
        <w:rPr>
          <w:rFonts w:ascii="Century Gothic" w:eastAsia="Century Gothic" w:hAnsi="Century Gothic" w:cs="Century Gothic"/>
          <w:sz w:val="24"/>
          <w:szCs w:val="24"/>
        </w:rPr>
      </w:pPr>
    </w:p>
    <w:p w14:paraId="5390CFE2"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Por otro lado, respecto a los insumos requeridos en los hospitales, sabemos que es otro problema que no solo impacta en los pacientes, sino que genera un sentimiento de impotencia, desesperación, frustración y enojo en el personal médico quien, a falta de estos insumos deben tomar decisiones entre atender a un paciente u otro, pues no hay ni equipo de protección personal como son guantes, respiradores batas; ni material de curación y heridas, como gasas, vendas, apósitos; ni administradores de medicamentos y fluidos; ni instrumental y material quirúrgico.</w:t>
      </w:r>
    </w:p>
    <w:p w14:paraId="7583E10C" w14:textId="77777777" w:rsidR="00CA2AB7" w:rsidRDefault="00CA2AB7">
      <w:pPr>
        <w:spacing w:line="360" w:lineRule="auto"/>
        <w:ind w:firstLine="709"/>
        <w:jc w:val="both"/>
        <w:rPr>
          <w:rFonts w:ascii="Century Gothic" w:eastAsia="Century Gothic" w:hAnsi="Century Gothic" w:cs="Century Gothic"/>
          <w:sz w:val="24"/>
          <w:szCs w:val="24"/>
        </w:rPr>
      </w:pPr>
    </w:p>
    <w:p w14:paraId="5F5D824B"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Estas decisiones, sin duda, fueron desgastando la calidad del servicio médico brindado por las instituciones federales.</w:t>
      </w:r>
    </w:p>
    <w:p w14:paraId="215C57AE" w14:textId="77777777" w:rsidR="00CA2AB7" w:rsidRDefault="00CA2AB7">
      <w:pPr>
        <w:spacing w:line="360" w:lineRule="auto"/>
        <w:ind w:firstLine="709"/>
        <w:jc w:val="both"/>
        <w:rPr>
          <w:rFonts w:ascii="Century Gothic" w:eastAsia="Century Gothic" w:hAnsi="Century Gothic" w:cs="Century Gothic"/>
          <w:sz w:val="24"/>
          <w:szCs w:val="24"/>
        </w:rPr>
      </w:pPr>
    </w:p>
    <w:p w14:paraId="6E9C7F48"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Luego, tenemos la afectación a los derechos laborales del personal de salud que forman parte del sistema de salud federal. Quienes ahí </w:t>
      </w:r>
      <w:r>
        <w:rPr>
          <w:rFonts w:ascii="Century Gothic" w:eastAsia="Century Gothic" w:hAnsi="Century Gothic" w:cs="Century Gothic"/>
          <w:sz w:val="24"/>
          <w:szCs w:val="24"/>
        </w:rPr>
        <w:lastRenderedPageBreak/>
        <w:t xml:space="preserve">laboran, administrativamente han visto una merma en sus derechos, pues no tienen un aumento salarial conforme con la inflación, la falta de personal obliga a que quienes estén ahí trabajando, multipliquen sus funciones sin una remuneración adecuada, ni descansos efectivos, ni el apoyo institucional que es requerido en este ámbito de suma sensibilidad. </w:t>
      </w:r>
    </w:p>
    <w:p w14:paraId="04CBDB88" w14:textId="77777777" w:rsidR="00CA2AB7" w:rsidRDefault="00CA2AB7">
      <w:pPr>
        <w:spacing w:line="360" w:lineRule="auto"/>
        <w:ind w:firstLine="709"/>
        <w:jc w:val="both"/>
        <w:rPr>
          <w:rFonts w:ascii="Century Gothic" w:eastAsia="Century Gothic" w:hAnsi="Century Gothic" w:cs="Century Gothic"/>
          <w:sz w:val="24"/>
          <w:szCs w:val="24"/>
        </w:rPr>
      </w:pPr>
    </w:p>
    <w:p w14:paraId="1BB192F3"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Lo que tenemos por resultado, es sumamente triste, pero ese sentimiento no debe permitirnos perder el foco, debemos de tener una responsabilidad no solo civil, sino humana, pues si no defendemos a quienes tienen el conocimiento y la vocación de cuidar de todas y todos, no nos podemos decir representantes ni defensores de México. </w:t>
      </w:r>
    </w:p>
    <w:p w14:paraId="065F4401" w14:textId="77777777" w:rsidR="00CA2AB7" w:rsidRDefault="00CA2AB7">
      <w:pPr>
        <w:spacing w:line="360" w:lineRule="auto"/>
        <w:ind w:firstLine="709"/>
        <w:jc w:val="both"/>
        <w:rPr>
          <w:rFonts w:ascii="Century Gothic" w:eastAsia="Century Gothic" w:hAnsi="Century Gothic" w:cs="Century Gothic"/>
          <w:sz w:val="24"/>
          <w:szCs w:val="24"/>
        </w:rPr>
      </w:pPr>
    </w:p>
    <w:p w14:paraId="0FC09808"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A diferencia del discurso oficial que sostiene la existencia de una cobertura universal idónea, la realidad en las clínicas y hospitales de Chihuahua y del país refleja un desabasto crónico de medicamentos, falta de equipamiento básico, infraestructura deteriorada y una sobrecarga laboral insostenible.</w:t>
      </w:r>
    </w:p>
    <w:p w14:paraId="6A953130" w14:textId="77777777" w:rsidR="00CA2AB7" w:rsidRDefault="00CA2AB7">
      <w:pPr>
        <w:spacing w:line="360" w:lineRule="auto"/>
        <w:ind w:firstLine="709"/>
        <w:jc w:val="both"/>
        <w:rPr>
          <w:rFonts w:ascii="Century Gothic" w:eastAsia="Century Gothic" w:hAnsi="Century Gothic" w:cs="Century Gothic"/>
          <w:sz w:val="24"/>
          <w:szCs w:val="24"/>
        </w:rPr>
      </w:pPr>
    </w:p>
    <w:p w14:paraId="788CE6CF"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Frente a esta debacle, la postura de este Poder Legislativo es inquebrantable: nos posicionamos categóricamente al lado de las y los trabajadores de la salud. Médicos, personal de enfermería, camilleros, laboratoristas y administrativos no son culpables de la ineptitud gubernamental; son las primeras víctimas de un sistema que los utiliza como escudo.</w:t>
      </w:r>
    </w:p>
    <w:p w14:paraId="507F9460" w14:textId="77777777" w:rsidR="00CA2AB7" w:rsidRDefault="00CA2AB7">
      <w:pPr>
        <w:spacing w:line="360" w:lineRule="auto"/>
        <w:ind w:firstLine="709"/>
        <w:jc w:val="both"/>
        <w:rPr>
          <w:rFonts w:ascii="Century Gothic" w:eastAsia="Century Gothic" w:hAnsi="Century Gothic" w:cs="Century Gothic"/>
          <w:sz w:val="24"/>
          <w:szCs w:val="24"/>
        </w:rPr>
      </w:pPr>
    </w:p>
    <w:p w14:paraId="496C0669"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Es imperativo que el Gobierno Federal asuma su responsabilidad constitucional fijada en el artículo 4.º de la Constitución Política de los Estados Unidos Mexicanos y garantice el derecho fundamental a la protección de la salud, respetando de manera irrestricta los derechos laborales del personal médico y garantizando el abasto oportuno de medicamentos e insumos indispensables.</w:t>
      </w:r>
    </w:p>
    <w:p w14:paraId="503EB453" w14:textId="77777777" w:rsidR="00CA2AB7" w:rsidRDefault="00CA2AB7">
      <w:pPr>
        <w:spacing w:line="360" w:lineRule="auto"/>
        <w:ind w:firstLine="709"/>
        <w:jc w:val="both"/>
        <w:rPr>
          <w:rFonts w:ascii="Century Gothic" w:eastAsia="Century Gothic" w:hAnsi="Century Gothic" w:cs="Century Gothic"/>
          <w:sz w:val="24"/>
          <w:szCs w:val="24"/>
        </w:rPr>
      </w:pPr>
    </w:p>
    <w:p w14:paraId="1098A740" w14:textId="77777777" w:rsidR="00CA2AB7" w:rsidRDefault="0004460A">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En virtud de lo previamente expuesto es que pongo a consideración de esta Soberanía, la siguiente proposición con carácter de punto de acuerdo:</w:t>
      </w:r>
    </w:p>
    <w:p w14:paraId="4B550696" w14:textId="77777777" w:rsidR="00CA2AB7" w:rsidRDefault="0004460A">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ACUERDO </w:t>
      </w:r>
    </w:p>
    <w:p w14:paraId="17EA7526" w14:textId="77777777" w:rsidR="00CA2AB7" w:rsidRDefault="0004460A">
      <w:pPr>
        <w:spacing w:line="360" w:lineRule="auto"/>
        <w:jc w:val="both"/>
        <w:rPr>
          <w:rFonts w:ascii="Century Gothic" w:eastAsia="Century Gothic" w:hAnsi="Century Gothic" w:cs="Century Gothic"/>
          <w:b/>
          <w:bCs/>
          <w:i/>
          <w:iCs/>
          <w:color w:val="000000"/>
          <w:sz w:val="24"/>
          <w:szCs w:val="24"/>
        </w:rPr>
      </w:pPr>
      <w:r>
        <w:rPr>
          <w:rFonts w:ascii="Century Gothic" w:eastAsia="Century Gothic" w:hAnsi="Century Gothic" w:cs="Century Gothic"/>
          <w:b/>
          <w:bCs/>
          <w:i/>
          <w:iCs/>
          <w:sz w:val="24"/>
          <w:szCs w:val="24"/>
        </w:rPr>
        <w:t>PRIMERO. - LA SEXAGÉSIMA OCTAVA LEGISLATURA DEL H. CONGRESO DEL ESTADO DE CHIHUAHUA, EXHORTA, RESPETUOSAMENTE, A LA TITULAR DEL PODER EJECUTIVO FEDERAL, DRA. CLAUDIA SHEINBAUM PARDO, ASÍ COMO A ZOE ROBLEDO, DIRECTOR GENERAL DEL INSTITUTO MEXICANO DEL SEGURO SOCIAL, PARA QUE EN EL ÁMBITO DE SUS RESPECTIVAS COMPETENCIAS, IMPLEMENTEN UN PLAN DE EMERGENCIA NACIONAL DESTINADO A SOLUCIONAR DE FORMA INMEDIATA EL DESABASTO DE MEDICAMENTOS, REACTIVOS E INSUMOS MÉDICOS EN LOS HOSPITALES Y UNIDADES DE MEDICINA FAMILIAR DEL PAÍS Y DEL ESTADO DE CHIHUAHUA</w:t>
      </w:r>
      <w:r>
        <w:rPr>
          <w:rFonts w:ascii="Century Gothic" w:eastAsia="Century Gothic" w:hAnsi="Century Gothic" w:cs="Century Gothic"/>
          <w:b/>
          <w:bCs/>
          <w:i/>
          <w:iCs/>
          <w:color w:val="000000"/>
          <w:sz w:val="24"/>
          <w:szCs w:val="24"/>
        </w:rPr>
        <w:t>.</w:t>
      </w:r>
    </w:p>
    <w:p w14:paraId="189CDF51" w14:textId="77777777" w:rsidR="00CA2AB7" w:rsidRDefault="00CA2AB7">
      <w:pPr>
        <w:spacing w:line="360" w:lineRule="auto"/>
        <w:jc w:val="both"/>
        <w:rPr>
          <w:rFonts w:ascii="Century Gothic" w:eastAsia="Century Gothic" w:hAnsi="Century Gothic" w:cs="Century Gothic"/>
          <w:b/>
          <w:bCs/>
          <w:i/>
          <w:iCs/>
          <w:color w:val="000000"/>
          <w:sz w:val="24"/>
          <w:szCs w:val="24"/>
        </w:rPr>
      </w:pPr>
    </w:p>
    <w:p w14:paraId="552FD5DB" w14:textId="77777777" w:rsidR="00CA2AB7" w:rsidRDefault="0004460A">
      <w:pPr>
        <w:spacing w:line="360" w:lineRule="auto"/>
        <w:jc w:val="both"/>
        <w:rPr>
          <w:rFonts w:ascii="Century Gothic" w:eastAsia="Century Gothic" w:hAnsi="Century Gothic" w:cs="Century Gothic"/>
          <w:b/>
          <w:bCs/>
          <w:i/>
          <w:iCs/>
          <w:color w:val="000000"/>
          <w:sz w:val="24"/>
          <w:szCs w:val="24"/>
        </w:rPr>
      </w:pPr>
      <w:r>
        <w:rPr>
          <w:rFonts w:ascii="Century Gothic" w:eastAsia="Century Gothic" w:hAnsi="Century Gothic" w:cs="Century Gothic"/>
          <w:b/>
          <w:bCs/>
          <w:i/>
          <w:iCs/>
          <w:color w:val="000000"/>
          <w:sz w:val="24"/>
          <w:szCs w:val="24"/>
        </w:rPr>
        <w:t xml:space="preserve">SEGUNDO.- LA SEXAGÉSIMA OCTAVA LEGISLATURA DEL H. CONGRESO DEL ESTADO DE CHIHUAHUA EXHORTA AL GOBIERNO FEDERAL A REVISAR Y DIGNIFICAR DE MANERA URGENTE LAS CONDICIONES LABORALES DE LAS Y LOS TRABAJADORES DEL INSTITUTO MEXICANO DEL SEGURO SOCIAL, GARANTIZANDO SALARIOS ACORDES A LA INFLACIÓN, LA APERTURA DE </w:t>
      </w:r>
      <w:r>
        <w:rPr>
          <w:rFonts w:ascii="Century Gothic" w:eastAsia="Century Gothic" w:hAnsi="Century Gothic" w:cs="Century Gothic"/>
          <w:b/>
          <w:bCs/>
          <w:i/>
          <w:iCs/>
          <w:color w:val="000000"/>
          <w:sz w:val="24"/>
          <w:szCs w:val="24"/>
        </w:rPr>
        <w:lastRenderedPageBreak/>
        <w:t>PLAZAS VACANTES, LA DOTACIÓN DE EQUIPO DE PROTECCIÓN E INSUMOS SUFICIENTES PARA EL DESARROLLO DE SUS FUNCIONES, Y EL CESE DE CUALQUIER ACTO DE INTIMIDACIÓN HACIA EL PERSONAL QUE SE HA MANIFESTADO EN DEFENSA DE SUS DERECHOS.</w:t>
      </w:r>
    </w:p>
    <w:p w14:paraId="272C0B93" w14:textId="77777777" w:rsidR="00CA2AB7" w:rsidRDefault="00CA2AB7">
      <w:pPr>
        <w:spacing w:line="360" w:lineRule="auto"/>
        <w:jc w:val="both"/>
        <w:rPr>
          <w:rFonts w:ascii="Century Gothic" w:eastAsia="Century Gothic" w:hAnsi="Century Gothic" w:cs="Century Gothic"/>
          <w:b/>
          <w:bCs/>
          <w:i/>
          <w:iCs/>
          <w:color w:val="000000"/>
          <w:sz w:val="24"/>
          <w:szCs w:val="24"/>
        </w:rPr>
      </w:pPr>
    </w:p>
    <w:p w14:paraId="5FC4D826" w14:textId="04CDF393" w:rsidR="00CA2AB7" w:rsidRDefault="0004460A">
      <w:pPr>
        <w:spacing w:line="360" w:lineRule="auto"/>
        <w:jc w:val="both"/>
        <w:rPr>
          <w:rFonts w:ascii="Century Gothic" w:eastAsia="Century Gothic" w:hAnsi="Century Gothic" w:cs="Century Gothic"/>
          <w:b/>
          <w:bCs/>
          <w:i/>
          <w:iCs/>
          <w:color w:val="000000"/>
          <w:sz w:val="24"/>
          <w:szCs w:val="24"/>
        </w:rPr>
      </w:pPr>
      <w:r>
        <w:rPr>
          <w:rFonts w:ascii="Century Gothic" w:eastAsia="Century Gothic" w:hAnsi="Century Gothic" w:cs="Century Gothic"/>
          <w:b/>
          <w:bCs/>
          <w:i/>
          <w:iCs/>
          <w:color w:val="000000"/>
          <w:sz w:val="24"/>
          <w:szCs w:val="24"/>
        </w:rPr>
        <w:t xml:space="preserve">TERCERO.- LA SEXAGÉSIMA OCTAVA LEGISLATURA DEL H. CONGRESO DEL ESTADO DE CHIHUAHUA SOLICITA A LA SECRETARÍA </w:t>
      </w:r>
      <w:r w:rsidR="00660FD8">
        <w:rPr>
          <w:rFonts w:ascii="Century Gothic" w:eastAsia="Century Gothic" w:hAnsi="Century Gothic" w:cs="Century Gothic"/>
          <w:b/>
          <w:bCs/>
          <w:i/>
          <w:iCs/>
          <w:color w:val="000000"/>
          <w:sz w:val="24"/>
          <w:szCs w:val="24"/>
        </w:rPr>
        <w:t>ANTICORRUPCIÓN Y BUEN GOBIERNO</w:t>
      </w:r>
      <w:r>
        <w:rPr>
          <w:rFonts w:ascii="Century Gothic" w:eastAsia="Century Gothic" w:hAnsi="Century Gothic" w:cs="Century Gothic"/>
          <w:b/>
          <w:bCs/>
          <w:i/>
          <w:iCs/>
          <w:color w:val="000000"/>
          <w:sz w:val="24"/>
          <w:szCs w:val="24"/>
        </w:rPr>
        <w:t xml:space="preserve"> Y A LA AUDITORÍA SUPERIOR DE LA FEDERACIÓN REVISAR DE MANERA EXHAUSTIVA LAS LICITACIONES, COMPRAS DIRECTAS Y ADJUDICACIONES REALIZADAS POR EL IMSS Y BIRMEX PARA LA ADQUISICIÓN Y DISTRIBUCIÓN DE MEDICAMENTOS, DESLINDANDO LAS RESPONSABILIDADES ADMINISTRATIVAS O PENALES A QUE HAYA LUGAR.</w:t>
      </w:r>
    </w:p>
    <w:p w14:paraId="1DA50A2A" w14:textId="77777777" w:rsidR="00CA2AB7" w:rsidRDefault="00CA2AB7">
      <w:pPr>
        <w:spacing w:line="360" w:lineRule="auto"/>
        <w:jc w:val="both"/>
        <w:rPr>
          <w:rFonts w:ascii="Century Gothic" w:eastAsia="Century Gothic" w:hAnsi="Century Gothic" w:cs="Century Gothic"/>
          <w:b/>
          <w:bCs/>
          <w:i/>
          <w:iCs/>
          <w:color w:val="000000"/>
          <w:sz w:val="24"/>
          <w:szCs w:val="24"/>
        </w:rPr>
      </w:pPr>
    </w:p>
    <w:p w14:paraId="5B1E36E9" w14:textId="77777777" w:rsidR="00CA2AB7" w:rsidRDefault="0004460A">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ECONÓMICO</w:t>
      </w:r>
      <w:r>
        <w:rPr>
          <w:rFonts w:ascii="Century Gothic" w:eastAsia="Century Gothic" w:hAnsi="Century Gothic" w:cs="Century Gothic"/>
          <w:sz w:val="24"/>
          <w:szCs w:val="24"/>
        </w:rPr>
        <w:t>. - Aprobado que sea túrnese a la Secretaría para que elabore la minuta correspondiente y proceda en consecuencia.</w:t>
      </w:r>
    </w:p>
    <w:p w14:paraId="384CDC82" w14:textId="77777777" w:rsidR="00CA2AB7" w:rsidRDefault="0004460A">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Dado en el Salón de Sesiones a los trece días del mes de octubre del año dos mil veintiséis. </w:t>
      </w:r>
    </w:p>
    <w:p w14:paraId="77B43D9E" w14:textId="77777777" w:rsidR="00CA2AB7" w:rsidRDefault="0004460A">
      <w:pPr>
        <w:widowControl w:val="0"/>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ATENTAMENTE</w:t>
      </w:r>
    </w:p>
    <w:p w14:paraId="58ACC0CC" w14:textId="77777777" w:rsidR="00CA2AB7" w:rsidRDefault="0004460A">
      <w:pPr>
        <w:widowControl w:val="0"/>
        <w:spacing w:line="360" w:lineRule="auto"/>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 </w:t>
      </w:r>
    </w:p>
    <w:p w14:paraId="766D293F" w14:textId="77777777" w:rsidR="00CA2AB7" w:rsidRDefault="00CA2AB7">
      <w:pPr>
        <w:widowControl w:val="0"/>
        <w:spacing w:line="360" w:lineRule="auto"/>
        <w:rPr>
          <w:rFonts w:ascii="Century Gothic" w:eastAsia="Century Gothic" w:hAnsi="Century Gothic" w:cs="Century Gothic"/>
          <w:b/>
          <w:bCs/>
          <w:sz w:val="24"/>
          <w:szCs w:val="24"/>
        </w:rPr>
      </w:pPr>
    </w:p>
    <w:p w14:paraId="54D45F9B" w14:textId="77777777" w:rsidR="00CA2AB7" w:rsidRDefault="0004460A">
      <w:pPr>
        <w:widowControl w:val="0"/>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YESENIA GUADALUPE REYES CALZADÍAS</w:t>
      </w:r>
    </w:p>
    <w:p w14:paraId="726491C0" w14:textId="77777777" w:rsidR="00CA2AB7" w:rsidRDefault="00CA2AB7">
      <w:pPr>
        <w:spacing w:line="360" w:lineRule="auto"/>
        <w:rPr>
          <w:rFonts w:ascii="Century Gothic" w:eastAsia="Century Gothic" w:hAnsi="Century Gothic" w:cs="Century Gothic"/>
          <w:sz w:val="24"/>
          <w:szCs w:val="24"/>
        </w:rPr>
      </w:pPr>
    </w:p>
    <w:p w14:paraId="69F27FBB" w14:textId="77777777" w:rsidR="00CA2AB7" w:rsidRDefault="00CA2AB7">
      <w:pPr>
        <w:spacing w:line="360" w:lineRule="auto"/>
        <w:rPr>
          <w:rFonts w:ascii="Century Gothic" w:eastAsia="Century Gothic" w:hAnsi="Century Gothic" w:cs="Century Gothic"/>
          <w:sz w:val="24"/>
          <w:szCs w:val="24"/>
        </w:rPr>
      </w:pPr>
    </w:p>
    <w:p w14:paraId="171B107D" w14:textId="2A0521FD" w:rsidR="00CA2AB7" w:rsidRDefault="0004460A">
      <w:pPr>
        <w:spacing w:line="360" w:lineRule="auto"/>
        <w:rPr>
          <w:rFonts w:ascii="Century Gothic" w:eastAsia="Century Gothic" w:hAnsi="Century Gothic" w:cs="Century Gothic"/>
          <w:b/>
          <w:bCs/>
          <w:sz w:val="24"/>
          <w:szCs w:val="24"/>
        </w:rPr>
      </w:pPr>
      <w:r>
        <w:rPr>
          <w:rFonts w:ascii="Century Gothic" w:eastAsia="Century Gothic" w:hAnsi="Century Gothic" w:cs="Century Gothic"/>
          <w:b/>
          <w:bCs/>
          <w:sz w:val="24"/>
          <w:szCs w:val="24"/>
        </w:rPr>
        <w:lastRenderedPageBreak/>
        <w:t>DIP. JOSÉ ALFREDO CHÁVEZ MADRID</w:t>
      </w:r>
      <w:r>
        <w:rPr>
          <w:rFonts w:ascii="Century Gothic" w:eastAsia="Century Gothic" w:hAnsi="Century Gothic" w:cs="Century Gothic"/>
          <w:b/>
          <w:bCs/>
          <w:sz w:val="24"/>
          <w:szCs w:val="24"/>
        </w:rPr>
        <w:tab/>
        <w:t xml:space="preserve">                   DIP. SAÚL MIRELES CORRAL   </w:t>
      </w:r>
    </w:p>
    <w:p w14:paraId="04543FF0" w14:textId="77777777" w:rsidR="00CA2AB7" w:rsidRDefault="00CA2AB7">
      <w:pPr>
        <w:spacing w:line="360" w:lineRule="auto"/>
        <w:jc w:val="center"/>
        <w:rPr>
          <w:rFonts w:ascii="Century Gothic" w:eastAsia="Century Gothic" w:hAnsi="Century Gothic" w:cs="Century Gothic"/>
          <w:b/>
          <w:bCs/>
          <w:sz w:val="24"/>
          <w:szCs w:val="24"/>
        </w:rPr>
      </w:pPr>
    </w:p>
    <w:p w14:paraId="2F259A54" w14:textId="77777777" w:rsidR="00CA2AB7" w:rsidRDefault="00CA2AB7">
      <w:pPr>
        <w:spacing w:line="360" w:lineRule="auto"/>
        <w:jc w:val="center"/>
        <w:rPr>
          <w:rFonts w:ascii="Century Gothic" w:eastAsia="Century Gothic" w:hAnsi="Century Gothic" w:cs="Century Gothic"/>
          <w:b/>
          <w:bCs/>
          <w:sz w:val="24"/>
          <w:szCs w:val="24"/>
        </w:rPr>
      </w:pPr>
    </w:p>
    <w:p w14:paraId="509E4E93" w14:textId="43E469A9" w:rsidR="00CA2AB7" w:rsidRDefault="0004460A">
      <w:pPr>
        <w:spacing w:line="360" w:lineRule="auto"/>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DIP. CARLOS ALFREDO OLSON SAN VICENTE           DIP. ISMAEL PÉREZ PAVÍA </w:t>
      </w:r>
    </w:p>
    <w:p w14:paraId="643930DF" w14:textId="77777777" w:rsidR="00CA2AB7" w:rsidRDefault="00CA2AB7">
      <w:pPr>
        <w:spacing w:line="360" w:lineRule="auto"/>
        <w:jc w:val="center"/>
        <w:rPr>
          <w:rFonts w:ascii="Century Gothic" w:eastAsia="Century Gothic" w:hAnsi="Century Gothic" w:cs="Century Gothic"/>
          <w:b/>
          <w:bCs/>
          <w:sz w:val="24"/>
          <w:szCs w:val="24"/>
        </w:rPr>
      </w:pPr>
    </w:p>
    <w:p w14:paraId="0114C231" w14:textId="77777777" w:rsidR="00CA2AB7" w:rsidRDefault="00CA2AB7">
      <w:pPr>
        <w:spacing w:line="360" w:lineRule="auto"/>
        <w:rPr>
          <w:rFonts w:ascii="Century Gothic" w:eastAsia="Century Gothic" w:hAnsi="Century Gothic" w:cs="Century Gothic"/>
          <w:b/>
          <w:bCs/>
          <w:sz w:val="24"/>
          <w:szCs w:val="24"/>
        </w:rPr>
      </w:pPr>
    </w:p>
    <w:p w14:paraId="56371E93" w14:textId="5F1E9822" w:rsidR="00CA2AB7" w:rsidRDefault="0066044E">
      <w:pPr>
        <w:spacing w:line="360" w:lineRule="auto"/>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ARTURO ZUBÍA FERNÁNDEZ</w:t>
      </w:r>
      <w:r w:rsidR="0004460A">
        <w:rPr>
          <w:rFonts w:ascii="Century Gothic" w:eastAsia="Century Gothic" w:hAnsi="Century Gothic" w:cs="Century Gothic"/>
          <w:b/>
          <w:bCs/>
          <w:sz w:val="24"/>
          <w:szCs w:val="24"/>
        </w:rPr>
        <w:tab/>
      </w:r>
      <w:r w:rsidR="0004460A">
        <w:rPr>
          <w:rFonts w:ascii="Century Gothic" w:eastAsia="Century Gothic" w:hAnsi="Century Gothic" w:cs="Century Gothic"/>
          <w:b/>
          <w:bCs/>
          <w:sz w:val="24"/>
          <w:szCs w:val="24"/>
        </w:rPr>
        <w:tab/>
        <w:t xml:space="preserve">          DIP. JORGE CARLOS SOTO PRIETO </w:t>
      </w:r>
    </w:p>
    <w:p w14:paraId="1B9CE374" w14:textId="77777777" w:rsidR="00CA2AB7" w:rsidRDefault="00CA2AB7">
      <w:pPr>
        <w:spacing w:line="360" w:lineRule="auto"/>
        <w:jc w:val="center"/>
        <w:rPr>
          <w:rFonts w:ascii="Century Gothic" w:eastAsia="Century Gothic" w:hAnsi="Century Gothic" w:cs="Century Gothic"/>
          <w:b/>
          <w:bCs/>
          <w:sz w:val="24"/>
          <w:szCs w:val="24"/>
        </w:rPr>
      </w:pPr>
    </w:p>
    <w:p w14:paraId="4ED50E74" w14:textId="77777777" w:rsidR="00CA2AB7" w:rsidRDefault="00CA2AB7">
      <w:pPr>
        <w:spacing w:line="360" w:lineRule="auto"/>
        <w:jc w:val="center"/>
        <w:rPr>
          <w:rFonts w:ascii="Century Gothic" w:eastAsia="Century Gothic" w:hAnsi="Century Gothic" w:cs="Century Gothic"/>
          <w:b/>
          <w:bCs/>
          <w:sz w:val="24"/>
          <w:szCs w:val="24"/>
        </w:rPr>
      </w:pPr>
    </w:p>
    <w:p w14:paraId="5E984F48" w14:textId="7B59D19D" w:rsidR="00CA2AB7" w:rsidRDefault="0004460A">
      <w:pPr>
        <w:spacing w:line="360" w:lineRule="auto"/>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EDNA XÓCHITL CONTRERAS HERRERA</w:t>
      </w:r>
      <w:r>
        <w:rPr>
          <w:rFonts w:ascii="Century Gothic" w:eastAsia="Century Gothic" w:hAnsi="Century Gothic" w:cs="Century Gothic"/>
          <w:b/>
          <w:bCs/>
          <w:sz w:val="24"/>
          <w:szCs w:val="24"/>
        </w:rPr>
        <w:tab/>
        <w:t xml:space="preserve"> DIP. NANCY JANETH FRÍAS FRÍAS </w:t>
      </w:r>
    </w:p>
    <w:p w14:paraId="14266084" w14:textId="77777777" w:rsidR="00CA2AB7" w:rsidRDefault="00CA2AB7">
      <w:pPr>
        <w:spacing w:line="360" w:lineRule="auto"/>
        <w:jc w:val="center"/>
        <w:rPr>
          <w:rFonts w:ascii="Century Gothic" w:eastAsia="Century Gothic" w:hAnsi="Century Gothic" w:cs="Century Gothic"/>
          <w:b/>
          <w:bCs/>
          <w:sz w:val="24"/>
          <w:szCs w:val="24"/>
        </w:rPr>
      </w:pPr>
    </w:p>
    <w:p w14:paraId="1F5155E3" w14:textId="77777777" w:rsidR="00CA2AB7" w:rsidRDefault="0004460A">
      <w:pPr>
        <w:spacing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 </w:t>
      </w:r>
    </w:p>
    <w:p w14:paraId="0E58A635" w14:textId="77777777" w:rsidR="00CA2AB7" w:rsidRDefault="00CA2AB7">
      <w:pPr>
        <w:spacing w:line="360" w:lineRule="auto"/>
        <w:jc w:val="center"/>
        <w:rPr>
          <w:rFonts w:ascii="Century Gothic" w:eastAsia="Century Gothic" w:hAnsi="Century Gothic" w:cs="Century Gothic"/>
          <w:b/>
          <w:bCs/>
          <w:sz w:val="24"/>
          <w:szCs w:val="24"/>
        </w:rPr>
      </w:pPr>
    </w:p>
    <w:p w14:paraId="79ECF054" w14:textId="3ECB8942" w:rsidR="00CA2AB7" w:rsidRDefault="0004460A">
      <w:pPr>
        <w:spacing w:line="360" w:lineRule="auto"/>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DIP. ROBERTO MARCELINO CARREÓN HUITRÓN </w:t>
      </w:r>
      <w:r w:rsidR="0066044E">
        <w:rPr>
          <w:rFonts w:ascii="Century Gothic" w:eastAsia="Century Gothic" w:hAnsi="Century Gothic" w:cs="Century Gothic"/>
          <w:b/>
          <w:bCs/>
          <w:sz w:val="24"/>
          <w:szCs w:val="24"/>
        </w:rPr>
        <w:t xml:space="preserve">DIP. JOCELINE VEGA VARGAS </w:t>
      </w:r>
    </w:p>
    <w:p w14:paraId="77CAF458" w14:textId="77777777" w:rsidR="00CA2AB7" w:rsidRDefault="00CA2AB7" w:rsidP="0066044E">
      <w:pPr>
        <w:spacing w:line="360" w:lineRule="auto"/>
        <w:rPr>
          <w:rFonts w:ascii="Century Gothic" w:eastAsia="Century Gothic" w:hAnsi="Century Gothic" w:cs="Century Gothic"/>
          <w:b/>
          <w:bCs/>
          <w:sz w:val="24"/>
          <w:szCs w:val="24"/>
        </w:rPr>
      </w:pPr>
    </w:p>
    <w:p w14:paraId="400CCA81" w14:textId="77777777" w:rsidR="00CA2AB7" w:rsidRDefault="00CA2AB7">
      <w:pPr>
        <w:spacing w:line="360" w:lineRule="auto"/>
        <w:jc w:val="center"/>
        <w:rPr>
          <w:rFonts w:ascii="Century Gothic" w:eastAsia="Century Gothic" w:hAnsi="Century Gothic" w:cs="Century Gothic"/>
          <w:b/>
          <w:bCs/>
          <w:sz w:val="24"/>
          <w:szCs w:val="24"/>
        </w:rPr>
      </w:pPr>
    </w:p>
    <w:p w14:paraId="7F37546C" w14:textId="21F5AEB2" w:rsidR="00CA2AB7" w:rsidRDefault="0004460A">
      <w:pPr>
        <w:spacing w:line="360" w:lineRule="auto"/>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DIP. CARLA YAMILETH RIVAS MARTÍNEZ                   DIP. JAIME TORRES AMAYA</w:t>
      </w:r>
    </w:p>
    <w:p w14:paraId="693B9696" w14:textId="77777777" w:rsidR="0066044E" w:rsidRDefault="0066044E">
      <w:pPr>
        <w:spacing w:line="360" w:lineRule="auto"/>
        <w:rPr>
          <w:rFonts w:ascii="Century Gothic" w:eastAsia="Century Gothic" w:hAnsi="Century Gothic" w:cs="Century Gothic"/>
          <w:b/>
          <w:bCs/>
          <w:sz w:val="24"/>
          <w:szCs w:val="24"/>
        </w:rPr>
      </w:pPr>
    </w:p>
    <w:p w14:paraId="3E51B7E1" w14:textId="77777777" w:rsidR="0066044E" w:rsidRDefault="0066044E" w:rsidP="0066044E">
      <w:pPr>
        <w:jc w:val="both"/>
        <w:rPr>
          <w:rFonts w:ascii="Century Gothic" w:eastAsia="Arial" w:hAnsi="Century Gothic"/>
          <w:bCs/>
          <w:color w:val="000000"/>
          <w:sz w:val="16"/>
          <w:szCs w:val="16"/>
        </w:rPr>
      </w:pPr>
      <w:bookmarkStart w:id="0" w:name="_Hlk212446402"/>
    </w:p>
    <w:p w14:paraId="312A1B00" w14:textId="60080FA6" w:rsidR="0066044E" w:rsidRDefault="0066044E" w:rsidP="0066044E">
      <w:pPr>
        <w:jc w:val="both"/>
        <w:rPr>
          <w:rFonts w:ascii="Century Gothic" w:eastAsia="Century Gothic" w:hAnsi="Century Gothic" w:cs="Century Gothic"/>
          <w:b/>
          <w:bCs/>
          <w:sz w:val="24"/>
          <w:szCs w:val="24"/>
        </w:rPr>
      </w:pPr>
      <w:r w:rsidRPr="0066044E">
        <w:rPr>
          <w:rFonts w:ascii="Century Gothic" w:eastAsia="Arial" w:hAnsi="Century Gothic"/>
          <w:bCs/>
          <w:color w:val="000000"/>
          <w:sz w:val="16"/>
          <w:szCs w:val="16"/>
        </w:rPr>
        <w:t>LA PRESENTE HOJA DE FIRMA PERTENECE A LA PROPOSICIÓN CON CARÁCTER DE PUNTO DE ACUERDO, RELATIVO AL EXHORTO AL GOBIERNO FEDERAL, PARA DAR ATENCIÓN INMEDIATA A LA PROBLEMÁTICA OCASIONADA DENTRO DEL INSTITUTO MEXICANO DEL SEGURO SOCIAL, PRESENTADO EN LA SESIÓN ORDINARIA DEL 13 DE OCTUBRE DE 2026.</w:t>
      </w:r>
      <w:bookmarkEnd w:id="0"/>
    </w:p>
    <w:p w14:paraId="4D64CD30" w14:textId="77777777" w:rsidR="0066044E" w:rsidRDefault="0066044E">
      <w:pPr>
        <w:spacing w:line="360" w:lineRule="auto"/>
        <w:rPr>
          <w:rFonts w:ascii="Century Gothic" w:eastAsia="Century Gothic" w:hAnsi="Century Gothic" w:cs="Century Gothic"/>
          <w:sz w:val="24"/>
          <w:szCs w:val="24"/>
        </w:rPr>
      </w:pPr>
    </w:p>
    <w:sectPr w:rsidR="0066044E" w:rsidSect="0066044E">
      <w:headerReference w:type="default" r:id="rId7"/>
      <w:footerReference w:type="default" r:id="rId8"/>
      <w:pgSz w:w="12240" w:h="15840"/>
      <w:pgMar w:top="1417" w:right="1701" w:bottom="1417" w:left="1701" w:header="708" w:footer="44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08B7F" w14:textId="77777777" w:rsidR="00892FF6" w:rsidRDefault="00892FF6">
      <w:pPr>
        <w:spacing w:after="0" w:line="240" w:lineRule="auto"/>
      </w:pPr>
      <w:r>
        <w:separator/>
      </w:r>
    </w:p>
  </w:endnote>
  <w:endnote w:type="continuationSeparator" w:id="0">
    <w:p w14:paraId="3FB20E92" w14:textId="77777777" w:rsidR="00892FF6" w:rsidRDefault="00892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Calibri"/>
    <w:charset w:val="00"/>
    <w:family w:val="auto"/>
    <w:pitch w:val="default"/>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embedRegular r:id="rId1" w:fontKey="{5CA20651-10DD-454F-8A8D-17AFBE7BAA3D}"/>
    <w:embedBold r:id="rId2" w:fontKey="{CE151880-A9BB-41CA-94D5-AC175133F48D}"/>
    <w:embedItalic r:id="rId3" w:fontKey="{78149AD3-D8AF-409F-8A9C-2C835DA04594}"/>
    <w:embedBoldItalic r:id="rId4" w:fontKey="{1D0AD194-1AF9-431A-95B2-EA6164FA189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52996A64-79BD-478F-B75E-76381D662C36}"/>
  </w:font>
  <w:font w:name="Cambria">
    <w:panose1 w:val="02040503050406030204"/>
    <w:charset w:val="00"/>
    <w:family w:val="roman"/>
    <w:pitch w:val="variable"/>
    <w:sig w:usb0="E00006FF" w:usb1="420024FF" w:usb2="02000000" w:usb3="00000000" w:csb0="0000019F" w:csb1="00000000"/>
    <w:embedRegular r:id="rId6" w:fontKey="{C55CCDBB-86B4-40E6-9716-7A191D1C11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328138955"/>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4E9CEFF4" w14:textId="37AA72AB" w:rsidR="0066044E" w:rsidRPr="0066044E" w:rsidRDefault="0066044E">
            <w:pPr>
              <w:pStyle w:val="Piedepgina"/>
              <w:jc w:val="right"/>
              <w:rPr>
                <w:rFonts w:ascii="Arial" w:hAnsi="Arial" w:cs="Arial"/>
                <w:sz w:val="16"/>
                <w:szCs w:val="16"/>
              </w:rPr>
            </w:pPr>
            <w:r w:rsidRPr="0066044E">
              <w:rPr>
                <w:rFonts w:ascii="Arial" w:hAnsi="Arial" w:cs="Arial"/>
                <w:sz w:val="16"/>
                <w:szCs w:val="16"/>
                <w:lang w:val="es-ES"/>
              </w:rPr>
              <w:t xml:space="preserve">Página </w:t>
            </w:r>
            <w:r w:rsidRPr="0066044E">
              <w:rPr>
                <w:rFonts w:ascii="Arial" w:hAnsi="Arial" w:cs="Arial"/>
                <w:b/>
                <w:bCs/>
                <w:sz w:val="16"/>
                <w:szCs w:val="16"/>
              </w:rPr>
              <w:fldChar w:fldCharType="begin"/>
            </w:r>
            <w:r w:rsidRPr="0066044E">
              <w:rPr>
                <w:rFonts w:ascii="Arial" w:hAnsi="Arial" w:cs="Arial"/>
                <w:b/>
                <w:bCs/>
                <w:sz w:val="16"/>
                <w:szCs w:val="16"/>
              </w:rPr>
              <w:instrText>PAGE</w:instrText>
            </w:r>
            <w:r w:rsidRPr="0066044E">
              <w:rPr>
                <w:rFonts w:ascii="Arial" w:hAnsi="Arial" w:cs="Arial"/>
                <w:b/>
                <w:bCs/>
                <w:sz w:val="16"/>
                <w:szCs w:val="16"/>
              </w:rPr>
              <w:fldChar w:fldCharType="separate"/>
            </w:r>
            <w:r w:rsidRPr="0066044E">
              <w:rPr>
                <w:rFonts w:ascii="Arial" w:hAnsi="Arial" w:cs="Arial"/>
                <w:b/>
                <w:bCs/>
                <w:sz w:val="16"/>
                <w:szCs w:val="16"/>
                <w:lang w:val="es-ES"/>
              </w:rPr>
              <w:t>2</w:t>
            </w:r>
            <w:r w:rsidRPr="0066044E">
              <w:rPr>
                <w:rFonts w:ascii="Arial" w:hAnsi="Arial" w:cs="Arial"/>
                <w:b/>
                <w:bCs/>
                <w:sz w:val="16"/>
                <w:szCs w:val="16"/>
              </w:rPr>
              <w:fldChar w:fldCharType="end"/>
            </w:r>
            <w:r w:rsidRPr="0066044E">
              <w:rPr>
                <w:rFonts w:ascii="Arial" w:hAnsi="Arial" w:cs="Arial"/>
                <w:sz w:val="16"/>
                <w:szCs w:val="16"/>
                <w:lang w:val="es-ES"/>
              </w:rPr>
              <w:t xml:space="preserve"> de </w:t>
            </w:r>
            <w:r w:rsidRPr="0066044E">
              <w:rPr>
                <w:rFonts w:ascii="Arial" w:hAnsi="Arial" w:cs="Arial"/>
                <w:b/>
                <w:bCs/>
                <w:sz w:val="16"/>
                <w:szCs w:val="16"/>
              </w:rPr>
              <w:fldChar w:fldCharType="begin"/>
            </w:r>
            <w:r w:rsidRPr="0066044E">
              <w:rPr>
                <w:rFonts w:ascii="Arial" w:hAnsi="Arial" w:cs="Arial"/>
                <w:b/>
                <w:bCs/>
                <w:sz w:val="16"/>
                <w:szCs w:val="16"/>
              </w:rPr>
              <w:instrText>NUMPAGES</w:instrText>
            </w:r>
            <w:r w:rsidRPr="0066044E">
              <w:rPr>
                <w:rFonts w:ascii="Arial" w:hAnsi="Arial" w:cs="Arial"/>
                <w:b/>
                <w:bCs/>
                <w:sz w:val="16"/>
                <w:szCs w:val="16"/>
              </w:rPr>
              <w:fldChar w:fldCharType="separate"/>
            </w:r>
            <w:r w:rsidRPr="0066044E">
              <w:rPr>
                <w:rFonts w:ascii="Arial" w:hAnsi="Arial" w:cs="Arial"/>
                <w:b/>
                <w:bCs/>
                <w:sz w:val="16"/>
                <w:szCs w:val="16"/>
                <w:lang w:val="es-ES"/>
              </w:rPr>
              <w:t>2</w:t>
            </w:r>
            <w:r w:rsidRPr="0066044E">
              <w:rPr>
                <w:rFonts w:ascii="Arial" w:hAnsi="Arial" w:cs="Arial"/>
                <w:b/>
                <w:bCs/>
                <w:sz w:val="16"/>
                <w:szCs w:val="16"/>
              </w:rPr>
              <w:fldChar w:fldCharType="end"/>
            </w:r>
          </w:p>
        </w:sdtContent>
      </w:sdt>
    </w:sdtContent>
  </w:sdt>
  <w:p w14:paraId="09B0937A" w14:textId="77777777" w:rsidR="00CA2AB7" w:rsidRPr="0066044E" w:rsidRDefault="00CA2AB7">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E13EE" w14:textId="77777777" w:rsidR="00892FF6" w:rsidRDefault="00892FF6">
      <w:pPr>
        <w:spacing w:after="0" w:line="240" w:lineRule="auto"/>
      </w:pPr>
      <w:r>
        <w:separator/>
      </w:r>
    </w:p>
  </w:footnote>
  <w:footnote w:type="continuationSeparator" w:id="0">
    <w:p w14:paraId="3FAB9B08" w14:textId="77777777" w:rsidR="00892FF6" w:rsidRDefault="00892FF6">
      <w:pPr>
        <w:spacing w:after="0" w:line="240" w:lineRule="auto"/>
      </w:pPr>
      <w:r>
        <w:continuationSeparator/>
      </w:r>
    </w:p>
  </w:footnote>
  <w:footnote w:id="1">
    <w:p w14:paraId="2D66B60C" w14:textId="77777777" w:rsidR="00CA2AB7" w:rsidRDefault="0004460A">
      <w:pPr>
        <w:pBdr>
          <w:top w:val="nil"/>
          <w:left w:val="nil"/>
          <w:bottom w:val="nil"/>
          <w:right w:val="nil"/>
          <w:between w:val="nil"/>
        </w:pBdr>
        <w:spacing w:after="0" w:line="240" w:lineRule="auto"/>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https://www.imss.gob.mx/sites/all/statics/imssBienestar/estudiosopinion/b-2018-sc-resultados-UMR.pdf</w:t>
      </w:r>
    </w:p>
  </w:footnote>
  <w:footnote w:id="2">
    <w:p w14:paraId="5862AF38" w14:textId="77777777" w:rsidR="00CA2AB7" w:rsidRDefault="0004460A">
      <w:pPr>
        <w:pBdr>
          <w:top w:val="nil"/>
          <w:left w:val="nil"/>
          <w:bottom w:val="nil"/>
          <w:right w:val="nil"/>
          <w:between w:val="nil"/>
        </w:pBdr>
        <w:spacing w:after="0" w:line="240" w:lineRule="auto"/>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https://www.imss.gob.mx/prensa/archivo/201806/148</w:t>
      </w:r>
    </w:p>
  </w:footnote>
  <w:footnote w:id="3">
    <w:p w14:paraId="5CE8CE69" w14:textId="77777777" w:rsidR="00CA2AB7" w:rsidRDefault="0004460A">
      <w:pPr>
        <w:pBdr>
          <w:top w:val="nil"/>
          <w:left w:val="nil"/>
          <w:bottom w:val="nil"/>
          <w:right w:val="nil"/>
          <w:between w:val="nil"/>
        </w:pBdr>
        <w:spacing w:after="0" w:line="240" w:lineRule="auto"/>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https://reposipot.imss.gob.mx/unidad_trans/2025_T4_EncuestaSatisfaccion_UMR_XL.pdf</w:t>
      </w:r>
    </w:p>
  </w:footnote>
  <w:footnote w:id="4">
    <w:p w14:paraId="6A436E87" w14:textId="77777777" w:rsidR="00CA2AB7" w:rsidRDefault="0004460A">
      <w:pPr>
        <w:pBdr>
          <w:top w:val="nil"/>
          <w:left w:val="nil"/>
          <w:bottom w:val="nil"/>
          <w:right w:val="nil"/>
          <w:between w:val="nil"/>
        </w:pBdr>
        <w:spacing w:after="0" w:line="240" w:lineRule="auto"/>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https://calidad.salud.gob.mx/site/calidad/premio_nacional_calidad_2026.html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94D78" w14:textId="77777777" w:rsidR="00CA2AB7" w:rsidRDefault="0004460A">
    <w:pPr>
      <w:pBdr>
        <w:top w:val="nil"/>
        <w:left w:val="nil"/>
        <w:bottom w:val="nil"/>
        <w:right w:val="nil"/>
        <w:between w:val="nil"/>
      </w:pBdr>
      <w:tabs>
        <w:tab w:val="center" w:pos="4419"/>
        <w:tab w:val="right" w:pos="8838"/>
      </w:tabs>
      <w:spacing w:after="0" w:line="240" w:lineRule="auto"/>
      <w:jc w:val="cente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“2026, Año del Bicentenario de la Abolición de la Esclavitud en el Estado de Chihuahua”</w:t>
    </w:r>
    <w:r>
      <w:rPr>
        <w:noProof/>
      </w:rPr>
      <w:drawing>
        <wp:anchor distT="0" distB="0" distL="114300" distR="114300" simplePos="0" relativeHeight="251658240" behindDoc="0" locked="0" layoutInCell="1" hidden="0" allowOverlap="1" wp14:anchorId="1E93D379" wp14:editId="282483ED">
          <wp:simplePos x="0" y="0"/>
          <wp:positionH relativeFrom="column">
            <wp:posOffset>-390524</wp:posOffset>
          </wp:positionH>
          <wp:positionV relativeFrom="paragraph">
            <wp:posOffset>-200659</wp:posOffset>
          </wp:positionV>
          <wp:extent cx="1061085" cy="1017905"/>
          <wp:effectExtent l="0" t="0" r="0" b="0"/>
          <wp:wrapSquare wrapText="bothSides" distT="0" distB="0" distL="114300" distR="114300"/>
          <wp:docPr id="11" name="image1.png" descr="image3.png"/>
          <wp:cNvGraphicFramePr/>
          <a:graphic xmlns:a="http://schemas.openxmlformats.org/drawingml/2006/main">
            <a:graphicData uri="http://schemas.openxmlformats.org/drawingml/2006/picture">
              <pic:pic xmlns:pic="http://schemas.openxmlformats.org/drawingml/2006/picture">
                <pic:nvPicPr>
                  <pic:cNvPr id="0" name="image1.png" descr="image3.png"/>
                  <pic:cNvPicPr preferRelativeResize="0"/>
                </pic:nvPicPr>
                <pic:blipFill>
                  <a:blip r:embed="rId1"/>
                  <a:srcRect/>
                  <a:stretch>
                    <a:fillRect/>
                  </a:stretch>
                </pic:blipFill>
                <pic:spPr>
                  <a:xfrm>
                    <a:off x="0" y="0"/>
                    <a:ext cx="1061085" cy="101790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BE5F311" wp14:editId="5FAA9017">
          <wp:simplePos x="0" y="0"/>
          <wp:positionH relativeFrom="column">
            <wp:posOffset>5034915</wp:posOffset>
          </wp:positionH>
          <wp:positionV relativeFrom="paragraph">
            <wp:posOffset>-268604</wp:posOffset>
          </wp:positionV>
          <wp:extent cx="1123950" cy="1123950"/>
          <wp:effectExtent l="0" t="0" r="0" b="0"/>
          <wp:wrapSquare wrapText="bothSides" distT="0" distB="0" distL="114300" distR="11430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123950" cy="1123950"/>
                  </a:xfrm>
                  <a:prstGeom prst="rect">
                    <a:avLst/>
                  </a:prstGeom>
                  <a:ln/>
                </pic:spPr>
              </pic:pic>
            </a:graphicData>
          </a:graphic>
        </wp:anchor>
      </w:drawing>
    </w:r>
  </w:p>
  <w:p w14:paraId="7ACDE967" w14:textId="77777777" w:rsidR="00CA2AB7" w:rsidRDefault="00CA2AB7">
    <w:pPr>
      <w:pBdr>
        <w:top w:val="nil"/>
        <w:left w:val="nil"/>
        <w:bottom w:val="nil"/>
        <w:right w:val="nil"/>
        <w:between w:val="nil"/>
      </w:pBdr>
      <w:tabs>
        <w:tab w:val="center" w:pos="4419"/>
        <w:tab w:val="right" w:pos="8838"/>
      </w:tabs>
      <w:spacing w:after="0" w:line="240" w:lineRule="auto"/>
      <w:rPr>
        <w:color w:val="000000"/>
        <w:sz w:val="24"/>
        <w:szCs w:val="24"/>
      </w:rPr>
    </w:pPr>
  </w:p>
  <w:p w14:paraId="48801B83" w14:textId="77777777" w:rsidR="00CA2AB7" w:rsidRDefault="00CA2AB7">
    <w:pPr>
      <w:pBdr>
        <w:top w:val="nil"/>
        <w:left w:val="nil"/>
        <w:bottom w:val="nil"/>
        <w:right w:val="nil"/>
        <w:between w:val="nil"/>
      </w:pBdr>
      <w:tabs>
        <w:tab w:val="center" w:pos="4419"/>
        <w:tab w:val="right" w:pos="8838"/>
      </w:tabs>
      <w:spacing w:after="0" w:line="240" w:lineRule="auto"/>
      <w:rPr>
        <w:color w:val="000000"/>
        <w:sz w:val="24"/>
        <w:szCs w:val="24"/>
      </w:rPr>
    </w:pPr>
  </w:p>
  <w:p w14:paraId="75AC5D9C" w14:textId="77777777" w:rsidR="00CA2AB7" w:rsidRDefault="00CA2AB7">
    <w:pPr>
      <w:pBdr>
        <w:top w:val="nil"/>
        <w:left w:val="nil"/>
        <w:bottom w:val="nil"/>
        <w:right w:val="nil"/>
        <w:between w:val="nil"/>
      </w:pBdr>
      <w:tabs>
        <w:tab w:val="center" w:pos="4419"/>
        <w:tab w:val="right" w:pos="8838"/>
      </w:tabs>
      <w:spacing w:after="0" w:line="240" w:lineRule="auto"/>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9479CE"/>
    <w:multiLevelType w:val="multilevel"/>
    <w:tmpl w:val="6A220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AB7"/>
    <w:rsid w:val="0004460A"/>
    <w:rsid w:val="0066044E"/>
    <w:rsid w:val="00660FD8"/>
    <w:rsid w:val="00892FF6"/>
    <w:rsid w:val="009C4F82"/>
    <w:rsid w:val="00BB43DE"/>
    <w:rsid w:val="00CA2A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B1DE6A"/>
  <w15:docId w15:val="{A3FEC88D-5589-4B6D-9ABC-9EAAD042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line="278" w:lineRule="auto"/>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line="278" w:lineRule="auto"/>
      <w:outlineLvl w:val="3"/>
    </w:pPr>
    <w:rPr>
      <w:i/>
      <w:iCs/>
      <w:color w:val="0F4761"/>
      <w:sz w:val="24"/>
      <w:szCs w:val="24"/>
    </w:rPr>
  </w:style>
  <w:style w:type="paragraph" w:styleId="Ttulo5">
    <w:name w:val="heading 5"/>
    <w:basedOn w:val="Normal"/>
    <w:next w:val="Normal"/>
    <w:uiPriority w:val="9"/>
    <w:semiHidden/>
    <w:unhideWhenUsed/>
    <w:qFormat/>
    <w:pPr>
      <w:keepNext/>
      <w:keepLines/>
      <w:spacing w:before="80" w:after="40" w:line="278" w:lineRule="auto"/>
      <w:outlineLvl w:val="4"/>
    </w:pPr>
    <w:rPr>
      <w:color w:val="0F4761"/>
      <w:sz w:val="24"/>
      <w:szCs w:val="24"/>
    </w:rPr>
  </w:style>
  <w:style w:type="paragraph" w:styleId="Ttulo6">
    <w:name w:val="heading 6"/>
    <w:basedOn w:val="Normal"/>
    <w:next w:val="Normal"/>
    <w:uiPriority w:val="9"/>
    <w:semiHidden/>
    <w:unhideWhenUsed/>
    <w:qFormat/>
    <w:pPr>
      <w:keepNext/>
      <w:keepLines/>
      <w:spacing w:before="40" w:after="0" w:line="278" w:lineRule="auto"/>
      <w:outlineLvl w:val="5"/>
    </w:pPr>
    <w:rPr>
      <w:i/>
      <w:iCs/>
      <w:color w:val="595959"/>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pPr>
      <w:spacing w:line="278" w:lineRule="auto"/>
    </w:pPr>
    <w:rPr>
      <w:color w:val="595959"/>
      <w:sz w:val="28"/>
      <w:szCs w:val="28"/>
    </w:rPr>
  </w:style>
  <w:style w:type="paragraph" w:styleId="Encabezado">
    <w:name w:val="header"/>
    <w:basedOn w:val="Normal"/>
    <w:link w:val="EncabezadoCar"/>
    <w:uiPriority w:val="99"/>
    <w:unhideWhenUsed/>
    <w:rsid w:val="0066044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044E"/>
  </w:style>
  <w:style w:type="paragraph" w:styleId="Piedepgina">
    <w:name w:val="footer"/>
    <w:basedOn w:val="Normal"/>
    <w:link w:val="PiedepginaCar"/>
    <w:uiPriority w:val="99"/>
    <w:unhideWhenUsed/>
    <w:rsid w:val="0066044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0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1526</Words>
  <Characters>8396</Characters>
  <Application>Microsoft Office Word</Application>
  <DocSecurity>0</DocSecurity>
  <Lines>69</Lines>
  <Paragraphs>19</Paragraphs>
  <ScaleCrop>false</ScaleCrop>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Esmeralda Portillo Aguilar</dc:creator>
  <cp:lastModifiedBy>Andrea Daniela Flores Chacon</cp:lastModifiedBy>
  <cp:revision>2</cp:revision>
  <dcterms:created xsi:type="dcterms:W3CDTF">2026-10-13T21:09:00Z</dcterms:created>
  <dcterms:modified xsi:type="dcterms:W3CDTF">2026-10-13T21:09:00Z</dcterms:modified>
</cp:coreProperties>
</file>