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86D91" w14:textId="77777777" w:rsidR="005922DD" w:rsidRDefault="0089073D">
      <w:pPr>
        <w:spacing w:after="0" w:line="360" w:lineRule="auto"/>
        <w:jc w:val="both"/>
        <w:rPr>
          <w:rFonts w:ascii="Arial" w:eastAsia="Arial" w:hAnsi="Arial" w:cs="Arial"/>
          <w:b/>
          <w:bCs/>
          <w:sz w:val="24"/>
          <w:szCs w:val="24"/>
        </w:rPr>
      </w:pPr>
      <w:r>
        <w:rPr>
          <w:rFonts w:ascii="Arial" w:eastAsia="Arial" w:hAnsi="Arial" w:cs="Arial"/>
          <w:b/>
          <w:bCs/>
          <w:sz w:val="24"/>
          <w:szCs w:val="24"/>
        </w:rPr>
        <w:t xml:space="preserve">H. CONGRESO DEL ESTADO DE CHIHUAHUA. </w:t>
      </w:r>
    </w:p>
    <w:p w14:paraId="57C00F3E" w14:textId="77777777" w:rsidR="005922DD" w:rsidRDefault="0089073D">
      <w:pPr>
        <w:spacing w:after="0" w:line="360" w:lineRule="auto"/>
        <w:jc w:val="both"/>
        <w:rPr>
          <w:rFonts w:ascii="Arial" w:eastAsia="Arial" w:hAnsi="Arial" w:cs="Arial"/>
          <w:b/>
          <w:bCs/>
          <w:sz w:val="24"/>
          <w:szCs w:val="24"/>
        </w:rPr>
      </w:pPr>
      <w:r>
        <w:rPr>
          <w:rFonts w:ascii="Arial" w:eastAsia="Arial" w:hAnsi="Arial" w:cs="Arial"/>
          <w:b/>
          <w:bCs/>
          <w:sz w:val="24"/>
          <w:szCs w:val="24"/>
        </w:rPr>
        <w:t>P R E S E N T E.-</w:t>
      </w:r>
    </w:p>
    <w:p w14:paraId="7E15A6DF" w14:textId="77777777" w:rsidR="005922DD" w:rsidRDefault="005922DD">
      <w:pPr>
        <w:spacing w:after="0" w:line="360" w:lineRule="auto"/>
        <w:rPr>
          <w:rFonts w:ascii="Arial" w:eastAsia="Arial" w:hAnsi="Arial" w:cs="Arial"/>
          <w:sz w:val="24"/>
          <w:szCs w:val="24"/>
        </w:rPr>
      </w:pPr>
    </w:p>
    <w:p w14:paraId="1FAFA1B0" w14:textId="77777777" w:rsidR="005922DD" w:rsidRDefault="0089073D">
      <w:pPr>
        <w:spacing w:line="360" w:lineRule="auto"/>
        <w:jc w:val="both"/>
        <w:rPr>
          <w:rFonts w:ascii="Arial" w:eastAsia="Arial" w:hAnsi="Arial" w:cs="Arial"/>
          <w:b/>
          <w:bCs/>
          <w:sz w:val="24"/>
          <w:szCs w:val="24"/>
        </w:rPr>
      </w:pPr>
      <w:r>
        <w:rPr>
          <w:rFonts w:ascii="Arial" w:eastAsia="Arial" w:hAnsi="Arial" w:cs="Arial"/>
          <w:sz w:val="24"/>
          <w:szCs w:val="24"/>
        </w:rPr>
        <w:t xml:space="preserve">La suscrita, </w:t>
      </w:r>
      <w:r>
        <w:rPr>
          <w:rFonts w:ascii="Arial" w:eastAsia="Arial" w:hAnsi="Arial" w:cs="Arial"/>
          <w:b/>
          <w:bCs/>
          <w:sz w:val="24"/>
          <w:szCs w:val="24"/>
        </w:rPr>
        <w:t>Irlanda Dominique Márquez Nolasco</w:t>
      </w:r>
      <w:r>
        <w:rPr>
          <w:rFonts w:ascii="Arial" w:eastAsia="Arial" w:hAnsi="Arial" w:cs="Arial"/>
          <w:sz w:val="24"/>
          <w:szCs w:val="24"/>
        </w:rPr>
        <w:t>, en mi carácter de Diputada de la Sexagésima Octava Legislatura del Honorable Congreso del Estado de Chihuahua y representante del Partido del Trabajo, con fundamento en lo dispuesto por el artículo 68, fracción I, de la Constitución Política del Estado L</w:t>
      </w:r>
      <w:r>
        <w:rPr>
          <w:rFonts w:ascii="Arial" w:eastAsia="Arial" w:hAnsi="Arial" w:cs="Arial"/>
          <w:sz w:val="24"/>
          <w:szCs w:val="24"/>
        </w:rPr>
        <w:t xml:space="preserve">ibre y Soberano de Chihuahua; así como 57 y 58 de la Ley Orgánica del Poder Legislativo del Estado; comparezco ante esta Honorable Soberanía, a efecto de presentar esta Iniciativa con Carácter de Decreto, a efecto de </w:t>
      </w:r>
      <w:r>
        <w:rPr>
          <w:rFonts w:ascii="Arial" w:eastAsia="Arial" w:hAnsi="Arial" w:cs="Arial"/>
          <w:b/>
          <w:bCs/>
          <w:sz w:val="24"/>
          <w:szCs w:val="24"/>
        </w:rPr>
        <w:t xml:space="preserve">REFORMAR LOS ARTÍCULOS 187, 189 </w:t>
      </w:r>
      <w:proofErr w:type="gramStart"/>
      <w:r>
        <w:rPr>
          <w:rFonts w:ascii="Arial" w:eastAsia="Arial" w:hAnsi="Arial" w:cs="Arial"/>
          <w:b/>
          <w:bCs/>
          <w:sz w:val="24"/>
          <w:szCs w:val="24"/>
        </w:rPr>
        <w:t>Y</w:t>
      </w:r>
      <w:proofErr w:type="gramEnd"/>
      <w:r>
        <w:rPr>
          <w:rFonts w:ascii="Arial" w:eastAsia="Arial" w:hAnsi="Arial" w:cs="Arial"/>
          <w:b/>
          <w:bCs/>
          <w:sz w:val="24"/>
          <w:szCs w:val="24"/>
        </w:rPr>
        <w:t xml:space="preserve"> 240 D</w:t>
      </w:r>
      <w:r>
        <w:rPr>
          <w:rFonts w:ascii="Arial" w:eastAsia="Arial" w:hAnsi="Arial" w:cs="Arial"/>
          <w:b/>
          <w:bCs/>
          <w:sz w:val="24"/>
          <w:szCs w:val="24"/>
        </w:rPr>
        <w:t xml:space="preserve">E LA LEY ESTATAL DE SALUD A FIN DE FORTALECER LA PREVENCIÓN Y ATENCIÓN DE LOS TRASTORNOS DE LA CONDUCTA ALIMENTARIA EN NIÑAS, NIÑOS Y ADOLESCENTES.  </w:t>
      </w:r>
    </w:p>
    <w:p w14:paraId="2FDAAD56" w14:textId="77777777" w:rsidR="005922DD" w:rsidRDefault="005922DD">
      <w:pPr>
        <w:spacing w:after="0" w:line="360" w:lineRule="auto"/>
        <w:jc w:val="both"/>
        <w:rPr>
          <w:rFonts w:ascii="Arial" w:eastAsia="Arial" w:hAnsi="Arial" w:cs="Arial"/>
          <w:sz w:val="24"/>
          <w:szCs w:val="24"/>
        </w:rPr>
      </w:pPr>
    </w:p>
    <w:p w14:paraId="73389242" w14:textId="77777777" w:rsidR="005922DD" w:rsidRDefault="0089073D">
      <w:pPr>
        <w:spacing w:before="240" w:after="240" w:line="360" w:lineRule="auto"/>
        <w:jc w:val="center"/>
        <w:rPr>
          <w:rFonts w:ascii="Arial" w:eastAsia="Arial" w:hAnsi="Arial" w:cs="Arial"/>
          <w:b/>
          <w:bCs/>
          <w:sz w:val="24"/>
          <w:szCs w:val="24"/>
        </w:rPr>
      </w:pPr>
      <w:r>
        <w:rPr>
          <w:rFonts w:ascii="Arial" w:eastAsia="Arial" w:hAnsi="Arial" w:cs="Arial"/>
          <w:b/>
          <w:bCs/>
          <w:sz w:val="24"/>
          <w:szCs w:val="24"/>
        </w:rPr>
        <w:t xml:space="preserve">EXPOSICIÓN DE MOTIVOS: </w:t>
      </w:r>
    </w:p>
    <w:p w14:paraId="5C4FDBE5" w14:textId="77777777" w:rsidR="005922DD" w:rsidRDefault="0089073D">
      <w:pPr>
        <w:spacing w:line="360" w:lineRule="auto"/>
        <w:jc w:val="both"/>
        <w:rPr>
          <w:rFonts w:ascii="Arial" w:eastAsia="Arial" w:hAnsi="Arial" w:cs="Arial"/>
          <w:sz w:val="24"/>
          <w:szCs w:val="24"/>
        </w:rPr>
      </w:pPr>
      <w:r>
        <w:rPr>
          <w:rFonts w:ascii="Arial" w:eastAsia="Arial" w:hAnsi="Arial" w:cs="Arial"/>
          <w:sz w:val="24"/>
          <w:szCs w:val="24"/>
        </w:rPr>
        <w:t>La salud constituye un derecho humano reconocido por el artículo 4o. de la Consti</w:t>
      </w:r>
      <w:r>
        <w:rPr>
          <w:rFonts w:ascii="Arial" w:eastAsia="Arial" w:hAnsi="Arial" w:cs="Arial"/>
          <w:sz w:val="24"/>
          <w:szCs w:val="24"/>
        </w:rPr>
        <w:t xml:space="preserve">tución Política de los Estados Unidos Mexicanos, cuya protección comprende acciones de promoción, prevención, detección oportuna, atención y tratamiento. </w:t>
      </w:r>
    </w:p>
    <w:p w14:paraId="7EB3CC02" w14:textId="77777777" w:rsidR="005922DD" w:rsidRDefault="0089073D">
      <w:pPr>
        <w:spacing w:line="360" w:lineRule="auto"/>
        <w:jc w:val="both"/>
        <w:rPr>
          <w:rFonts w:ascii="Arial" w:eastAsia="Arial" w:hAnsi="Arial" w:cs="Arial"/>
          <w:sz w:val="24"/>
          <w:szCs w:val="24"/>
        </w:rPr>
      </w:pPr>
      <w:r>
        <w:rPr>
          <w:rFonts w:ascii="Arial" w:eastAsia="Arial" w:hAnsi="Arial" w:cs="Arial"/>
          <w:sz w:val="24"/>
          <w:szCs w:val="24"/>
        </w:rPr>
        <w:t>En este sentido el Estado tiene la responsabilidad de desarrollar políticas públicas que atiendan los</w:t>
      </w:r>
      <w:r>
        <w:rPr>
          <w:rFonts w:ascii="Arial" w:eastAsia="Arial" w:hAnsi="Arial" w:cs="Arial"/>
          <w:sz w:val="24"/>
          <w:szCs w:val="24"/>
        </w:rPr>
        <w:t xml:space="preserve"> distintos factores que pueden afectar el bienestar físico de las personas.</w:t>
      </w:r>
    </w:p>
    <w:p w14:paraId="52A6778A" w14:textId="77777777" w:rsidR="005922DD" w:rsidRDefault="0089073D">
      <w:pPr>
        <w:spacing w:line="360" w:lineRule="auto"/>
        <w:jc w:val="both"/>
        <w:rPr>
          <w:rFonts w:ascii="Arial" w:eastAsia="Arial" w:hAnsi="Arial" w:cs="Arial"/>
          <w:b/>
          <w:bCs/>
          <w:sz w:val="24"/>
          <w:szCs w:val="24"/>
          <w:highlight w:val="yellow"/>
        </w:rPr>
      </w:pPr>
      <w:r>
        <w:rPr>
          <w:rFonts w:ascii="Arial" w:eastAsia="Arial" w:hAnsi="Arial" w:cs="Arial"/>
          <w:sz w:val="24"/>
          <w:szCs w:val="24"/>
        </w:rPr>
        <w:t xml:space="preserve">Actualmente, la legislación estatal contempla dentro de las acciones de prevención y control el sobrepeso y la </w:t>
      </w:r>
      <w:proofErr w:type="gramStart"/>
      <w:r>
        <w:rPr>
          <w:rFonts w:ascii="Arial" w:eastAsia="Arial" w:hAnsi="Arial" w:cs="Arial"/>
          <w:sz w:val="24"/>
          <w:szCs w:val="24"/>
        </w:rPr>
        <w:t>obesidad</w:t>
      </w:r>
      <w:proofErr w:type="gramEnd"/>
      <w:r>
        <w:rPr>
          <w:rFonts w:ascii="Arial" w:eastAsia="Arial" w:hAnsi="Arial" w:cs="Arial"/>
          <w:sz w:val="24"/>
          <w:szCs w:val="24"/>
        </w:rPr>
        <w:t xml:space="preserve"> así como la prevención de los trastornos alimenticios en su </w:t>
      </w:r>
      <w:r>
        <w:rPr>
          <w:rFonts w:ascii="Arial" w:eastAsia="Arial" w:hAnsi="Arial" w:cs="Arial"/>
          <w:sz w:val="24"/>
          <w:szCs w:val="24"/>
        </w:rPr>
        <w:t xml:space="preserve">artículo 189 de la Ley Estatal de Salud. Sin embargo, resulta indispensable fortalecer el marco normativo para reconocer expresamente los </w:t>
      </w:r>
      <w:r>
        <w:rPr>
          <w:rFonts w:ascii="Arial" w:eastAsia="Arial" w:hAnsi="Arial" w:cs="Arial"/>
          <w:sz w:val="24"/>
          <w:szCs w:val="24"/>
        </w:rPr>
        <w:lastRenderedPageBreak/>
        <w:t>trastornos de la conducta alimentaria como una materia específica de prevención, sensibilización y detección oportuna.</w:t>
      </w:r>
    </w:p>
    <w:p w14:paraId="5744CB10" w14:textId="77777777" w:rsidR="005922DD" w:rsidRDefault="0089073D">
      <w:pPr>
        <w:spacing w:line="360" w:lineRule="auto"/>
        <w:jc w:val="both"/>
        <w:rPr>
          <w:rFonts w:ascii="Arial" w:eastAsia="Arial" w:hAnsi="Arial" w:cs="Arial"/>
          <w:b/>
          <w:bCs/>
          <w:sz w:val="24"/>
          <w:szCs w:val="24"/>
          <w:highlight w:val="yellow"/>
        </w:rPr>
      </w:pPr>
      <w:bookmarkStart w:id="0" w:name="_heading=h.v8tyavtr8ohe" w:colFirst="0" w:colLast="0"/>
      <w:bookmarkEnd w:id="0"/>
      <w:r>
        <w:rPr>
          <w:rFonts w:ascii="Arial" w:eastAsia="Arial" w:hAnsi="Arial" w:cs="Arial"/>
          <w:sz w:val="24"/>
          <w:szCs w:val="24"/>
        </w:rPr>
        <w:t>La Organización Mundial de la Salud ha señalado que estos trastornos suelen aparecer durante la adolescencia y la juventud y que se encuentran relacionados con alteraciones en las conductas alimentarias entre los cuales se encuentran la anorexia y bulimia</w:t>
      </w:r>
      <w:r>
        <w:rPr>
          <w:rFonts w:ascii="Arial" w:eastAsia="Arial" w:hAnsi="Arial" w:cs="Arial"/>
          <w:sz w:val="24"/>
          <w:szCs w:val="24"/>
        </w:rPr>
        <w:t xml:space="preserve">, y frecuentemente con una preocupación excesiva por el peso y la imagen corporal. Además, pueden producir consecuencias importantes para la salud física y coexistir con problemas de salud mental como depresión, </w:t>
      </w:r>
      <w:proofErr w:type="gramStart"/>
      <w:r>
        <w:rPr>
          <w:rFonts w:ascii="Arial" w:eastAsia="Arial" w:hAnsi="Arial" w:cs="Arial"/>
          <w:sz w:val="24"/>
          <w:szCs w:val="24"/>
        </w:rPr>
        <w:t>ansiedad</w:t>
      </w:r>
      <w:proofErr w:type="gramEnd"/>
      <w:r>
        <w:rPr>
          <w:rFonts w:ascii="Arial" w:eastAsia="Arial" w:hAnsi="Arial" w:cs="Arial"/>
          <w:sz w:val="24"/>
          <w:szCs w:val="24"/>
        </w:rPr>
        <w:t xml:space="preserve"> así como el consumo indebido de sus</w:t>
      </w:r>
      <w:r>
        <w:rPr>
          <w:rFonts w:ascii="Arial" w:eastAsia="Arial" w:hAnsi="Arial" w:cs="Arial"/>
          <w:sz w:val="24"/>
          <w:szCs w:val="24"/>
        </w:rPr>
        <w:t>tancias</w:t>
      </w:r>
      <w:r>
        <w:rPr>
          <w:rFonts w:ascii="Arial" w:eastAsia="Arial" w:hAnsi="Arial" w:cs="Arial"/>
          <w:sz w:val="24"/>
          <w:szCs w:val="24"/>
          <w:vertAlign w:val="superscript"/>
        </w:rPr>
        <w:footnoteReference w:id="1"/>
      </w:r>
      <w:r>
        <w:rPr>
          <w:rFonts w:ascii="Arial" w:eastAsia="Arial" w:hAnsi="Arial" w:cs="Arial"/>
          <w:sz w:val="24"/>
          <w:szCs w:val="24"/>
        </w:rPr>
        <w:t xml:space="preserve">. </w:t>
      </w:r>
    </w:p>
    <w:p w14:paraId="052F0E2A" w14:textId="77777777" w:rsidR="005922DD" w:rsidRDefault="0089073D">
      <w:pPr>
        <w:spacing w:line="360" w:lineRule="auto"/>
        <w:jc w:val="both"/>
        <w:rPr>
          <w:rFonts w:ascii="Arial" w:eastAsia="Arial" w:hAnsi="Arial" w:cs="Arial"/>
          <w:sz w:val="24"/>
          <w:szCs w:val="24"/>
        </w:rPr>
      </w:pPr>
      <w:r>
        <w:rPr>
          <w:rFonts w:ascii="Arial" w:eastAsia="Arial" w:hAnsi="Arial" w:cs="Arial"/>
          <w:sz w:val="24"/>
          <w:szCs w:val="24"/>
        </w:rPr>
        <w:t>Se estima que en México el 25 % de adolescentes padece, en diferentes grados, un trastorno de la conducta alimentaria (TCA</w:t>
      </w:r>
      <w:proofErr w:type="gramStart"/>
      <w:r>
        <w:rPr>
          <w:rFonts w:ascii="Arial" w:eastAsia="Arial" w:hAnsi="Arial" w:cs="Arial"/>
          <w:sz w:val="24"/>
          <w:szCs w:val="24"/>
        </w:rPr>
        <w:t>) ,</w:t>
      </w:r>
      <w:proofErr w:type="gramEnd"/>
      <w:r>
        <w:rPr>
          <w:rFonts w:ascii="Arial" w:eastAsia="Arial" w:hAnsi="Arial" w:cs="Arial"/>
          <w:sz w:val="24"/>
          <w:szCs w:val="24"/>
        </w:rPr>
        <w:t xml:space="preserve"> la mayoría de los casos asociado con algún problema mental, y menos del 10 % de los afectados está en tratamiento, de </w:t>
      </w:r>
      <w:r>
        <w:rPr>
          <w:rFonts w:ascii="Arial" w:eastAsia="Arial" w:hAnsi="Arial" w:cs="Arial"/>
          <w:sz w:val="24"/>
          <w:szCs w:val="24"/>
        </w:rPr>
        <w:t>acuerdo con datos de la Secretaría de Salud.</w:t>
      </w:r>
      <w:r>
        <w:rPr>
          <w:rFonts w:ascii="Arial" w:eastAsia="Arial" w:hAnsi="Arial" w:cs="Arial"/>
          <w:sz w:val="24"/>
          <w:szCs w:val="24"/>
          <w:vertAlign w:val="superscript"/>
        </w:rPr>
        <w:footnoteReference w:id="2"/>
      </w:r>
      <w:r>
        <w:rPr>
          <w:rFonts w:ascii="Arial" w:eastAsia="Arial" w:hAnsi="Arial" w:cs="Arial"/>
          <w:sz w:val="24"/>
          <w:szCs w:val="24"/>
        </w:rPr>
        <w:t xml:space="preserve"> Su origen es multifactorial donde interactúan diversos factores biológicos, psicológicos y sociales. Entre las señales de riesgo que pueden presentarse se encuentran: mostrar preocupación excesiva por la delga</w:t>
      </w:r>
      <w:r>
        <w:rPr>
          <w:rFonts w:ascii="Arial" w:eastAsia="Arial" w:hAnsi="Arial" w:cs="Arial"/>
          <w:sz w:val="24"/>
          <w:szCs w:val="24"/>
        </w:rPr>
        <w:t>dez, evitar el consumo de alimentos ricos en grasas y azúcares, practicar ayunos prolongados, usar laxantes, cubrir en exceso su cuerpo o comparar su complexión corporal con otras personas. El tiempo del tratamiento depende del tipo de trastorno, por lo qu</w:t>
      </w:r>
      <w:r>
        <w:rPr>
          <w:rFonts w:ascii="Arial" w:eastAsia="Arial" w:hAnsi="Arial" w:cs="Arial"/>
          <w:sz w:val="24"/>
          <w:szCs w:val="24"/>
        </w:rPr>
        <w:t xml:space="preserve">e puede requerir atención prolongada conforme lo determine el grupo de especialistas en psicoterapia, psicología, psiquiatría, nutrición y terapia familiar. </w:t>
      </w:r>
      <w:r>
        <w:rPr>
          <w:rFonts w:ascii="Arial" w:eastAsia="Arial" w:hAnsi="Arial" w:cs="Arial"/>
          <w:sz w:val="24"/>
          <w:szCs w:val="24"/>
          <w:vertAlign w:val="superscript"/>
        </w:rPr>
        <w:footnoteReference w:id="3"/>
      </w:r>
      <w:r>
        <w:rPr>
          <w:rFonts w:ascii="Arial" w:eastAsia="Arial" w:hAnsi="Arial" w:cs="Arial"/>
          <w:sz w:val="24"/>
          <w:szCs w:val="24"/>
        </w:rPr>
        <w:t xml:space="preserve"> Entre los trastornos alimentarios más comunes se encuentran la anorexia nerviosa, bulimia nervio</w:t>
      </w:r>
      <w:r>
        <w:rPr>
          <w:rFonts w:ascii="Arial" w:eastAsia="Arial" w:hAnsi="Arial" w:cs="Arial"/>
          <w:sz w:val="24"/>
          <w:szCs w:val="24"/>
        </w:rPr>
        <w:t>sa, trastorno por atracón, ortorexia y vigorexia.</w:t>
      </w:r>
    </w:p>
    <w:p w14:paraId="793F2391" w14:textId="77777777" w:rsidR="005922DD" w:rsidRDefault="0089073D">
      <w:pPr>
        <w:spacing w:line="360" w:lineRule="auto"/>
        <w:jc w:val="both"/>
        <w:rPr>
          <w:rFonts w:ascii="Arial" w:eastAsia="Arial" w:hAnsi="Arial" w:cs="Arial"/>
          <w:sz w:val="24"/>
          <w:szCs w:val="24"/>
        </w:rPr>
      </w:pPr>
      <w:r>
        <w:rPr>
          <w:rFonts w:ascii="Arial" w:eastAsia="Arial" w:hAnsi="Arial" w:cs="Arial"/>
          <w:sz w:val="24"/>
          <w:szCs w:val="24"/>
        </w:rPr>
        <w:lastRenderedPageBreak/>
        <w:t>La anorexia nerviosa se caracteriza por una búsqueda incesante de la delgadez, un miedo extremo a la obesidad, una imagen corporal distorsionada y la ingesta restringida conforme a las exigencias, lo cual p</w:t>
      </w:r>
      <w:r>
        <w:rPr>
          <w:rFonts w:ascii="Arial" w:eastAsia="Arial" w:hAnsi="Arial" w:cs="Arial"/>
          <w:sz w:val="24"/>
          <w:szCs w:val="24"/>
        </w:rPr>
        <w:t xml:space="preserve">rovoca una pérdida de peso significativa. </w:t>
      </w:r>
    </w:p>
    <w:p w14:paraId="0644685E" w14:textId="77777777" w:rsidR="005922DD" w:rsidRDefault="0089073D">
      <w:pPr>
        <w:spacing w:line="360" w:lineRule="auto"/>
        <w:jc w:val="both"/>
        <w:rPr>
          <w:rFonts w:ascii="Arial" w:eastAsia="Arial" w:hAnsi="Arial" w:cs="Arial"/>
          <w:sz w:val="24"/>
          <w:szCs w:val="24"/>
        </w:rPr>
      </w:pPr>
      <w:r>
        <w:rPr>
          <w:rFonts w:ascii="Arial" w:eastAsia="Arial" w:hAnsi="Arial" w:cs="Arial"/>
          <w:sz w:val="24"/>
          <w:szCs w:val="24"/>
        </w:rPr>
        <w:t xml:space="preserve">La anorexia nerviosa aparece predominantemente en niñas y mujeres jóvenes. El inicio suele ser durante la adolescencia y rara vez luego de los 40 años. La prevalencia de por vida es de aproximadamente 1,5% en las </w:t>
      </w:r>
      <w:r>
        <w:rPr>
          <w:rFonts w:ascii="Arial" w:eastAsia="Arial" w:hAnsi="Arial" w:cs="Arial"/>
          <w:sz w:val="24"/>
          <w:szCs w:val="24"/>
        </w:rPr>
        <w:t>mujeres y 0,1% en los hombres.</w:t>
      </w:r>
      <w:r>
        <w:rPr>
          <w:rFonts w:ascii="Arial" w:eastAsia="Arial" w:hAnsi="Arial" w:cs="Arial"/>
          <w:sz w:val="24"/>
          <w:szCs w:val="24"/>
          <w:vertAlign w:val="superscript"/>
        </w:rPr>
        <w:footnoteReference w:id="4"/>
      </w:r>
    </w:p>
    <w:p w14:paraId="096486D7" w14:textId="77777777" w:rsidR="005922DD" w:rsidRDefault="0089073D">
      <w:pPr>
        <w:spacing w:line="360" w:lineRule="auto"/>
        <w:jc w:val="both"/>
        <w:rPr>
          <w:rFonts w:ascii="Arial" w:eastAsia="Arial" w:hAnsi="Arial" w:cs="Arial"/>
          <w:sz w:val="24"/>
          <w:szCs w:val="24"/>
        </w:rPr>
      </w:pPr>
      <w:r>
        <w:rPr>
          <w:rFonts w:ascii="Arial" w:eastAsia="Arial" w:hAnsi="Arial" w:cs="Arial"/>
          <w:sz w:val="24"/>
          <w:szCs w:val="24"/>
        </w:rPr>
        <w:t xml:space="preserve">Entre los factores sociales que pueden incidir se encuentra la exposición a estereotipos y estándares de belleza corporal difundidos en distintos entornos sociales y digitales. </w:t>
      </w:r>
    </w:p>
    <w:p w14:paraId="70958B6B" w14:textId="77777777" w:rsidR="005922DD" w:rsidRDefault="0089073D">
      <w:pPr>
        <w:spacing w:line="360" w:lineRule="auto"/>
        <w:jc w:val="both"/>
        <w:rPr>
          <w:rFonts w:ascii="Arial" w:eastAsia="Arial" w:hAnsi="Arial" w:cs="Arial"/>
          <w:sz w:val="24"/>
          <w:szCs w:val="24"/>
        </w:rPr>
      </w:pPr>
      <w:r>
        <w:rPr>
          <w:rFonts w:ascii="Arial" w:eastAsia="Arial" w:hAnsi="Arial" w:cs="Arial"/>
          <w:sz w:val="24"/>
          <w:szCs w:val="24"/>
        </w:rPr>
        <w:t>Las personas con bulimia nerviosa normalmente</w:t>
      </w:r>
      <w:r>
        <w:rPr>
          <w:rFonts w:ascii="Arial" w:eastAsia="Arial" w:hAnsi="Arial" w:cs="Arial"/>
          <w:sz w:val="24"/>
          <w:szCs w:val="24"/>
        </w:rPr>
        <w:t xml:space="preserve"> alternan la dieta o el consumo de "alimentos seguros"; bajos en calorías con atracones de alimentos "prohibidos"; con alto contenido calórico. Pueden presentar atracones los cuales se definen </w:t>
      </w:r>
      <w:proofErr w:type="gramStart"/>
      <w:r>
        <w:rPr>
          <w:rFonts w:ascii="Arial" w:eastAsia="Arial" w:hAnsi="Arial" w:cs="Arial"/>
          <w:sz w:val="24"/>
          <w:szCs w:val="24"/>
        </w:rPr>
        <w:t>como  comer</w:t>
      </w:r>
      <w:proofErr w:type="gramEnd"/>
      <w:r>
        <w:rPr>
          <w:rFonts w:ascii="Arial" w:eastAsia="Arial" w:hAnsi="Arial" w:cs="Arial"/>
          <w:sz w:val="24"/>
          <w:szCs w:val="24"/>
        </w:rPr>
        <w:t xml:space="preserve"> una gran cantidad de alimentos en un corto período </w:t>
      </w:r>
      <w:r>
        <w:rPr>
          <w:rFonts w:ascii="Arial" w:eastAsia="Arial" w:hAnsi="Arial" w:cs="Arial"/>
          <w:sz w:val="24"/>
          <w:szCs w:val="24"/>
        </w:rPr>
        <w:t>de tiempo acompañado con una sensación de pérdida de control sobre qué o cuánto se está comiendo. Los posibles signos de que alguien puede tener bulimia nerviosa incluyen:</w:t>
      </w:r>
    </w:p>
    <w:p w14:paraId="3412733F" w14:textId="77777777" w:rsidR="005922DD" w:rsidRDefault="0089073D">
      <w:pPr>
        <w:spacing w:line="360" w:lineRule="auto"/>
        <w:jc w:val="both"/>
        <w:rPr>
          <w:rFonts w:ascii="Arial" w:eastAsia="Arial" w:hAnsi="Arial" w:cs="Arial"/>
          <w:sz w:val="24"/>
          <w:szCs w:val="24"/>
        </w:rPr>
      </w:pPr>
      <w:r>
        <w:rPr>
          <w:rFonts w:ascii="Arial" w:eastAsia="Arial" w:hAnsi="Arial" w:cs="Arial"/>
          <w:sz w:val="24"/>
          <w:szCs w:val="24"/>
        </w:rPr>
        <w:t>Las personas con bulimia nerviosa pueden tener un peso ligeramente bajo, peso normal</w:t>
      </w:r>
      <w:r>
        <w:rPr>
          <w:rFonts w:ascii="Arial" w:eastAsia="Arial" w:hAnsi="Arial" w:cs="Arial"/>
          <w:sz w:val="24"/>
          <w:szCs w:val="24"/>
        </w:rPr>
        <w:t xml:space="preserve">, sobrepeso o incluso obesidad. </w:t>
      </w:r>
    </w:p>
    <w:p w14:paraId="42DBF69A" w14:textId="77777777" w:rsidR="005922DD" w:rsidRDefault="005922DD">
      <w:pPr>
        <w:spacing w:line="360" w:lineRule="auto"/>
        <w:jc w:val="both"/>
        <w:rPr>
          <w:rFonts w:ascii="Arial" w:eastAsia="Arial" w:hAnsi="Arial" w:cs="Arial"/>
          <w:sz w:val="24"/>
          <w:szCs w:val="24"/>
        </w:rPr>
      </w:pPr>
    </w:p>
    <w:p w14:paraId="0B904D10" w14:textId="77777777" w:rsidR="005922DD" w:rsidRDefault="0089073D">
      <w:pPr>
        <w:numPr>
          <w:ilvl w:val="0"/>
          <w:numId w:val="3"/>
        </w:numPr>
        <w:spacing w:before="240" w:after="0" w:line="360" w:lineRule="auto"/>
        <w:rPr>
          <w:rFonts w:ascii="Arial" w:eastAsia="Arial" w:hAnsi="Arial" w:cs="Arial"/>
          <w:sz w:val="24"/>
          <w:szCs w:val="24"/>
        </w:rPr>
      </w:pPr>
      <w:r>
        <w:rPr>
          <w:rFonts w:ascii="Arial" w:eastAsia="Arial" w:hAnsi="Arial" w:cs="Arial"/>
          <w:sz w:val="24"/>
          <w:szCs w:val="24"/>
        </w:rPr>
        <w:tab/>
        <w:t>Acudir al baño justo después de las comidas.</w:t>
      </w:r>
    </w:p>
    <w:p w14:paraId="39E90D7E" w14:textId="77777777" w:rsidR="005922DD" w:rsidRDefault="0089073D">
      <w:pPr>
        <w:numPr>
          <w:ilvl w:val="0"/>
          <w:numId w:val="3"/>
        </w:numPr>
        <w:spacing w:after="0" w:line="360" w:lineRule="auto"/>
        <w:rPr>
          <w:rFonts w:ascii="Arial" w:eastAsia="Arial" w:hAnsi="Arial" w:cs="Arial"/>
          <w:sz w:val="24"/>
          <w:szCs w:val="24"/>
        </w:rPr>
      </w:pPr>
      <w:r>
        <w:rPr>
          <w:rFonts w:ascii="Arial" w:eastAsia="Arial" w:hAnsi="Arial" w:cs="Arial"/>
          <w:sz w:val="24"/>
          <w:szCs w:val="24"/>
        </w:rPr>
        <w:tab/>
        <w:t>Grandes cantidades de comida que desaparecen</w:t>
      </w:r>
    </w:p>
    <w:p w14:paraId="3CB77AD5" w14:textId="77777777" w:rsidR="005922DD" w:rsidRDefault="0089073D">
      <w:pPr>
        <w:numPr>
          <w:ilvl w:val="0"/>
          <w:numId w:val="3"/>
        </w:numPr>
        <w:spacing w:after="0" w:line="360" w:lineRule="auto"/>
        <w:rPr>
          <w:rFonts w:ascii="Arial" w:eastAsia="Arial" w:hAnsi="Arial" w:cs="Arial"/>
          <w:sz w:val="24"/>
          <w:szCs w:val="24"/>
        </w:rPr>
      </w:pPr>
      <w:r>
        <w:rPr>
          <w:rFonts w:ascii="Arial" w:eastAsia="Arial" w:hAnsi="Arial" w:cs="Arial"/>
          <w:sz w:val="24"/>
          <w:szCs w:val="24"/>
        </w:rPr>
        <w:lastRenderedPageBreak/>
        <w:tab/>
        <w:t>Envoltorios y recipientes de comida vacíos “sin explicación”</w:t>
      </w:r>
    </w:p>
    <w:p w14:paraId="65F011F9" w14:textId="77777777" w:rsidR="005922DD" w:rsidRDefault="0089073D">
      <w:pPr>
        <w:numPr>
          <w:ilvl w:val="0"/>
          <w:numId w:val="3"/>
        </w:numPr>
        <w:spacing w:after="0" w:line="360" w:lineRule="auto"/>
        <w:rPr>
          <w:rFonts w:ascii="Arial" w:eastAsia="Arial" w:hAnsi="Arial" w:cs="Arial"/>
          <w:sz w:val="24"/>
          <w:szCs w:val="24"/>
        </w:rPr>
      </w:pPr>
      <w:r>
        <w:rPr>
          <w:rFonts w:ascii="Arial" w:eastAsia="Arial" w:hAnsi="Arial" w:cs="Arial"/>
          <w:sz w:val="24"/>
          <w:szCs w:val="24"/>
        </w:rPr>
        <w:tab/>
        <w:t>Dolor de garganta crónico</w:t>
      </w:r>
    </w:p>
    <w:p w14:paraId="45EE5A12" w14:textId="77777777" w:rsidR="005922DD" w:rsidRDefault="0089073D">
      <w:pPr>
        <w:numPr>
          <w:ilvl w:val="0"/>
          <w:numId w:val="3"/>
        </w:numPr>
        <w:spacing w:after="0" w:line="36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Caries dental (por desgaste del esmalte dental por el ácido estomacal)</w:t>
      </w:r>
    </w:p>
    <w:p w14:paraId="64022B7F" w14:textId="77777777" w:rsidR="005922DD" w:rsidRDefault="0089073D">
      <w:pPr>
        <w:numPr>
          <w:ilvl w:val="0"/>
          <w:numId w:val="3"/>
        </w:numPr>
        <w:spacing w:after="0" w:line="360" w:lineRule="auto"/>
        <w:rPr>
          <w:rFonts w:ascii="Arial" w:eastAsia="Arial" w:hAnsi="Arial" w:cs="Arial"/>
          <w:sz w:val="24"/>
          <w:szCs w:val="24"/>
        </w:rPr>
      </w:pPr>
      <w:r>
        <w:rPr>
          <w:rFonts w:ascii="Arial" w:eastAsia="Arial" w:hAnsi="Arial" w:cs="Arial"/>
          <w:sz w:val="24"/>
          <w:szCs w:val="24"/>
        </w:rPr>
        <w:tab/>
        <w:t>Acidez estomacal y reflujo gastroesofágico</w:t>
      </w:r>
    </w:p>
    <w:p w14:paraId="424B8180" w14:textId="77777777" w:rsidR="005922DD" w:rsidRDefault="0089073D">
      <w:pPr>
        <w:numPr>
          <w:ilvl w:val="0"/>
          <w:numId w:val="3"/>
        </w:numPr>
        <w:spacing w:after="0" w:line="360" w:lineRule="auto"/>
        <w:rPr>
          <w:rFonts w:ascii="Arial" w:eastAsia="Arial" w:hAnsi="Arial" w:cs="Arial"/>
          <w:sz w:val="24"/>
          <w:szCs w:val="24"/>
        </w:rPr>
      </w:pPr>
      <w:r>
        <w:rPr>
          <w:rFonts w:ascii="Arial" w:eastAsia="Arial" w:hAnsi="Arial" w:cs="Arial"/>
          <w:sz w:val="24"/>
          <w:szCs w:val="24"/>
        </w:rPr>
        <w:tab/>
        <w:t>Abuso de laxantes o pastillas para adelgazar</w:t>
      </w:r>
    </w:p>
    <w:p w14:paraId="65B3E796" w14:textId="77777777" w:rsidR="005922DD" w:rsidRDefault="0089073D">
      <w:pPr>
        <w:numPr>
          <w:ilvl w:val="0"/>
          <w:numId w:val="3"/>
        </w:numPr>
        <w:spacing w:after="0" w:line="360" w:lineRule="auto"/>
        <w:rPr>
          <w:rFonts w:ascii="Arial" w:eastAsia="Arial" w:hAnsi="Arial" w:cs="Arial"/>
          <w:sz w:val="24"/>
          <w:szCs w:val="24"/>
        </w:rPr>
      </w:pPr>
      <w:r>
        <w:rPr>
          <w:rFonts w:ascii="Arial" w:eastAsia="Arial" w:hAnsi="Arial" w:cs="Arial"/>
          <w:sz w:val="24"/>
          <w:szCs w:val="24"/>
        </w:rPr>
        <w:tab/>
        <w:t>Diarrea recurrente inexplicable</w:t>
      </w:r>
    </w:p>
    <w:p w14:paraId="41C84866" w14:textId="77777777" w:rsidR="005922DD" w:rsidRDefault="0089073D">
      <w:pPr>
        <w:numPr>
          <w:ilvl w:val="0"/>
          <w:numId w:val="3"/>
        </w:numPr>
        <w:spacing w:after="0" w:line="360" w:lineRule="auto"/>
        <w:rPr>
          <w:rFonts w:ascii="Arial" w:eastAsia="Arial" w:hAnsi="Arial" w:cs="Arial"/>
          <w:sz w:val="24"/>
          <w:szCs w:val="24"/>
        </w:rPr>
      </w:pPr>
      <w:r>
        <w:rPr>
          <w:rFonts w:ascii="Arial" w:eastAsia="Arial" w:hAnsi="Arial" w:cs="Arial"/>
          <w:sz w:val="24"/>
          <w:szCs w:val="24"/>
        </w:rPr>
        <w:tab/>
        <w:t>Abuso de diuréticos</w:t>
      </w:r>
    </w:p>
    <w:p w14:paraId="3B8E41E7" w14:textId="77777777" w:rsidR="005922DD" w:rsidRDefault="0089073D">
      <w:pPr>
        <w:numPr>
          <w:ilvl w:val="0"/>
          <w:numId w:val="3"/>
        </w:numPr>
        <w:spacing w:after="240" w:line="36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Sentirse mareado o desmayarse (por deshidratación)</w:t>
      </w:r>
      <w:r>
        <w:rPr>
          <w:rFonts w:ascii="Arial" w:eastAsia="Arial" w:hAnsi="Arial" w:cs="Arial"/>
          <w:sz w:val="24"/>
          <w:szCs w:val="24"/>
          <w:vertAlign w:val="superscript"/>
        </w:rPr>
        <w:footnoteReference w:id="5"/>
      </w:r>
    </w:p>
    <w:p w14:paraId="5B831462" w14:textId="77777777" w:rsidR="005922DD" w:rsidRDefault="005922DD">
      <w:pPr>
        <w:spacing w:line="360" w:lineRule="auto"/>
        <w:jc w:val="both"/>
        <w:rPr>
          <w:rFonts w:ascii="Arial" w:eastAsia="Arial" w:hAnsi="Arial" w:cs="Arial"/>
          <w:sz w:val="24"/>
          <w:szCs w:val="24"/>
        </w:rPr>
      </w:pPr>
    </w:p>
    <w:p w14:paraId="4EB1C8CB" w14:textId="77777777" w:rsidR="005922DD" w:rsidRDefault="0089073D">
      <w:pPr>
        <w:spacing w:line="360" w:lineRule="auto"/>
        <w:jc w:val="both"/>
        <w:rPr>
          <w:rFonts w:ascii="Arial" w:eastAsia="Arial" w:hAnsi="Arial" w:cs="Arial"/>
          <w:sz w:val="24"/>
          <w:szCs w:val="24"/>
        </w:rPr>
      </w:pPr>
      <w:r>
        <w:rPr>
          <w:rFonts w:ascii="Arial" w:eastAsia="Arial" w:hAnsi="Arial" w:cs="Arial"/>
          <w:color w:val="000000"/>
          <w:sz w:val="24"/>
          <w:szCs w:val="24"/>
        </w:rPr>
        <w:t xml:space="preserve">Ortorexia, es la </w:t>
      </w:r>
      <w:r>
        <w:rPr>
          <w:rFonts w:ascii="Arial" w:eastAsia="Arial" w:hAnsi="Arial" w:cs="Arial"/>
          <w:sz w:val="24"/>
          <w:szCs w:val="24"/>
        </w:rPr>
        <w:t>preocupación obsesiva por consumir únicamente alimentos considerados saludables, acompañada de rigidez y ansiedad.</w:t>
      </w:r>
    </w:p>
    <w:p w14:paraId="157101BE" w14:textId="77777777" w:rsidR="005922DD" w:rsidRDefault="0089073D">
      <w:pPr>
        <w:spacing w:line="360" w:lineRule="auto"/>
        <w:jc w:val="both"/>
        <w:rPr>
          <w:rFonts w:ascii="Arial" w:eastAsia="Arial" w:hAnsi="Arial" w:cs="Arial"/>
          <w:sz w:val="24"/>
          <w:szCs w:val="24"/>
        </w:rPr>
      </w:pPr>
      <w:r>
        <w:rPr>
          <w:rFonts w:ascii="Arial" w:eastAsia="Arial" w:hAnsi="Arial" w:cs="Arial"/>
          <w:sz w:val="24"/>
          <w:szCs w:val="24"/>
        </w:rPr>
        <w:t>La vigorexia o dismorfia muscular es un trastorno de la conducta, en e</w:t>
      </w:r>
      <w:r>
        <w:rPr>
          <w:rFonts w:ascii="Arial" w:eastAsia="Arial" w:hAnsi="Arial" w:cs="Arial"/>
          <w:sz w:val="24"/>
          <w:szCs w:val="24"/>
        </w:rPr>
        <w:t xml:space="preserve">l que individuo desarrolla una falsa percepción de su cuerpo, lo que ocasiona que se exceda en el ejercicio físico o incluso que consuma anabólicos, con el objetivo de verse mejor. </w:t>
      </w:r>
      <w:r>
        <w:rPr>
          <w:rFonts w:ascii="Arial" w:eastAsia="Arial" w:hAnsi="Arial" w:cs="Arial"/>
          <w:sz w:val="24"/>
          <w:szCs w:val="24"/>
          <w:vertAlign w:val="superscript"/>
        </w:rPr>
        <w:footnoteReference w:id="6"/>
      </w:r>
    </w:p>
    <w:p w14:paraId="2B5CA261" w14:textId="77777777" w:rsidR="005922DD" w:rsidRDefault="0089073D">
      <w:pPr>
        <w:spacing w:line="360" w:lineRule="auto"/>
        <w:jc w:val="both"/>
        <w:rPr>
          <w:rFonts w:ascii="Arial" w:eastAsia="Arial" w:hAnsi="Arial" w:cs="Arial"/>
          <w:sz w:val="24"/>
          <w:szCs w:val="24"/>
          <w:highlight w:val="white"/>
        </w:rPr>
      </w:pPr>
      <w:r>
        <w:rPr>
          <w:rFonts w:ascii="Arial" w:eastAsia="Arial" w:hAnsi="Arial" w:cs="Arial"/>
          <w:sz w:val="24"/>
          <w:szCs w:val="24"/>
        </w:rPr>
        <w:t>Por otro lado, la Pandemia del COVID-19 también ha tenido un impacto sig</w:t>
      </w:r>
      <w:r>
        <w:rPr>
          <w:rFonts w:ascii="Arial" w:eastAsia="Arial" w:hAnsi="Arial" w:cs="Arial"/>
          <w:sz w:val="24"/>
          <w:szCs w:val="24"/>
        </w:rPr>
        <w:t xml:space="preserve">nificativo en estos cambios alimentarios en la población, afectando principalmente a los adolescentes y adultos jóvenes. Durante este confinamiento se observaron cambios en el consumo de alimentos incluyendo un aumento en el consumo de alimentos </w:t>
      </w:r>
      <w:proofErr w:type="spellStart"/>
      <w:r>
        <w:rPr>
          <w:rFonts w:ascii="Arial" w:eastAsia="Arial" w:hAnsi="Arial" w:cs="Arial"/>
          <w:sz w:val="24"/>
          <w:szCs w:val="24"/>
        </w:rPr>
        <w:t>ultraproce</w:t>
      </w:r>
      <w:r>
        <w:rPr>
          <w:rFonts w:ascii="Arial" w:eastAsia="Arial" w:hAnsi="Arial" w:cs="Arial"/>
          <w:sz w:val="24"/>
          <w:szCs w:val="24"/>
        </w:rPr>
        <w:t>sados</w:t>
      </w:r>
      <w:proofErr w:type="spellEnd"/>
      <w:r>
        <w:rPr>
          <w:rFonts w:ascii="Arial" w:eastAsia="Arial" w:hAnsi="Arial" w:cs="Arial"/>
          <w:sz w:val="24"/>
          <w:szCs w:val="24"/>
        </w:rPr>
        <w:t xml:space="preserve">, bebidas </w:t>
      </w:r>
      <w:proofErr w:type="gramStart"/>
      <w:r>
        <w:rPr>
          <w:rFonts w:ascii="Arial" w:eastAsia="Arial" w:hAnsi="Arial" w:cs="Arial"/>
          <w:sz w:val="24"/>
          <w:szCs w:val="24"/>
        </w:rPr>
        <w:t>azucaradas</w:t>
      </w:r>
      <w:proofErr w:type="gramEnd"/>
      <w:r>
        <w:rPr>
          <w:rFonts w:ascii="Arial" w:eastAsia="Arial" w:hAnsi="Arial" w:cs="Arial"/>
          <w:sz w:val="24"/>
          <w:szCs w:val="24"/>
        </w:rPr>
        <w:t xml:space="preserve"> así como una disminución en la ingesta de frutas y verduras. Estos cambios se suman a las causas multifactoriales que subyacen a los </w:t>
      </w:r>
      <w:r>
        <w:rPr>
          <w:rFonts w:ascii="Arial" w:eastAsia="Arial" w:hAnsi="Arial" w:cs="Arial"/>
          <w:b/>
          <w:bCs/>
          <w:sz w:val="24"/>
          <w:szCs w:val="24"/>
        </w:rPr>
        <w:t>Trastornos de la Conducta Alimentaria por sus siglas “TCA</w:t>
      </w:r>
      <w:proofErr w:type="gramStart"/>
      <w:r>
        <w:rPr>
          <w:rFonts w:ascii="Arial" w:eastAsia="Arial" w:hAnsi="Arial" w:cs="Arial"/>
          <w:b/>
          <w:bCs/>
          <w:sz w:val="24"/>
          <w:szCs w:val="24"/>
        </w:rPr>
        <w:t xml:space="preserve">” </w:t>
      </w:r>
      <w:r>
        <w:rPr>
          <w:rFonts w:ascii="Arial" w:eastAsia="Arial" w:hAnsi="Arial" w:cs="Arial"/>
          <w:sz w:val="24"/>
          <w:szCs w:val="24"/>
        </w:rPr>
        <w:t>;</w:t>
      </w:r>
      <w:proofErr w:type="gramEnd"/>
      <w:r>
        <w:rPr>
          <w:rFonts w:ascii="Arial" w:eastAsia="Arial" w:hAnsi="Arial" w:cs="Arial"/>
          <w:sz w:val="24"/>
          <w:szCs w:val="24"/>
        </w:rPr>
        <w:t xml:space="preserve"> </w:t>
      </w:r>
      <w:r>
        <w:rPr>
          <w:rFonts w:ascii="Arial" w:eastAsia="Arial" w:hAnsi="Arial" w:cs="Arial"/>
          <w:sz w:val="24"/>
          <w:szCs w:val="24"/>
        </w:rPr>
        <w:lastRenderedPageBreak/>
        <w:t>factores como el estrés, la ansiedad</w:t>
      </w:r>
      <w:r>
        <w:rPr>
          <w:rFonts w:ascii="Arial" w:eastAsia="Arial" w:hAnsi="Arial" w:cs="Arial"/>
          <w:sz w:val="24"/>
          <w:szCs w:val="24"/>
        </w:rPr>
        <w:t>, restricciones de movilidad, el aburrimiento y la poca actividad física</w:t>
      </w:r>
      <w:r>
        <w:rPr>
          <w:rFonts w:ascii="Arial" w:eastAsia="Arial" w:hAnsi="Arial" w:cs="Arial"/>
          <w:color w:val="000000"/>
          <w:sz w:val="24"/>
          <w:szCs w:val="24"/>
          <w:highlight w:val="white"/>
        </w:rPr>
        <w:t xml:space="preserve"> fueron </w:t>
      </w:r>
      <w:r>
        <w:rPr>
          <w:rFonts w:ascii="Arial" w:eastAsia="Arial" w:hAnsi="Arial" w:cs="Arial"/>
          <w:sz w:val="24"/>
          <w:szCs w:val="24"/>
        </w:rPr>
        <w:t xml:space="preserve">factores que pudieron contribuir a modificaciones en las conductas alimentarias. </w:t>
      </w:r>
    </w:p>
    <w:p w14:paraId="1BCE1A3D" w14:textId="77777777" w:rsidR="005922DD" w:rsidRDefault="0089073D">
      <w:pPr>
        <w:spacing w:after="240" w:line="360" w:lineRule="auto"/>
        <w:jc w:val="both"/>
        <w:rPr>
          <w:rFonts w:ascii="Arial" w:eastAsia="Arial" w:hAnsi="Arial" w:cs="Arial"/>
          <w:sz w:val="24"/>
          <w:szCs w:val="24"/>
        </w:rPr>
      </w:pPr>
      <w:r>
        <w:rPr>
          <w:rFonts w:ascii="Arial" w:eastAsia="Arial" w:hAnsi="Arial" w:cs="Arial"/>
          <w:sz w:val="24"/>
          <w:szCs w:val="24"/>
        </w:rPr>
        <w:t>Asimismo, resulta jurídicamente pertinente armonizar la Ley Estatal de Salud con las disposici</w:t>
      </w:r>
      <w:r>
        <w:rPr>
          <w:rFonts w:ascii="Arial" w:eastAsia="Arial" w:hAnsi="Arial" w:cs="Arial"/>
          <w:sz w:val="24"/>
          <w:szCs w:val="24"/>
        </w:rPr>
        <w:t>ones previstas en la Ley General de Salud, toda vez que este ordenamiento contempla expresamente los trastornos de la conducta alimentaria como parte de las materias que deben ser atendidas por las autoridades sanitarias. En particular, el artículo 6o., fr</w:t>
      </w:r>
      <w:r>
        <w:rPr>
          <w:rFonts w:ascii="Arial" w:eastAsia="Arial" w:hAnsi="Arial" w:cs="Arial"/>
          <w:sz w:val="24"/>
          <w:szCs w:val="24"/>
        </w:rPr>
        <w:t>acción XI, establece entre los objetivos del Sistema Nacional de Salud el diseño y ejecución de políticas públicas orientadas a contrarrestar, entre otros padecimientos, los trastornos de la conducta alimentaria; por su parte, el artículo 7o., fracción XII</w:t>
      </w:r>
      <w:r>
        <w:rPr>
          <w:rFonts w:ascii="Arial" w:eastAsia="Arial" w:hAnsi="Arial" w:cs="Arial"/>
          <w:sz w:val="24"/>
          <w:szCs w:val="24"/>
        </w:rPr>
        <w:t>I Bis, prevé la promoción e impulso de programas y campañas de información para su atención; mientras que el artículo 115, fracción IX, dispone que la Secretaría de Salud deberá impulsar, en coordinación con las entidades federativas, acciones para su prev</w:t>
      </w:r>
      <w:r>
        <w:rPr>
          <w:rFonts w:ascii="Arial" w:eastAsia="Arial" w:hAnsi="Arial" w:cs="Arial"/>
          <w:sz w:val="24"/>
          <w:szCs w:val="24"/>
        </w:rPr>
        <w:t>ención y control.</w:t>
      </w:r>
    </w:p>
    <w:p w14:paraId="4CD15613" w14:textId="77777777" w:rsidR="005922DD" w:rsidRDefault="0089073D">
      <w:pPr>
        <w:spacing w:before="240" w:after="240" w:line="360" w:lineRule="auto"/>
        <w:jc w:val="both"/>
        <w:rPr>
          <w:rFonts w:ascii="Arial" w:eastAsia="Arial" w:hAnsi="Arial" w:cs="Arial"/>
          <w:sz w:val="24"/>
          <w:szCs w:val="24"/>
          <w:highlight w:val="white"/>
        </w:rPr>
      </w:pPr>
      <w:r>
        <w:rPr>
          <w:rFonts w:ascii="Arial" w:eastAsia="Arial" w:hAnsi="Arial" w:cs="Arial"/>
          <w:sz w:val="24"/>
          <w:szCs w:val="24"/>
        </w:rPr>
        <w:t>En congruencia con dichas disposiciones, la presente reforma busca que la legislación estatal adopte de manera uniforme la denominación utilizada por la Ley General de Salud, fortaleciendo con ello la correspondencia entre ambos ordenamie</w:t>
      </w:r>
      <w:r>
        <w:rPr>
          <w:rFonts w:ascii="Arial" w:eastAsia="Arial" w:hAnsi="Arial" w:cs="Arial"/>
          <w:sz w:val="24"/>
          <w:szCs w:val="24"/>
        </w:rPr>
        <w:t>ntos. Actualmente, si bien la Ley Estatal de Salud ya emplea el concepto de “trastornos de la conducta alimentaria” en algunas de sus disposiciones, algunos de los artículos aún utilizan la expresión “conducta alimenticia”. Por tal motivo, se propone susti</w:t>
      </w:r>
      <w:r>
        <w:rPr>
          <w:rFonts w:ascii="Arial" w:eastAsia="Arial" w:hAnsi="Arial" w:cs="Arial"/>
          <w:sz w:val="24"/>
          <w:szCs w:val="24"/>
        </w:rPr>
        <w:t>tuir esta última por “conducta alimentaria”, con el propósito de unificar el lenguaje normativo, evitar divergencias terminológicas y otorgar mayor coherencia, sistematicidad y precisión jurídica a la regulación estatal en la materia.</w:t>
      </w:r>
    </w:p>
    <w:p w14:paraId="15DFEE6C" w14:textId="77777777" w:rsidR="005922DD" w:rsidRDefault="0089073D">
      <w:pPr>
        <w:spacing w:after="240" w:line="360" w:lineRule="auto"/>
        <w:jc w:val="both"/>
        <w:rPr>
          <w:rFonts w:ascii="Arial" w:eastAsia="Arial" w:hAnsi="Arial" w:cs="Arial"/>
          <w:sz w:val="24"/>
          <w:szCs w:val="24"/>
        </w:rPr>
      </w:pPr>
      <w:r>
        <w:rPr>
          <w:rFonts w:ascii="Arial" w:eastAsia="Arial" w:hAnsi="Arial" w:cs="Arial"/>
          <w:sz w:val="24"/>
          <w:szCs w:val="24"/>
        </w:rPr>
        <w:t>La denominación “Tras</w:t>
      </w:r>
      <w:r>
        <w:rPr>
          <w:rFonts w:ascii="Arial" w:eastAsia="Arial" w:hAnsi="Arial" w:cs="Arial"/>
          <w:sz w:val="24"/>
          <w:szCs w:val="24"/>
        </w:rPr>
        <w:t xml:space="preserve">tornos de la Conducta Alimentaria” (TCA) permite abordar de manera más integral la naturaleza de estos padecimientos, pues, aunque también </w:t>
      </w:r>
      <w:r>
        <w:rPr>
          <w:rFonts w:ascii="Arial" w:eastAsia="Arial" w:hAnsi="Arial" w:cs="Arial"/>
          <w:sz w:val="24"/>
          <w:szCs w:val="24"/>
        </w:rPr>
        <w:lastRenderedPageBreak/>
        <w:t xml:space="preserve">suelen emplearse expresiones como “trastornos alimenticios” o “trastornos de la alimentación”, su alcance trasciende </w:t>
      </w:r>
      <w:r>
        <w:rPr>
          <w:rFonts w:ascii="Arial" w:eastAsia="Arial" w:hAnsi="Arial" w:cs="Arial"/>
          <w:sz w:val="24"/>
          <w:szCs w:val="24"/>
        </w:rPr>
        <w:t>al alimento en sí mismo.</w:t>
      </w:r>
    </w:p>
    <w:p w14:paraId="4ACA5EB4" w14:textId="77777777" w:rsidR="005922DD" w:rsidRDefault="0089073D">
      <w:pPr>
        <w:spacing w:line="360" w:lineRule="auto"/>
        <w:jc w:val="both"/>
        <w:rPr>
          <w:rFonts w:ascii="Arial" w:eastAsia="Arial" w:hAnsi="Arial" w:cs="Arial"/>
          <w:sz w:val="24"/>
          <w:szCs w:val="24"/>
        </w:rPr>
      </w:pPr>
      <w:r>
        <w:rPr>
          <w:rFonts w:ascii="Arial" w:eastAsia="Arial" w:hAnsi="Arial" w:cs="Arial"/>
          <w:sz w:val="24"/>
          <w:szCs w:val="24"/>
        </w:rPr>
        <w:t>Por lo anteriormente expuesto, la presente iniciativa pretende fortalecer el marco jurídico estatal mediante un enfoque preventivo, integral y basado en derechos humanos reconociendo que los trastornos de la conducta alimentaria co</w:t>
      </w:r>
      <w:r>
        <w:rPr>
          <w:rFonts w:ascii="Arial" w:eastAsia="Arial" w:hAnsi="Arial" w:cs="Arial"/>
          <w:sz w:val="24"/>
          <w:szCs w:val="24"/>
        </w:rPr>
        <w:t>nstituyen un problema que puede comprometer tanto la salud física como la salud mental de las personas y que se requieren acciones coordinadas de autoridades sanitarias, educativas y familiares.</w:t>
      </w:r>
    </w:p>
    <w:p w14:paraId="50A00571" w14:textId="77777777" w:rsidR="005922DD" w:rsidRDefault="0089073D">
      <w:pPr>
        <w:spacing w:line="360" w:lineRule="auto"/>
        <w:jc w:val="both"/>
        <w:rPr>
          <w:rFonts w:ascii="Arial" w:eastAsia="Arial" w:hAnsi="Arial" w:cs="Arial"/>
          <w:sz w:val="24"/>
          <w:szCs w:val="24"/>
        </w:rPr>
      </w:pPr>
      <w:r>
        <w:rPr>
          <w:rFonts w:ascii="Arial" w:eastAsia="Arial" w:hAnsi="Arial" w:cs="Arial"/>
          <w:sz w:val="24"/>
          <w:szCs w:val="24"/>
        </w:rPr>
        <w:t>La finalidad no es únicamente incrementar las acciones instit</w:t>
      </w:r>
      <w:r>
        <w:rPr>
          <w:rFonts w:ascii="Arial" w:eastAsia="Arial" w:hAnsi="Arial" w:cs="Arial"/>
          <w:sz w:val="24"/>
          <w:szCs w:val="24"/>
        </w:rPr>
        <w:t>ucionales frente a los trastornos alimentarios una vez que éstos se presentan sino prevenir su aparición, identificar oportunamente factores y señales de riesgo, combatir la estigmatización y facilitar el acceso a los servicios de salud particularmente par</w:t>
      </w:r>
      <w:r>
        <w:rPr>
          <w:rFonts w:ascii="Arial" w:eastAsia="Arial" w:hAnsi="Arial" w:cs="Arial"/>
          <w:sz w:val="24"/>
          <w:szCs w:val="24"/>
        </w:rPr>
        <w:t>a niñas, niños y adolescentes.</w:t>
      </w:r>
    </w:p>
    <w:p w14:paraId="25FDA907" w14:textId="77777777" w:rsidR="005922DD" w:rsidRDefault="0089073D">
      <w:pPr>
        <w:spacing w:line="360" w:lineRule="auto"/>
        <w:jc w:val="both"/>
      </w:pPr>
      <w:r>
        <w:rPr>
          <w:rFonts w:ascii="Arial" w:eastAsia="Arial" w:hAnsi="Arial" w:cs="Arial"/>
          <w:sz w:val="24"/>
          <w:szCs w:val="24"/>
        </w:rPr>
        <w:t xml:space="preserve">En virtud de lo anterior se considera necesario y jurídicamente pertinente la reforma a los artículos 187, 189 y 240 de la Ley Estatal de Salud orientada a fortalecer la prevención y atención de los trastornos de la conducta </w:t>
      </w:r>
      <w:r>
        <w:rPr>
          <w:rFonts w:ascii="Arial" w:eastAsia="Arial" w:hAnsi="Arial" w:cs="Arial"/>
          <w:sz w:val="24"/>
          <w:szCs w:val="24"/>
        </w:rPr>
        <w:t>alimentaria armonizando la legislación estatal con el derecho constitucional a la protección de la salud, el principio del interés superior de la niñez y los estándares de protección a niñas, niños y adolescentes.</w:t>
      </w:r>
    </w:p>
    <w:p w14:paraId="0F4A3761" w14:textId="77777777" w:rsidR="005922DD" w:rsidRDefault="005922DD"/>
    <w:p w14:paraId="2D3B42CE" w14:textId="77777777" w:rsidR="005922DD" w:rsidRDefault="005922DD"/>
    <w:p w14:paraId="557EA603" w14:textId="77777777" w:rsidR="005922DD" w:rsidRDefault="0089073D">
      <w:pPr>
        <w:pStyle w:val="Ttulo3"/>
        <w:keepNext w:val="0"/>
        <w:keepLines w:val="0"/>
        <w:spacing w:before="280" w:line="360" w:lineRule="auto"/>
        <w:jc w:val="center"/>
        <w:rPr>
          <w:b/>
          <w:bCs/>
          <w:color w:val="000000"/>
          <w:sz w:val="24"/>
          <w:szCs w:val="24"/>
        </w:rPr>
      </w:pPr>
      <w:r>
        <w:rPr>
          <w:b/>
          <w:bCs/>
          <w:color w:val="000000"/>
          <w:sz w:val="24"/>
          <w:szCs w:val="24"/>
        </w:rPr>
        <w:t>LEY ESTATAL DE SALUD</w:t>
      </w:r>
    </w:p>
    <w:p w14:paraId="76B39E5F" w14:textId="77777777" w:rsidR="005922DD" w:rsidRDefault="005922DD">
      <w:pPr>
        <w:spacing w:line="360" w:lineRule="auto"/>
        <w:rPr>
          <w:sz w:val="24"/>
          <w:szCs w:val="24"/>
        </w:rPr>
      </w:pPr>
    </w:p>
    <w:p w14:paraId="63CFA82F" w14:textId="77777777" w:rsidR="005922DD" w:rsidRDefault="005922DD">
      <w:pPr>
        <w:spacing w:after="0" w:line="360" w:lineRule="auto"/>
        <w:rPr>
          <w:rFonts w:ascii="Arial" w:eastAsia="Arial" w:hAnsi="Arial" w:cs="Arial"/>
          <w:sz w:val="24"/>
          <w:szCs w:val="24"/>
        </w:rPr>
      </w:pPr>
    </w:p>
    <w:sdt>
      <w:sdtPr>
        <w:tag w:val="goog_rdk_0"/>
        <w:id w:val="1504858192"/>
        <w:lock w:val="contentLocked"/>
      </w:sdtPr>
      <w:sdtEndPr/>
      <w:sdtContent>
        <w:tbl>
          <w:tblPr>
            <w:tblStyle w:val="a"/>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19"/>
            <w:gridCol w:w="4419"/>
          </w:tblGrid>
          <w:tr w:rsidR="005922DD" w14:paraId="21F23FFA" w14:textId="77777777">
            <w:tc>
              <w:tcPr>
                <w:tcW w:w="4419" w:type="dxa"/>
                <w:shd w:val="clear" w:color="auto" w:fill="auto"/>
                <w:tcMar>
                  <w:top w:w="100" w:type="dxa"/>
                  <w:left w:w="100" w:type="dxa"/>
                  <w:bottom w:w="100" w:type="dxa"/>
                  <w:right w:w="100" w:type="dxa"/>
                </w:tcMar>
              </w:tcPr>
              <w:p w14:paraId="3073EEB6" w14:textId="77777777" w:rsidR="005922DD" w:rsidRDefault="0089073D">
                <w:pPr>
                  <w:widowControl w:val="0"/>
                  <w:spacing w:after="0" w:line="360" w:lineRule="auto"/>
                  <w:jc w:val="center"/>
                  <w:rPr>
                    <w:rFonts w:ascii="Arial" w:eastAsia="Arial" w:hAnsi="Arial" w:cs="Arial"/>
                    <w:b/>
                    <w:bCs/>
                    <w:sz w:val="24"/>
                    <w:szCs w:val="24"/>
                  </w:rPr>
                </w:pPr>
                <w:r>
                  <w:rPr>
                    <w:rFonts w:ascii="Arial" w:eastAsia="Arial" w:hAnsi="Arial" w:cs="Arial"/>
                    <w:b/>
                    <w:bCs/>
                    <w:sz w:val="24"/>
                    <w:szCs w:val="24"/>
                  </w:rPr>
                  <w:t>TEXTO VIGENTE</w:t>
                </w:r>
              </w:p>
            </w:tc>
            <w:tc>
              <w:tcPr>
                <w:tcW w:w="4419" w:type="dxa"/>
                <w:shd w:val="clear" w:color="auto" w:fill="auto"/>
                <w:tcMar>
                  <w:top w:w="100" w:type="dxa"/>
                  <w:left w:w="100" w:type="dxa"/>
                  <w:bottom w:w="100" w:type="dxa"/>
                  <w:right w:w="100" w:type="dxa"/>
                </w:tcMar>
              </w:tcPr>
              <w:p w14:paraId="6A999B93" w14:textId="77777777" w:rsidR="005922DD" w:rsidRDefault="0089073D">
                <w:pPr>
                  <w:widowControl w:val="0"/>
                  <w:spacing w:after="0" w:line="360" w:lineRule="auto"/>
                  <w:jc w:val="center"/>
                  <w:rPr>
                    <w:rFonts w:ascii="Arial" w:eastAsia="Arial" w:hAnsi="Arial" w:cs="Arial"/>
                    <w:b/>
                    <w:bCs/>
                    <w:sz w:val="24"/>
                    <w:szCs w:val="24"/>
                  </w:rPr>
                </w:pPr>
                <w:r>
                  <w:rPr>
                    <w:rFonts w:ascii="Arial" w:eastAsia="Arial" w:hAnsi="Arial" w:cs="Arial"/>
                    <w:b/>
                    <w:bCs/>
                    <w:sz w:val="24"/>
                    <w:szCs w:val="24"/>
                  </w:rPr>
                  <w:t>TEXTO PROPUESTO</w:t>
                </w:r>
              </w:p>
            </w:tc>
          </w:tr>
          <w:tr w:rsidR="005922DD" w14:paraId="6A537424" w14:textId="77777777">
            <w:trPr>
              <w:trHeight w:val="2397"/>
            </w:trPr>
            <w:tc>
              <w:tcPr>
                <w:tcW w:w="4419" w:type="dxa"/>
                <w:shd w:val="clear" w:color="auto" w:fill="auto"/>
                <w:tcMar>
                  <w:top w:w="100" w:type="dxa"/>
                  <w:left w:w="100" w:type="dxa"/>
                  <w:bottom w:w="100" w:type="dxa"/>
                  <w:right w:w="100" w:type="dxa"/>
                </w:tcMar>
              </w:tcPr>
              <w:p w14:paraId="658D3109" w14:textId="77777777" w:rsidR="005922DD" w:rsidRDefault="0089073D">
                <w:pPr>
                  <w:widowControl w:val="0"/>
                  <w:spacing w:after="0" w:line="360" w:lineRule="auto"/>
                  <w:jc w:val="center"/>
                  <w:rPr>
                    <w:rFonts w:ascii="Arial" w:eastAsia="Arial" w:hAnsi="Arial" w:cs="Arial"/>
                    <w:b/>
                    <w:bCs/>
                    <w:sz w:val="24"/>
                    <w:szCs w:val="24"/>
                  </w:rPr>
                </w:pPr>
                <w:r>
                  <w:rPr>
                    <w:rFonts w:ascii="Arial" w:eastAsia="Arial" w:hAnsi="Arial" w:cs="Arial"/>
                    <w:b/>
                    <w:bCs/>
                    <w:sz w:val="24"/>
                    <w:szCs w:val="24"/>
                  </w:rPr>
                  <w:t xml:space="preserve">CAPÍTULO III </w:t>
                </w:r>
              </w:p>
              <w:p w14:paraId="749F1097" w14:textId="77777777" w:rsidR="005922DD" w:rsidRDefault="005922DD">
                <w:pPr>
                  <w:widowControl w:val="0"/>
                  <w:spacing w:after="0" w:line="360" w:lineRule="auto"/>
                  <w:rPr>
                    <w:rFonts w:ascii="Arial" w:eastAsia="Arial" w:hAnsi="Arial" w:cs="Arial"/>
                    <w:b/>
                    <w:bCs/>
                    <w:sz w:val="24"/>
                    <w:szCs w:val="24"/>
                  </w:rPr>
                </w:pPr>
              </w:p>
              <w:p w14:paraId="154C6765" w14:textId="77777777" w:rsidR="005922DD" w:rsidRDefault="0089073D">
                <w:pPr>
                  <w:widowControl w:val="0"/>
                  <w:spacing w:after="0" w:line="360" w:lineRule="auto"/>
                  <w:rPr>
                    <w:rFonts w:ascii="Arial" w:eastAsia="Arial" w:hAnsi="Arial" w:cs="Arial"/>
                    <w:b/>
                    <w:bCs/>
                    <w:sz w:val="24"/>
                    <w:szCs w:val="24"/>
                  </w:rPr>
                </w:pPr>
                <w:r>
                  <w:rPr>
                    <w:rFonts w:ascii="Arial" w:eastAsia="Arial" w:hAnsi="Arial" w:cs="Arial"/>
                    <w:b/>
                    <w:bCs/>
                    <w:sz w:val="24"/>
                    <w:szCs w:val="24"/>
                  </w:rPr>
                  <w:t xml:space="preserve">PROGRAMA PARA EL CONTROL DE SOBREPESO Y OBESIDAD </w:t>
                </w:r>
              </w:p>
              <w:p w14:paraId="2F274EF5" w14:textId="77777777" w:rsidR="005922DD" w:rsidRDefault="005922DD">
                <w:pPr>
                  <w:widowControl w:val="0"/>
                  <w:spacing w:after="0" w:line="360" w:lineRule="auto"/>
                  <w:rPr>
                    <w:rFonts w:ascii="Arial" w:eastAsia="Arial" w:hAnsi="Arial" w:cs="Arial"/>
                    <w:b/>
                    <w:bCs/>
                    <w:sz w:val="24"/>
                    <w:szCs w:val="24"/>
                  </w:rPr>
                </w:pPr>
              </w:p>
              <w:p w14:paraId="120CC880" w14:textId="77777777" w:rsidR="005922DD" w:rsidRDefault="0089073D">
                <w:pPr>
                  <w:widowControl w:val="0"/>
                  <w:spacing w:after="0" w:line="360" w:lineRule="auto"/>
                  <w:rPr>
                    <w:rFonts w:ascii="Arial" w:eastAsia="Arial" w:hAnsi="Arial" w:cs="Arial"/>
                    <w:sz w:val="24"/>
                    <w:szCs w:val="24"/>
                  </w:rPr>
                </w:pPr>
                <w:r>
                  <w:rPr>
                    <w:rFonts w:ascii="Arial" w:eastAsia="Arial" w:hAnsi="Arial" w:cs="Arial"/>
                    <w:b/>
                    <w:bCs/>
                    <w:sz w:val="24"/>
                    <w:szCs w:val="24"/>
                  </w:rPr>
                  <w:t xml:space="preserve">Artículo 187. </w:t>
                </w:r>
                <w:r>
                  <w:rPr>
                    <w:rFonts w:ascii="Arial" w:eastAsia="Arial" w:hAnsi="Arial" w:cs="Arial"/>
                    <w:sz w:val="24"/>
                    <w:szCs w:val="24"/>
                  </w:rPr>
                  <w:t xml:space="preserve">La prevención y el control del sobrepeso y obesidad se basan en las siguientes acciones: </w:t>
                </w:r>
              </w:p>
              <w:p w14:paraId="0F749285" w14:textId="77777777" w:rsidR="005922DD" w:rsidRDefault="005922DD">
                <w:pPr>
                  <w:widowControl w:val="0"/>
                  <w:spacing w:after="0" w:line="360" w:lineRule="auto"/>
                  <w:rPr>
                    <w:rFonts w:ascii="Arial" w:eastAsia="Arial" w:hAnsi="Arial" w:cs="Arial"/>
                    <w:sz w:val="24"/>
                    <w:szCs w:val="24"/>
                  </w:rPr>
                </w:pPr>
              </w:p>
              <w:p w14:paraId="0625BEC1" w14:textId="77777777" w:rsidR="005922DD" w:rsidRDefault="0089073D">
                <w:pPr>
                  <w:widowControl w:val="0"/>
                  <w:spacing w:after="0" w:line="360" w:lineRule="auto"/>
                  <w:rPr>
                    <w:rFonts w:ascii="Arial" w:eastAsia="Arial" w:hAnsi="Arial" w:cs="Arial"/>
                    <w:sz w:val="24"/>
                    <w:szCs w:val="24"/>
                  </w:rPr>
                </w:pPr>
                <w:r>
                  <w:rPr>
                    <w:rFonts w:ascii="Arial" w:eastAsia="Arial" w:hAnsi="Arial" w:cs="Arial"/>
                    <w:sz w:val="24"/>
                    <w:szCs w:val="24"/>
                  </w:rPr>
                  <w:t>I. La educación integral en nutrición.</w:t>
                </w:r>
              </w:p>
              <w:p w14:paraId="71139BB2" w14:textId="77777777" w:rsidR="005922DD" w:rsidRDefault="0089073D">
                <w:pPr>
                  <w:widowControl w:val="0"/>
                  <w:spacing w:after="0" w:line="360" w:lineRule="auto"/>
                  <w:rPr>
                    <w:rFonts w:ascii="Arial" w:eastAsia="Arial" w:hAnsi="Arial" w:cs="Arial"/>
                    <w:sz w:val="24"/>
                    <w:szCs w:val="24"/>
                  </w:rPr>
                </w:pPr>
                <w:r>
                  <w:rPr>
                    <w:rFonts w:ascii="Arial" w:eastAsia="Arial" w:hAnsi="Arial" w:cs="Arial"/>
                    <w:sz w:val="24"/>
                    <w:szCs w:val="24"/>
                  </w:rPr>
                  <w:t xml:space="preserve"> II. La promoción de hábitos saludables y prevención de trastornos alimenticios.</w:t>
                </w:r>
              </w:p>
              <w:p w14:paraId="1848F49A" w14:textId="77777777" w:rsidR="005922DD" w:rsidRDefault="0089073D">
                <w:pPr>
                  <w:widowControl w:val="0"/>
                  <w:spacing w:after="0" w:line="360" w:lineRule="auto"/>
                  <w:rPr>
                    <w:rFonts w:ascii="Arial" w:eastAsia="Arial" w:hAnsi="Arial" w:cs="Arial"/>
                    <w:sz w:val="24"/>
                    <w:szCs w:val="24"/>
                  </w:rPr>
                </w:pPr>
                <w:r>
                  <w:rPr>
                    <w:rFonts w:ascii="Arial" w:eastAsia="Arial" w:hAnsi="Arial" w:cs="Arial"/>
                    <w:sz w:val="24"/>
                    <w:szCs w:val="24"/>
                  </w:rPr>
                  <w:t xml:space="preserve"> III. La detección oportuna y el control del sobrepeso y obesidad. </w:t>
                </w:r>
              </w:p>
              <w:p w14:paraId="41DC7204" w14:textId="77777777" w:rsidR="005922DD" w:rsidRDefault="0089073D">
                <w:pPr>
                  <w:widowControl w:val="0"/>
                  <w:spacing w:after="0" w:line="360" w:lineRule="auto"/>
                  <w:rPr>
                    <w:rFonts w:ascii="Arial" w:eastAsia="Arial" w:hAnsi="Arial" w:cs="Arial"/>
                    <w:sz w:val="24"/>
                    <w:szCs w:val="24"/>
                  </w:rPr>
                </w:pPr>
                <w:r>
                  <w:rPr>
                    <w:rFonts w:ascii="Arial" w:eastAsia="Arial" w:hAnsi="Arial" w:cs="Arial"/>
                    <w:sz w:val="24"/>
                    <w:szCs w:val="24"/>
                  </w:rPr>
                  <w:t>IV. La práctica de ejercicios físicos, para lo cual el Estado promoverá la creación de espacios adecuados p</w:t>
                </w:r>
                <w:r>
                  <w:rPr>
                    <w:rFonts w:ascii="Arial" w:eastAsia="Arial" w:hAnsi="Arial" w:cs="Arial"/>
                    <w:sz w:val="24"/>
                    <w:szCs w:val="24"/>
                  </w:rPr>
                  <w:t xml:space="preserve">ara ello. </w:t>
                </w:r>
              </w:p>
              <w:p w14:paraId="410ED487" w14:textId="77777777" w:rsidR="005922DD" w:rsidRDefault="0089073D">
                <w:pPr>
                  <w:widowControl w:val="0"/>
                  <w:spacing w:after="0" w:line="360" w:lineRule="auto"/>
                  <w:rPr>
                    <w:rFonts w:ascii="Arial" w:eastAsia="Arial" w:hAnsi="Arial" w:cs="Arial"/>
                    <w:sz w:val="24"/>
                    <w:szCs w:val="24"/>
                  </w:rPr>
                </w:pPr>
                <w:r>
                  <w:rPr>
                    <w:rFonts w:ascii="Arial" w:eastAsia="Arial" w:hAnsi="Arial" w:cs="Arial"/>
                    <w:sz w:val="24"/>
                    <w:szCs w:val="24"/>
                  </w:rPr>
                  <w:t xml:space="preserve">V. La promoción de medidas preventivas que inhiban o disminuyan en general el consumo de alimentos o bebidas con bajo contenido nutricional y excesivo contenido graso, sal o azúcares, así como aditivos </w:t>
                </w:r>
                <w:r>
                  <w:rPr>
                    <w:rFonts w:ascii="Arial" w:eastAsia="Arial" w:hAnsi="Arial" w:cs="Arial"/>
                    <w:sz w:val="24"/>
                    <w:szCs w:val="24"/>
                  </w:rPr>
                  <w:lastRenderedPageBreak/>
                  <w:t xml:space="preserve">alimentarios. </w:t>
                </w:r>
              </w:p>
              <w:p w14:paraId="70FC070C" w14:textId="77777777" w:rsidR="005922DD" w:rsidRDefault="005922DD">
                <w:pPr>
                  <w:widowControl w:val="0"/>
                  <w:spacing w:after="0" w:line="360" w:lineRule="auto"/>
                  <w:rPr>
                    <w:rFonts w:ascii="Arial" w:eastAsia="Arial" w:hAnsi="Arial" w:cs="Arial"/>
                    <w:sz w:val="24"/>
                    <w:szCs w:val="24"/>
                  </w:rPr>
                </w:pPr>
              </w:p>
              <w:p w14:paraId="0FA7468E" w14:textId="77777777" w:rsidR="005922DD" w:rsidRDefault="0089073D">
                <w:pPr>
                  <w:widowControl w:val="0"/>
                  <w:spacing w:after="0" w:line="360" w:lineRule="auto"/>
                  <w:rPr>
                    <w:rFonts w:ascii="Arial" w:eastAsia="Arial" w:hAnsi="Arial" w:cs="Arial"/>
                    <w:sz w:val="24"/>
                    <w:szCs w:val="24"/>
                  </w:rPr>
                </w:pPr>
                <w:r>
                  <w:rPr>
                    <w:rFonts w:ascii="Arial" w:eastAsia="Arial" w:hAnsi="Arial" w:cs="Arial"/>
                    <w:sz w:val="24"/>
                    <w:szCs w:val="24"/>
                  </w:rPr>
                  <w:t>Estas acciones estratégicas</w:t>
                </w:r>
                <w:r>
                  <w:rPr>
                    <w:rFonts w:ascii="Arial" w:eastAsia="Arial" w:hAnsi="Arial" w:cs="Arial"/>
                    <w:sz w:val="24"/>
                    <w:szCs w:val="24"/>
                  </w:rPr>
                  <w:t xml:space="preserve"> serán prioritarias a partir de la infancia, requiriendo la participación activa de los sectores educativo, público y privado; de la sociedad civil y la familia. </w:t>
                </w:r>
              </w:p>
            </w:tc>
            <w:tc>
              <w:tcPr>
                <w:tcW w:w="4419" w:type="dxa"/>
                <w:shd w:val="clear" w:color="auto" w:fill="auto"/>
                <w:tcMar>
                  <w:top w:w="100" w:type="dxa"/>
                  <w:left w:w="100" w:type="dxa"/>
                  <w:bottom w:w="100" w:type="dxa"/>
                  <w:right w:w="100" w:type="dxa"/>
                </w:tcMar>
              </w:tcPr>
              <w:p w14:paraId="1F4A7E58" w14:textId="77777777" w:rsidR="005922DD" w:rsidRDefault="0089073D">
                <w:pPr>
                  <w:widowControl w:val="0"/>
                  <w:spacing w:after="0" w:line="360" w:lineRule="auto"/>
                  <w:jc w:val="center"/>
                  <w:rPr>
                    <w:rFonts w:ascii="Arial" w:eastAsia="Arial" w:hAnsi="Arial" w:cs="Arial"/>
                    <w:b/>
                    <w:bCs/>
                    <w:sz w:val="24"/>
                    <w:szCs w:val="24"/>
                  </w:rPr>
                </w:pPr>
                <w:r>
                  <w:rPr>
                    <w:rFonts w:ascii="Arial" w:eastAsia="Arial" w:hAnsi="Arial" w:cs="Arial"/>
                    <w:b/>
                    <w:bCs/>
                    <w:sz w:val="24"/>
                    <w:szCs w:val="24"/>
                  </w:rPr>
                  <w:lastRenderedPageBreak/>
                  <w:t>CAPÍTULO III</w:t>
                </w:r>
              </w:p>
              <w:p w14:paraId="07DDB7C2" w14:textId="77777777" w:rsidR="005922DD" w:rsidRDefault="005922DD">
                <w:pPr>
                  <w:widowControl w:val="0"/>
                  <w:spacing w:after="0" w:line="360" w:lineRule="auto"/>
                  <w:jc w:val="both"/>
                  <w:rPr>
                    <w:rFonts w:ascii="Arial" w:eastAsia="Arial" w:hAnsi="Arial" w:cs="Arial"/>
                    <w:b/>
                    <w:bCs/>
                    <w:sz w:val="24"/>
                    <w:szCs w:val="24"/>
                  </w:rPr>
                </w:pPr>
              </w:p>
              <w:p w14:paraId="5FDF5362" w14:textId="77777777" w:rsidR="005922DD" w:rsidRDefault="0089073D">
                <w:pPr>
                  <w:widowControl w:val="0"/>
                  <w:spacing w:after="0" w:line="360" w:lineRule="auto"/>
                  <w:jc w:val="both"/>
                  <w:rPr>
                    <w:rFonts w:ascii="Arial" w:eastAsia="Arial" w:hAnsi="Arial" w:cs="Arial"/>
                    <w:b/>
                    <w:bCs/>
                    <w:sz w:val="24"/>
                    <w:szCs w:val="24"/>
                  </w:rPr>
                </w:pPr>
                <w:r>
                  <w:rPr>
                    <w:rFonts w:ascii="Arial" w:eastAsia="Arial" w:hAnsi="Arial" w:cs="Arial"/>
                    <w:b/>
                    <w:bCs/>
                    <w:sz w:val="24"/>
                    <w:szCs w:val="24"/>
                  </w:rPr>
                  <w:t>PROGRAMA PARA EL CONTROL</w:t>
                </w:r>
              </w:p>
              <w:p w14:paraId="158EC280" w14:textId="77777777" w:rsidR="005922DD" w:rsidRDefault="0089073D">
                <w:pPr>
                  <w:widowControl w:val="0"/>
                  <w:spacing w:after="0" w:line="360" w:lineRule="auto"/>
                  <w:jc w:val="both"/>
                  <w:rPr>
                    <w:rFonts w:ascii="Arial" w:eastAsia="Arial" w:hAnsi="Arial" w:cs="Arial"/>
                    <w:b/>
                    <w:bCs/>
                    <w:sz w:val="24"/>
                    <w:szCs w:val="24"/>
                  </w:rPr>
                </w:pPr>
                <w:r>
                  <w:rPr>
                    <w:rFonts w:ascii="Arial" w:eastAsia="Arial" w:hAnsi="Arial" w:cs="Arial"/>
                    <w:b/>
                    <w:bCs/>
                    <w:sz w:val="24"/>
                    <w:szCs w:val="24"/>
                  </w:rPr>
                  <w:t>DE SOBREPESO, OBESIDAD Y LOS TRASTORNOS DE LA CONDUCTA</w:t>
                </w:r>
                <w:r>
                  <w:rPr>
                    <w:rFonts w:ascii="Arial" w:eastAsia="Arial" w:hAnsi="Arial" w:cs="Arial"/>
                    <w:b/>
                    <w:bCs/>
                    <w:sz w:val="24"/>
                    <w:szCs w:val="24"/>
                  </w:rPr>
                  <w:t xml:space="preserve"> ALIMENTARIA </w:t>
                </w:r>
              </w:p>
              <w:p w14:paraId="20C8718F" w14:textId="77777777" w:rsidR="005922DD" w:rsidRDefault="005922DD">
                <w:pPr>
                  <w:widowControl w:val="0"/>
                  <w:spacing w:after="0" w:line="360" w:lineRule="auto"/>
                  <w:jc w:val="both"/>
                  <w:rPr>
                    <w:rFonts w:ascii="Arial" w:eastAsia="Arial" w:hAnsi="Arial" w:cs="Arial"/>
                    <w:b/>
                    <w:bCs/>
                    <w:sz w:val="24"/>
                    <w:szCs w:val="24"/>
                  </w:rPr>
                </w:pPr>
              </w:p>
              <w:p w14:paraId="44B9323F" w14:textId="77777777" w:rsidR="005922DD" w:rsidRDefault="0089073D">
                <w:pPr>
                  <w:widowControl w:val="0"/>
                  <w:spacing w:after="240" w:line="360" w:lineRule="auto"/>
                  <w:jc w:val="both"/>
                  <w:rPr>
                    <w:rFonts w:ascii="Arial" w:eastAsia="Arial" w:hAnsi="Arial" w:cs="Arial"/>
                    <w:b/>
                    <w:bCs/>
                    <w:sz w:val="24"/>
                    <w:szCs w:val="24"/>
                  </w:rPr>
                </w:pPr>
                <w:r>
                  <w:rPr>
                    <w:rFonts w:ascii="Arial" w:eastAsia="Arial" w:hAnsi="Arial" w:cs="Arial"/>
                    <w:b/>
                    <w:bCs/>
                    <w:sz w:val="24"/>
                    <w:szCs w:val="24"/>
                  </w:rPr>
                  <w:t xml:space="preserve">Artículo 187. </w:t>
                </w:r>
                <w:r>
                  <w:rPr>
                    <w:rFonts w:ascii="Arial" w:eastAsia="Arial" w:hAnsi="Arial" w:cs="Arial"/>
                    <w:sz w:val="24"/>
                    <w:szCs w:val="24"/>
                  </w:rPr>
                  <w:t>La prevención y control del sobrepeso,</w:t>
                </w:r>
                <w:r>
                  <w:rPr>
                    <w:rFonts w:ascii="Arial" w:eastAsia="Arial" w:hAnsi="Arial" w:cs="Arial"/>
                    <w:b/>
                    <w:bCs/>
                    <w:sz w:val="24"/>
                    <w:szCs w:val="24"/>
                  </w:rPr>
                  <w:t xml:space="preserve"> la obesidad y los trastornos de la conducta alimentaria comprenden:</w:t>
                </w:r>
              </w:p>
              <w:p w14:paraId="0FC976AD" w14:textId="77777777" w:rsidR="005922DD" w:rsidRDefault="0089073D">
                <w:pPr>
                  <w:widowControl w:val="0"/>
                  <w:spacing w:after="0" w:line="360" w:lineRule="auto"/>
                  <w:jc w:val="both"/>
                  <w:rPr>
                    <w:rFonts w:ascii="Arial" w:eastAsia="Arial" w:hAnsi="Arial" w:cs="Arial"/>
                    <w:sz w:val="24"/>
                    <w:szCs w:val="24"/>
                  </w:rPr>
                </w:pPr>
                <w:r>
                  <w:rPr>
                    <w:rFonts w:ascii="Arial" w:eastAsia="Arial" w:hAnsi="Arial" w:cs="Arial"/>
                    <w:sz w:val="24"/>
                    <w:szCs w:val="24"/>
                  </w:rPr>
                  <w:t>I. La educación integral en nutrición.</w:t>
                </w:r>
              </w:p>
              <w:p w14:paraId="3EDA91E1" w14:textId="77777777" w:rsidR="005922DD" w:rsidRDefault="0089073D">
                <w:pPr>
                  <w:widowControl w:val="0"/>
                  <w:spacing w:after="0" w:line="360" w:lineRule="auto"/>
                  <w:jc w:val="both"/>
                  <w:rPr>
                    <w:rFonts w:ascii="Arial" w:eastAsia="Arial" w:hAnsi="Arial" w:cs="Arial"/>
                    <w:b/>
                    <w:bCs/>
                    <w:sz w:val="24"/>
                    <w:szCs w:val="24"/>
                  </w:rPr>
                </w:pPr>
                <w:r>
                  <w:rPr>
                    <w:rFonts w:ascii="Arial" w:eastAsia="Arial" w:hAnsi="Arial" w:cs="Arial"/>
                    <w:b/>
                    <w:bCs/>
                    <w:sz w:val="24"/>
                    <w:szCs w:val="24"/>
                  </w:rPr>
                  <w:t>II. La promoción de hábitos saludables y la prevención de trastornos de la conduc</w:t>
                </w:r>
                <w:r>
                  <w:rPr>
                    <w:rFonts w:ascii="Arial" w:eastAsia="Arial" w:hAnsi="Arial" w:cs="Arial"/>
                    <w:b/>
                    <w:bCs/>
                    <w:sz w:val="24"/>
                    <w:szCs w:val="24"/>
                  </w:rPr>
                  <w:t xml:space="preserve">ta alimentaria, mediante acciones de sensibilización, orientación y detección oportuna, con especial atención a niñas, niños y adolescentes. </w:t>
                </w:r>
              </w:p>
              <w:p w14:paraId="621B4612" w14:textId="77777777" w:rsidR="005922DD" w:rsidRDefault="0089073D">
                <w:pPr>
                  <w:widowControl w:val="0"/>
                  <w:spacing w:after="0" w:line="360" w:lineRule="auto"/>
                  <w:jc w:val="both"/>
                  <w:rPr>
                    <w:rFonts w:ascii="Arial" w:eastAsia="Arial" w:hAnsi="Arial" w:cs="Arial"/>
                    <w:sz w:val="24"/>
                    <w:szCs w:val="24"/>
                  </w:rPr>
                </w:pPr>
                <w:r>
                  <w:rPr>
                    <w:rFonts w:ascii="Arial" w:eastAsia="Arial" w:hAnsi="Arial" w:cs="Arial"/>
                    <w:sz w:val="24"/>
                    <w:szCs w:val="24"/>
                  </w:rPr>
                  <w:t>III. La detección oportuna y el control del sobrepeso y obesidad.</w:t>
                </w:r>
              </w:p>
              <w:p w14:paraId="4B5BF881" w14:textId="77777777" w:rsidR="005922DD" w:rsidRDefault="0089073D">
                <w:pPr>
                  <w:widowControl w:val="0"/>
                  <w:spacing w:after="0" w:line="360" w:lineRule="auto"/>
                  <w:jc w:val="both"/>
                  <w:rPr>
                    <w:rFonts w:ascii="Arial" w:eastAsia="Arial" w:hAnsi="Arial" w:cs="Arial"/>
                    <w:sz w:val="24"/>
                    <w:szCs w:val="24"/>
                  </w:rPr>
                </w:pPr>
                <w:r>
                  <w:rPr>
                    <w:rFonts w:ascii="Arial" w:eastAsia="Arial" w:hAnsi="Arial" w:cs="Arial"/>
                    <w:sz w:val="24"/>
                    <w:szCs w:val="24"/>
                  </w:rPr>
                  <w:t>IV. La práctica de ejercicios físicos, para lo c</w:t>
                </w:r>
                <w:r>
                  <w:rPr>
                    <w:rFonts w:ascii="Arial" w:eastAsia="Arial" w:hAnsi="Arial" w:cs="Arial"/>
                    <w:sz w:val="24"/>
                    <w:szCs w:val="24"/>
                  </w:rPr>
                  <w:t xml:space="preserve">ual el Estado promoverá la creación </w:t>
                </w:r>
                <w:r>
                  <w:rPr>
                    <w:rFonts w:ascii="Arial" w:eastAsia="Arial" w:hAnsi="Arial" w:cs="Arial"/>
                    <w:sz w:val="24"/>
                    <w:szCs w:val="24"/>
                  </w:rPr>
                  <w:lastRenderedPageBreak/>
                  <w:t>de espacios adecuados para ello.</w:t>
                </w:r>
              </w:p>
              <w:p w14:paraId="22595025" w14:textId="77777777" w:rsidR="005922DD" w:rsidRDefault="0089073D">
                <w:pPr>
                  <w:widowControl w:val="0"/>
                  <w:spacing w:after="0" w:line="360" w:lineRule="auto"/>
                  <w:jc w:val="both"/>
                  <w:rPr>
                    <w:rFonts w:ascii="Arial" w:eastAsia="Arial" w:hAnsi="Arial" w:cs="Arial"/>
                    <w:sz w:val="24"/>
                    <w:szCs w:val="24"/>
                  </w:rPr>
                </w:pPr>
                <w:r>
                  <w:rPr>
                    <w:rFonts w:ascii="Arial" w:eastAsia="Arial" w:hAnsi="Arial" w:cs="Arial"/>
                    <w:sz w:val="24"/>
                    <w:szCs w:val="24"/>
                  </w:rPr>
                  <w:t>V. La promoción de medidas preventivas que inhiban o disminuyan en general el consumo de alimentos o bebidas con bajo contenido nutricional y excesivo contenido graso, sal o azúcares, así</w:t>
                </w:r>
                <w:r>
                  <w:rPr>
                    <w:rFonts w:ascii="Arial" w:eastAsia="Arial" w:hAnsi="Arial" w:cs="Arial"/>
                    <w:sz w:val="24"/>
                    <w:szCs w:val="24"/>
                  </w:rPr>
                  <w:t xml:space="preserve"> como aditivos alimentarios.</w:t>
                </w:r>
              </w:p>
              <w:p w14:paraId="576468C4" w14:textId="77777777" w:rsidR="005922DD" w:rsidRDefault="005922DD">
                <w:pPr>
                  <w:widowControl w:val="0"/>
                  <w:spacing w:after="0" w:line="360" w:lineRule="auto"/>
                  <w:jc w:val="both"/>
                  <w:rPr>
                    <w:rFonts w:ascii="Arial" w:eastAsia="Arial" w:hAnsi="Arial" w:cs="Arial"/>
                    <w:sz w:val="24"/>
                    <w:szCs w:val="24"/>
                  </w:rPr>
                </w:pPr>
              </w:p>
              <w:p w14:paraId="4214126D" w14:textId="77777777" w:rsidR="005922DD" w:rsidRDefault="0089073D">
                <w:pPr>
                  <w:widowControl w:val="0"/>
                  <w:spacing w:after="0" w:line="360" w:lineRule="auto"/>
                  <w:jc w:val="both"/>
                  <w:rPr>
                    <w:rFonts w:ascii="Arial" w:eastAsia="Arial" w:hAnsi="Arial" w:cs="Arial"/>
                    <w:sz w:val="24"/>
                    <w:szCs w:val="24"/>
                  </w:rPr>
                </w:pPr>
                <w:r>
                  <w:rPr>
                    <w:rFonts w:ascii="Arial" w:eastAsia="Arial" w:hAnsi="Arial" w:cs="Arial"/>
                    <w:sz w:val="24"/>
                    <w:szCs w:val="24"/>
                  </w:rPr>
                  <w:t>Estas acciones estratégicas serán prioritarias a partir de la infancia, requiriendo la participación activa de los sectores educativo, público y privado; de la sociedad civil y la familia.</w:t>
                </w:r>
              </w:p>
              <w:p w14:paraId="1713B6AB" w14:textId="77777777" w:rsidR="005922DD" w:rsidRDefault="005922DD">
                <w:pPr>
                  <w:widowControl w:val="0"/>
                  <w:spacing w:after="0" w:line="360" w:lineRule="auto"/>
                  <w:rPr>
                    <w:rFonts w:ascii="Arial" w:eastAsia="Arial" w:hAnsi="Arial" w:cs="Arial"/>
                    <w:b/>
                    <w:bCs/>
                    <w:sz w:val="24"/>
                    <w:szCs w:val="24"/>
                  </w:rPr>
                </w:pPr>
              </w:p>
            </w:tc>
          </w:tr>
          <w:tr w:rsidR="005922DD" w14:paraId="409B5E78" w14:textId="77777777">
            <w:trPr>
              <w:trHeight w:val="2397"/>
            </w:trPr>
            <w:tc>
              <w:tcPr>
                <w:tcW w:w="4419" w:type="dxa"/>
                <w:shd w:val="clear" w:color="auto" w:fill="auto"/>
                <w:tcMar>
                  <w:top w:w="100" w:type="dxa"/>
                  <w:left w:w="100" w:type="dxa"/>
                  <w:bottom w:w="100" w:type="dxa"/>
                  <w:right w:w="100" w:type="dxa"/>
                </w:tcMar>
              </w:tcPr>
              <w:p w14:paraId="1E9B87DC" w14:textId="77777777" w:rsidR="005922DD" w:rsidRDefault="0089073D">
                <w:pPr>
                  <w:widowControl w:val="0"/>
                  <w:spacing w:after="0" w:line="360" w:lineRule="auto"/>
                  <w:jc w:val="both"/>
                  <w:rPr>
                    <w:rFonts w:ascii="Arial" w:eastAsia="Arial" w:hAnsi="Arial" w:cs="Arial"/>
                    <w:sz w:val="24"/>
                    <w:szCs w:val="24"/>
                  </w:rPr>
                </w:pPr>
                <w:r>
                  <w:rPr>
                    <w:rFonts w:ascii="Arial" w:eastAsia="Arial" w:hAnsi="Arial" w:cs="Arial"/>
                    <w:b/>
                    <w:bCs/>
                    <w:sz w:val="24"/>
                    <w:szCs w:val="24"/>
                  </w:rPr>
                  <w:lastRenderedPageBreak/>
                  <w:t xml:space="preserve">Artículo 189. </w:t>
                </w:r>
                <w:r>
                  <w:rPr>
                    <w:rFonts w:ascii="Arial" w:eastAsia="Arial" w:hAnsi="Arial" w:cs="Arial"/>
                    <w:sz w:val="24"/>
                    <w:szCs w:val="24"/>
                  </w:rPr>
                  <w:t>La promoción de hábitos saludables tiene por objeto dar a conocer, de manera amplia y permanente, los programas y estrategias de prevención y control en materia de desnutrición, obesidad, sobrepeso y trastornos de la conducta alimentaria, así como de fomen</w:t>
                </w:r>
                <w:r>
                  <w:rPr>
                    <w:rFonts w:ascii="Arial" w:eastAsia="Arial" w:hAnsi="Arial" w:cs="Arial"/>
                    <w:sz w:val="24"/>
                    <w:szCs w:val="24"/>
                  </w:rPr>
                  <w:t xml:space="preserve">to y adopción social de hábitos de alimentación y nutricionales correctos, </w:t>
                </w:r>
                <w:r>
                  <w:rPr>
                    <w:rFonts w:ascii="Arial" w:eastAsia="Arial" w:hAnsi="Arial" w:cs="Arial"/>
                    <w:sz w:val="24"/>
                    <w:szCs w:val="24"/>
                  </w:rPr>
                  <w:lastRenderedPageBreak/>
                  <w:t xml:space="preserve">mediante campañas informativas dirigidas a los diversos sectores de la población, teniendo como prioridad el interés superior de la niñez sobre cualquier otro. </w:t>
                </w:r>
              </w:p>
            </w:tc>
            <w:tc>
              <w:tcPr>
                <w:tcW w:w="4419" w:type="dxa"/>
                <w:shd w:val="clear" w:color="auto" w:fill="auto"/>
                <w:tcMar>
                  <w:top w:w="100" w:type="dxa"/>
                  <w:left w:w="100" w:type="dxa"/>
                  <w:bottom w:w="100" w:type="dxa"/>
                  <w:right w:w="100" w:type="dxa"/>
                </w:tcMar>
              </w:tcPr>
              <w:p w14:paraId="4FB7C349" w14:textId="77777777" w:rsidR="005922DD" w:rsidRDefault="0089073D">
                <w:pPr>
                  <w:widowControl w:val="0"/>
                  <w:spacing w:after="0" w:line="360" w:lineRule="auto"/>
                  <w:jc w:val="both"/>
                  <w:rPr>
                    <w:rFonts w:ascii="Arial" w:eastAsia="Arial" w:hAnsi="Arial" w:cs="Arial"/>
                    <w:sz w:val="24"/>
                    <w:szCs w:val="24"/>
                  </w:rPr>
                </w:pPr>
                <w:r>
                  <w:rPr>
                    <w:rFonts w:ascii="Arial" w:eastAsia="Arial" w:hAnsi="Arial" w:cs="Arial"/>
                    <w:b/>
                    <w:bCs/>
                    <w:sz w:val="24"/>
                    <w:szCs w:val="24"/>
                  </w:rPr>
                  <w:lastRenderedPageBreak/>
                  <w:t xml:space="preserve">Artículo 189. </w:t>
                </w:r>
                <w:r>
                  <w:rPr>
                    <w:rFonts w:ascii="Arial" w:eastAsia="Arial" w:hAnsi="Arial" w:cs="Arial"/>
                    <w:sz w:val="24"/>
                    <w:szCs w:val="24"/>
                  </w:rPr>
                  <w:t>La pro</w:t>
                </w:r>
                <w:r>
                  <w:rPr>
                    <w:rFonts w:ascii="Arial" w:eastAsia="Arial" w:hAnsi="Arial" w:cs="Arial"/>
                    <w:sz w:val="24"/>
                    <w:szCs w:val="24"/>
                  </w:rPr>
                  <w:t>moción de hábitos saludables tiene por objeto dar a conocer, de manera amplia y permanente, los programas y estrategias de prevención y control en materia de desnutrición, obesidad, sobrepeso y trastornos de la conducta alimentaria, así como de fomento y a</w:t>
                </w:r>
                <w:r>
                  <w:rPr>
                    <w:rFonts w:ascii="Arial" w:eastAsia="Arial" w:hAnsi="Arial" w:cs="Arial"/>
                    <w:sz w:val="24"/>
                    <w:szCs w:val="24"/>
                  </w:rPr>
                  <w:t xml:space="preserve">dopción social de hábitos de alimentación y nutricionales correctos, </w:t>
                </w:r>
                <w:r>
                  <w:rPr>
                    <w:rFonts w:ascii="Arial" w:eastAsia="Arial" w:hAnsi="Arial" w:cs="Arial"/>
                    <w:sz w:val="24"/>
                    <w:szCs w:val="24"/>
                  </w:rPr>
                  <w:lastRenderedPageBreak/>
                  <w:t>mediante campañas informativas dirigidas a los diversos sectores de la población, teniendo como prioridad el interés superior de la niñez sobre cualquier otro.</w:t>
                </w:r>
              </w:p>
              <w:p w14:paraId="57CBA27B" w14:textId="77777777" w:rsidR="005922DD" w:rsidRDefault="005922DD">
                <w:pPr>
                  <w:widowControl w:val="0"/>
                  <w:spacing w:after="0" w:line="360" w:lineRule="auto"/>
                  <w:jc w:val="both"/>
                  <w:rPr>
                    <w:rFonts w:ascii="Arial" w:eastAsia="Arial" w:hAnsi="Arial" w:cs="Arial"/>
                    <w:sz w:val="24"/>
                    <w:szCs w:val="24"/>
                  </w:rPr>
                </w:pPr>
              </w:p>
              <w:p w14:paraId="3A253628" w14:textId="77777777" w:rsidR="005922DD" w:rsidRDefault="0089073D">
                <w:pPr>
                  <w:widowControl w:val="0"/>
                  <w:spacing w:before="240" w:after="240" w:line="360" w:lineRule="auto"/>
                  <w:jc w:val="both"/>
                  <w:rPr>
                    <w:rFonts w:ascii="Arial" w:eastAsia="Arial" w:hAnsi="Arial" w:cs="Arial"/>
                    <w:sz w:val="24"/>
                    <w:szCs w:val="24"/>
                  </w:rPr>
                </w:pPr>
                <w:r>
                  <w:rPr>
                    <w:rFonts w:ascii="Arial" w:eastAsia="Arial" w:hAnsi="Arial" w:cs="Arial"/>
                    <w:b/>
                    <w:bCs/>
                    <w:sz w:val="24"/>
                    <w:szCs w:val="24"/>
                  </w:rPr>
                  <w:t>Tratándose de trastornos d</w:t>
                </w:r>
                <w:r>
                  <w:rPr>
                    <w:rFonts w:ascii="Arial" w:eastAsia="Arial" w:hAnsi="Arial" w:cs="Arial"/>
                    <w:b/>
                    <w:bCs/>
                    <w:sz w:val="24"/>
                    <w:szCs w:val="24"/>
                  </w:rPr>
                  <w:t>e la conducta alimentaria, la Secretaría, en coordinación con las autoridades educativas competentes, promoverá campañas y acciones de prevención, sensibilización y detección oportuna dirigidas especialmente a niñas, niños y adolescentes.</w:t>
                </w:r>
              </w:p>
            </w:tc>
          </w:tr>
          <w:tr w:rsidR="005922DD" w14:paraId="184BF7E0" w14:textId="77777777">
            <w:tc>
              <w:tcPr>
                <w:tcW w:w="4419" w:type="dxa"/>
                <w:shd w:val="clear" w:color="auto" w:fill="auto"/>
                <w:tcMar>
                  <w:top w:w="100" w:type="dxa"/>
                  <w:left w:w="100" w:type="dxa"/>
                  <w:bottom w:w="100" w:type="dxa"/>
                  <w:right w:w="100" w:type="dxa"/>
                </w:tcMar>
              </w:tcPr>
              <w:p w14:paraId="2383F571" w14:textId="77777777" w:rsidR="005922DD" w:rsidRDefault="0089073D">
                <w:pPr>
                  <w:widowControl w:val="0"/>
                  <w:spacing w:after="0" w:line="360" w:lineRule="auto"/>
                  <w:rPr>
                    <w:rFonts w:ascii="Arial" w:eastAsia="Arial" w:hAnsi="Arial" w:cs="Arial"/>
                    <w:sz w:val="24"/>
                    <w:szCs w:val="24"/>
                  </w:rPr>
                </w:pPr>
                <w:r>
                  <w:rPr>
                    <w:rFonts w:ascii="Arial" w:eastAsia="Arial" w:hAnsi="Arial" w:cs="Arial"/>
                    <w:b/>
                    <w:bCs/>
                    <w:sz w:val="24"/>
                    <w:szCs w:val="24"/>
                  </w:rPr>
                  <w:lastRenderedPageBreak/>
                  <w:t>Artículo 240.</w:t>
                </w:r>
                <w:r>
                  <w:rPr>
                    <w:rFonts w:ascii="Arial" w:eastAsia="Arial" w:hAnsi="Arial" w:cs="Arial"/>
                    <w:sz w:val="24"/>
                    <w:szCs w:val="24"/>
                  </w:rPr>
                  <w:t xml:space="preserve"> El</w:t>
                </w:r>
                <w:r>
                  <w:rPr>
                    <w:rFonts w:ascii="Arial" w:eastAsia="Arial" w:hAnsi="Arial" w:cs="Arial"/>
                    <w:sz w:val="24"/>
                    <w:szCs w:val="24"/>
                  </w:rPr>
                  <w:t xml:space="preserve"> Programa de los trastornos mentales comprenderá: </w:t>
                </w:r>
              </w:p>
              <w:p w14:paraId="186BAD58" w14:textId="77777777" w:rsidR="005922DD" w:rsidRDefault="005922DD">
                <w:pPr>
                  <w:widowControl w:val="0"/>
                  <w:spacing w:after="0" w:line="360" w:lineRule="auto"/>
                  <w:rPr>
                    <w:rFonts w:ascii="Arial" w:eastAsia="Arial" w:hAnsi="Arial" w:cs="Arial"/>
                    <w:sz w:val="24"/>
                    <w:szCs w:val="24"/>
                  </w:rPr>
                </w:pPr>
              </w:p>
              <w:p w14:paraId="75E5D2C5" w14:textId="77777777" w:rsidR="005922DD" w:rsidRDefault="0089073D">
                <w:pPr>
                  <w:widowControl w:val="0"/>
                  <w:numPr>
                    <w:ilvl w:val="0"/>
                    <w:numId w:val="1"/>
                  </w:numPr>
                  <w:spacing w:after="0" w:line="360" w:lineRule="auto"/>
                  <w:rPr>
                    <w:rFonts w:ascii="Arial" w:eastAsia="Arial" w:hAnsi="Arial" w:cs="Arial"/>
                    <w:sz w:val="24"/>
                    <w:szCs w:val="24"/>
                  </w:rPr>
                </w:pPr>
                <w:r>
                  <w:rPr>
                    <w:rFonts w:ascii="Arial" w:eastAsia="Arial" w:hAnsi="Arial" w:cs="Arial"/>
                    <w:sz w:val="24"/>
                    <w:szCs w:val="24"/>
                  </w:rPr>
                  <w:t>a VI</w:t>
                </w:r>
              </w:p>
              <w:p w14:paraId="0CD3CC8D" w14:textId="77777777" w:rsidR="005922DD" w:rsidRDefault="005922DD">
                <w:pPr>
                  <w:widowControl w:val="0"/>
                  <w:spacing w:after="0" w:line="360" w:lineRule="auto"/>
                  <w:ind w:left="720"/>
                  <w:rPr>
                    <w:rFonts w:ascii="Arial" w:eastAsia="Arial" w:hAnsi="Arial" w:cs="Arial"/>
                    <w:sz w:val="24"/>
                    <w:szCs w:val="24"/>
                  </w:rPr>
                </w:pPr>
              </w:p>
              <w:p w14:paraId="345AEFCD" w14:textId="77777777" w:rsidR="005922DD" w:rsidRDefault="0089073D">
                <w:pPr>
                  <w:widowControl w:val="0"/>
                  <w:spacing w:after="0" w:line="360" w:lineRule="auto"/>
                  <w:rPr>
                    <w:rFonts w:ascii="Arial" w:eastAsia="Arial" w:hAnsi="Arial" w:cs="Arial"/>
                    <w:sz w:val="24"/>
                    <w:szCs w:val="24"/>
                  </w:rPr>
                </w:pPr>
                <w:r>
                  <w:rPr>
                    <w:rFonts w:ascii="Arial" w:eastAsia="Arial" w:hAnsi="Arial" w:cs="Arial"/>
                    <w:sz w:val="24"/>
                    <w:szCs w:val="24"/>
                  </w:rPr>
                  <w:t xml:space="preserve">VII. La atención a personas con trastornos de conducta alimenticia. </w:t>
                </w:r>
              </w:p>
            </w:tc>
            <w:tc>
              <w:tcPr>
                <w:tcW w:w="4419" w:type="dxa"/>
                <w:shd w:val="clear" w:color="auto" w:fill="auto"/>
                <w:tcMar>
                  <w:top w:w="100" w:type="dxa"/>
                  <w:left w:w="100" w:type="dxa"/>
                  <w:bottom w:w="100" w:type="dxa"/>
                  <w:right w:w="100" w:type="dxa"/>
                </w:tcMar>
              </w:tcPr>
              <w:p w14:paraId="1FAE5641" w14:textId="77777777" w:rsidR="005922DD" w:rsidRDefault="0089073D">
                <w:pPr>
                  <w:widowControl w:val="0"/>
                  <w:spacing w:after="0" w:line="360" w:lineRule="auto"/>
                  <w:rPr>
                    <w:rFonts w:ascii="Arial" w:eastAsia="Arial" w:hAnsi="Arial" w:cs="Arial"/>
                    <w:sz w:val="24"/>
                    <w:szCs w:val="24"/>
                  </w:rPr>
                </w:pPr>
                <w:r>
                  <w:rPr>
                    <w:rFonts w:ascii="Arial" w:eastAsia="Arial" w:hAnsi="Arial" w:cs="Arial"/>
                    <w:b/>
                    <w:bCs/>
                    <w:sz w:val="24"/>
                    <w:szCs w:val="24"/>
                  </w:rPr>
                  <w:t>Artículo 240.</w:t>
                </w:r>
                <w:r>
                  <w:rPr>
                    <w:rFonts w:ascii="Arial" w:eastAsia="Arial" w:hAnsi="Arial" w:cs="Arial"/>
                    <w:sz w:val="24"/>
                    <w:szCs w:val="24"/>
                  </w:rPr>
                  <w:t xml:space="preserve"> El Programa de los trastornos mentales comprenderá: </w:t>
                </w:r>
              </w:p>
              <w:p w14:paraId="7E2FB9BA" w14:textId="77777777" w:rsidR="005922DD" w:rsidRDefault="005922DD">
                <w:pPr>
                  <w:widowControl w:val="0"/>
                  <w:spacing w:after="0" w:line="360" w:lineRule="auto"/>
                  <w:rPr>
                    <w:rFonts w:ascii="Arial" w:eastAsia="Arial" w:hAnsi="Arial" w:cs="Arial"/>
                    <w:sz w:val="24"/>
                    <w:szCs w:val="24"/>
                  </w:rPr>
                </w:pPr>
              </w:p>
              <w:p w14:paraId="07F504AB" w14:textId="77777777" w:rsidR="005922DD" w:rsidRDefault="0089073D">
                <w:pPr>
                  <w:widowControl w:val="0"/>
                  <w:numPr>
                    <w:ilvl w:val="0"/>
                    <w:numId w:val="4"/>
                  </w:numPr>
                  <w:spacing w:after="0" w:line="360" w:lineRule="auto"/>
                  <w:rPr>
                    <w:rFonts w:ascii="Arial" w:eastAsia="Arial" w:hAnsi="Arial" w:cs="Arial"/>
                    <w:sz w:val="24"/>
                    <w:szCs w:val="24"/>
                  </w:rPr>
                </w:pPr>
                <w:r>
                  <w:rPr>
                    <w:rFonts w:ascii="Arial" w:eastAsia="Arial" w:hAnsi="Arial" w:cs="Arial"/>
                    <w:sz w:val="24"/>
                    <w:szCs w:val="24"/>
                  </w:rPr>
                  <w:t>a VI</w:t>
                </w:r>
              </w:p>
              <w:p w14:paraId="5DC0BD68" w14:textId="77777777" w:rsidR="005922DD" w:rsidRDefault="005922DD">
                <w:pPr>
                  <w:widowControl w:val="0"/>
                  <w:spacing w:after="0" w:line="360" w:lineRule="auto"/>
                  <w:rPr>
                    <w:rFonts w:ascii="Arial" w:eastAsia="Arial" w:hAnsi="Arial" w:cs="Arial"/>
                    <w:sz w:val="24"/>
                    <w:szCs w:val="24"/>
                  </w:rPr>
                </w:pPr>
              </w:p>
              <w:p w14:paraId="462F1BD8" w14:textId="77777777" w:rsidR="005922DD" w:rsidRDefault="0089073D">
                <w:pPr>
                  <w:widowControl w:val="0"/>
                  <w:spacing w:after="0" w:line="360" w:lineRule="auto"/>
                  <w:rPr>
                    <w:rFonts w:ascii="Arial" w:eastAsia="Arial" w:hAnsi="Arial" w:cs="Arial"/>
                    <w:b/>
                    <w:bCs/>
                    <w:sz w:val="24"/>
                    <w:szCs w:val="24"/>
                  </w:rPr>
                </w:pPr>
                <w:r>
                  <w:rPr>
                    <w:rFonts w:ascii="Arial" w:eastAsia="Arial" w:hAnsi="Arial" w:cs="Arial"/>
                    <w:sz w:val="24"/>
                    <w:szCs w:val="24"/>
                  </w:rPr>
                  <w:t xml:space="preserve">VII. La atención a personas con </w:t>
                </w:r>
                <w:r>
                  <w:rPr>
                    <w:rFonts w:ascii="Arial" w:eastAsia="Arial" w:hAnsi="Arial" w:cs="Arial"/>
                    <w:b/>
                    <w:bCs/>
                    <w:sz w:val="24"/>
                    <w:szCs w:val="24"/>
                  </w:rPr>
                  <w:t>trastornos de la conducta alimentaria.</w:t>
                </w:r>
              </w:p>
            </w:tc>
          </w:tr>
        </w:tbl>
      </w:sdtContent>
    </w:sdt>
    <w:p w14:paraId="35710E03" w14:textId="77777777" w:rsidR="005922DD" w:rsidRDefault="005922DD">
      <w:pPr>
        <w:spacing w:after="0" w:line="360" w:lineRule="auto"/>
        <w:rPr>
          <w:rFonts w:ascii="Arial" w:eastAsia="Arial" w:hAnsi="Arial" w:cs="Arial"/>
          <w:sz w:val="24"/>
          <w:szCs w:val="24"/>
        </w:rPr>
      </w:pPr>
    </w:p>
    <w:p w14:paraId="4D33676D" w14:textId="77777777" w:rsidR="005922DD" w:rsidRDefault="005922DD">
      <w:pPr>
        <w:spacing w:line="360" w:lineRule="auto"/>
        <w:rPr>
          <w:sz w:val="24"/>
          <w:szCs w:val="24"/>
        </w:rPr>
      </w:pPr>
    </w:p>
    <w:p w14:paraId="48138E60" w14:textId="77777777" w:rsidR="005922DD" w:rsidRDefault="005922DD">
      <w:pPr>
        <w:spacing w:line="360" w:lineRule="auto"/>
        <w:rPr>
          <w:sz w:val="24"/>
          <w:szCs w:val="24"/>
        </w:rPr>
      </w:pPr>
    </w:p>
    <w:p w14:paraId="3149C12F" w14:textId="77777777" w:rsidR="005922DD" w:rsidRDefault="0089073D">
      <w:pPr>
        <w:spacing w:after="0" w:line="360" w:lineRule="auto"/>
        <w:jc w:val="both"/>
        <w:rPr>
          <w:rFonts w:ascii="Arial" w:eastAsia="Arial" w:hAnsi="Arial" w:cs="Arial"/>
          <w:sz w:val="24"/>
          <w:szCs w:val="24"/>
        </w:rPr>
      </w:pPr>
      <w:r>
        <w:rPr>
          <w:rFonts w:ascii="Arial" w:eastAsia="Arial" w:hAnsi="Arial" w:cs="Arial"/>
          <w:sz w:val="24"/>
          <w:szCs w:val="24"/>
        </w:rPr>
        <w:t xml:space="preserve">Por lo anteriormente expuesto, someto a la consideración de esta Asamblea Legislativa el siguiente proyecto de: </w:t>
      </w:r>
    </w:p>
    <w:p w14:paraId="7584E669" w14:textId="77777777" w:rsidR="005922DD" w:rsidRDefault="005922DD">
      <w:pPr>
        <w:spacing w:after="0" w:line="360" w:lineRule="auto"/>
        <w:jc w:val="both"/>
        <w:rPr>
          <w:rFonts w:ascii="Arial" w:eastAsia="Arial" w:hAnsi="Arial" w:cs="Arial"/>
          <w:sz w:val="24"/>
          <w:szCs w:val="24"/>
        </w:rPr>
      </w:pPr>
    </w:p>
    <w:p w14:paraId="06884F25" w14:textId="77777777" w:rsidR="005922DD" w:rsidRDefault="0089073D">
      <w:pPr>
        <w:spacing w:after="0" w:line="360" w:lineRule="auto"/>
        <w:jc w:val="center"/>
        <w:rPr>
          <w:rFonts w:ascii="Arial" w:eastAsia="Arial" w:hAnsi="Arial" w:cs="Arial"/>
          <w:b/>
          <w:bCs/>
          <w:sz w:val="24"/>
          <w:szCs w:val="24"/>
        </w:rPr>
      </w:pPr>
      <w:r>
        <w:rPr>
          <w:rFonts w:ascii="Arial" w:eastAsia="Arial" w:hAnsi="Arial" w:cs="Arial"/>
          <w:b/>
          <w:bCs/>
          <w:sz w:val="24"/>
          <w:szCs w:val="24"/>
        </w:rPr>
        <w:t>DECRETO</w:t>
      </w:r>
    </w:p>
    <w:p w14:paraId="365101CE" w14:textId="77777777" w:rsidR="005922DD" w:rsidRDefault="005922DD">
      <w:pPr>
        <w:spacing w:after="0" w:line="360" w:lineRule="auto"/>
        <w:jc w:val="both"/>
        <w:rPr>
          <w:sz w:val="24"/>
          <w:szCs w:val="24"/>
        </w:rPr>
      </w:pPr>
    </w:p>
    <w:p w14:paraId="5CBEFAA0" w14:textId="77777777" w:rsidR="005922DD" w:rsidRDefault="0089073D">
      <w:pPr>
        <w:spacing w:after="0" w:line="360" w:lineRule="auto"/>
        <w:jc w:val="both"/>
        <w:rPr>
          <w:rFonts w:ascii="Arial" w:eastAsia="Arial" w:hAnsi="Arial" w:cs="Arial"/>
          <w:b/>
          <w:bCs/>
          <w:sz w:val="24"/>
          <w:szCs w:val="24"/>
        </w:rPr>
      </w:pPr>
      <w:r>
        <w:rPr>
          <w:rFonts w:ascii="Arial" w:eastAsia="Arial" w:hAnsi="Arial" w:cs="Arial"/>
          <w:b/>
          <w:bCs/>
          <w:sz w:val="24"/>
          <w:szCs w:val="24"/>
        </w:rPr>
        <w:t xml:space="preserve">ÚNICO. Se reforman los </w:t>
      </w:r>
      <w:proofErr w:type="gramStart"/>
      <w:r>
        <w:rPr>
          <w:rFonts w:ascii="Arial" w:eastAsia="Arial" w:hAnsi="Arial" w:cs="Arial"/>
          <w:b/>
          <w:bCs/>
          <w:sz w:val="24"/>
          <w:szCs w:val="24"/>
        </w:rPr>
        <w:t>artículos  187</w:t>
      </w:r>
      <w:proofErr w:type="gramEnd"/>
      <w:r>
        <w:rPr>
          <w:rFonts w:ascii="Arial" w:eastAsia="Arial" w:hAnsi="Arial" w:cs="Arial"/>
          <w:b/>
          <w:bCs/>
          <w:sz w:val="24"/>
          <w:szCs w:val="24"/>
        </w:rPr>
        <w:t>, 189  y 240 de la Ley Estatal de Salud para quedar redactado de la siguiente manera:</w:t>
      </w:r>
    </w:p>
    <w:p w14:paraId="25A1AE35" w14:textId="77777777" w:rsidR="005922DD" w:rsidRDefault="005922DD">
      <w:pPr>
        <w:spacing w:after="0" w:line="360" w:lineRule="auto"/>
        <w:jc w:val="both"/>
        <w:rPr>
          <w:rFonts w:ascii="Arial" w:eastAsia="Arial" w:hAnsi="Arial" w:cs="Arial"/>
          <w:b/>
          <w:bCs/>
          <w:sz w:val="24"/>
          <w:szCs w:val="24"/>
        </w:rPr>
      </w:pPr>
    </w:p>
    <w:p w14:paraId="46A4F82D" w14:textId="77777777" w:rsidR="005922DD" w:rsidRDefault="0089073D">
      <w:pPr>
        <w:widowControl w:val="0"/>
        <w:spacing w:after="0" w:line="360" w:lineRule="auto"/>
        <w:jc w:val="center"/>
        <w:rPr>
          <w:rFonts w:ascii="Arial" w:eastAsia="Arial" w:hAnsi="Arial" w:cs="Arial"/>
          <w:b/>
          <w:bCs/>
          <w:sz w:val="24"/>
          <w:szCs w:val="24"/>
        </w:rPr>
      </w:pPr>
      <w:r>
        <w:rPr>
          <w:rFonts w:ascii="Arial" w:eastAsia="Arial" w:hAnsi="Arial" w:cs="Arial"/>
          <w:b/>
          <w:bCs/>
          <w:sz w:val="24"/>
          <w:szCs w:val="24"/>
        </w:rPr>
        <w:t xml:space="preserve">CAPÍTULO </w:t>
      </w:r>
      <w:r>
        <w:rPr>
          <w:rFonts w:ascii="Arial" w:eastAsia="Arial" w:hAnsi="Arial" w:cs="Arial"/>
          <w:b/>
          <w:bCs/>
          <w:sz w:val="24"/>
          <w:szCs w:val="24"/>
        </w:rPr>
        <w:t>III</w:t>
      </w:r>
    </w:p>
    <w:p w14:paraId="41D1B6C8" w14:textId="77777777" w:rsidR="005922DD" w:rsidRDefault="005922DD">
      <w:pPr>
        <w:widowControl w:val="0"/>
        <w:spacing w:after="0" w:line="360" w:lineRule="auto"/>
        <w:jc w:val="center"/>
        <w:rPr>
          <w:rFonts w:ascii="Arial" w:eastAsia="Arial" w:hAnsi="Arial" w:cs="Arial"/>
          <w:b/>
          <w:bCs/>
          <w:sz w:val="24"/>
          <w:szCs w:val="24"/>
        </w:rPr>
      </w:pPr>
    </w:p>
    <w:p w14:paraId="255DE7BB" w14:textId="77777777" w:rsidR="005922DD" w:rsidRDefault="0089073D">
      <w:pPr>
        <w:widowControl w:val="0"/>
        <w:spacing w:after="0" w:line="360" w:lineRule="auto"/>
        <w:jc w:val="center"/>
        <w:rPr>
          <w:rFonts w:ascii="Arial" w:eastAsia="Arial" w:hAnsi="Arial" w:cs="Arial"/>
          <w:b/>
          <w:bCs/>
          <w:sz w:val="24"/>
          <w:szCs w:val="24"/>
        </w:rPr>
      </w:pPr>
      <w:r>
        <w:rPr>
          <w:rFonts w:ascii="Arial" w:eastAsia="Arial" w:hAnsi="Arial" w:cs="Arial"/>
          <w:b/>
          <w:bCs/>
          <w:sz w:val="24"/>
          <w:szCs w:val="24"/>
        </w:rPr>
        <w:t>PROGRAMA PARA EL CONTROL</w:t>
      </w:r>
    </w:p>
    <w:p w14:paraId="1E8FB8F1" w14:textId="77777777" w:rsidR="005922DD" w:rsidRDefault="0089073D">
      <w:pPr>
        <w:widowControl w:val="0"/>
        <w:spacing w:after="0" w:line="360" w:lineRule="auto"/>
        <w:jc w:val="center"/>
        <w:rPr>
          <w:rFonts w:ascii="Arial" w:eastAsia="Arial" w:hAnsi="Arial" w:cs="Arial"/>
          <w:b/>
          <w:bCs/>
          <w:sz w:val="24"/>
          <w:szCs w:val="24"/>
        </w:rPr>
      </w:pPr>
      <w:r>
        <w:rPr>
          <w:rFonts w:ascii="Arial" w:eastAsia="Arial" w:hAnsi="Arial" w:cs="Arial"/>
          <w:b/>
          <w:bCs/>
          <w:sz w:val="24"/>
          <w:szCs w:val="24"/>
        </w:rPr>
        <w:t xml:space="preserve">DE SOBREPESO, OBESIDAD Y LOS TRASTORNOS DE LA CONDUCTA ALIMENTARIA </w:t>
      </w:r>
    </w:p>
    <w:p w14:paraId="0AB6BE62" w14:textId="77777777" w:rsidR="005922DD" w:rsidRDefault="005922DD">
      <w:pPr>
        <w:widowControl w:val="0"/>
        <w:spacing w:after="0" w:line="360" w:lineRule="auto"/>
        <w:jc w:val="both"/>
        <w:rPr>
          <w:rFonts w:ascii="Arial" w:eastAsia="Arial" w:hAnsi="Arial" w:cs="Arial"/>
          <w:b/>
          <w:bCs/>
          <w:sz w:val="24"/>
          <w:szCs w:val="24"/>
        </w:rPr>
      </w:pPr>
    </w:p>
    <w:p w14:paraId="1FB27E5C" w14:textId="77777777" w:rsidR="005922DD" w:rsidRDefault="0089073D">
      <w:pPr>
        <w:widowControl w:val="0"/>
        <w:spacing w:after="240" w:line="360" w:lineRule="auto"/>
        <w:jc w:val="both"/>
        <w:rPr>
          <w:rFonts w:ascii="Arial" w:eastAsia="Arial" w:hAnsi="Arial" w:cs="Arial"/>
          <w:b/>
          <w:bCs/>
          <w:sz w:val="24"/>
          <w:szCs w:val="24"/>
        </w:rPr>
      </w:pPr>
      <w:r>
        <w:rPr>
          <w:rFonts w:ascii="Arial" w:eastAsia="Arial" w:hAnsi="Arial" w:cs="Arial"/>
          <w:b/>
          <w:bCs/>
          <w:sz w:val="24"/>
          <w:szCs w:val="24"/>
        </w:rPr>
        <w:t xml:space="preserve">Artículo 187. </w:t>
      </w:r>
      <w:r>
        <w:rPr>
          <w:rFonts w:ascii="Arial" w:eastAsia="Arial" w:hAnsi="Arial" w:cs="Arial"/>
          <w:sz w:val="24"/>
          <w:szCs w:val="24"/>
        </w:rPr>
        <w:t>La prevención y control del sobrepeso,</w:t>
      </w:r>
      <w:r>
        <w:rPr>
          <w:rFonts w:ascii="Arial" w:eastAsia="Arial" w:hAnsi="Arial" w:cs="Arial"/>
          <w:b/>
          <w:bCs/>
          <w:sz w:val="24"/>
          <w:szCs w:val="24"/>
        </w:rPr>
        <w:t xml:space="preserve"> la obesidad y los trastornos de la conducta alimentaria comprenden:</w:t>
      </w:r>
    </w:p>
    <w:p w14:paraId="1DA65136" w14:textId="77777777" w:rsidR="005922DD" w:rsidRDefault="0089073D">
      <w:pPr>
        <w:widowControl w:val="0"/>
        <w:spacing w:after="0" w:line="360" w:lineRule="auto"/>
        <w:jc w:val="both"/>
        <w:rPr>
          <w:rFonts w:ascii="Arial" w:eastAsia="Arial" w:hAnsi="Arial" w:cs="Arial"/>
          <w:sz w:val="24"/>
          <w:szCs w:val="24"/>
        </w:rPr>
      </w:pPr>
      <w:r>
        <w:rPr>
          <w:rFonts w:ascii="Arial" w:eastAsia="Arial" w:hAnsi="Arial" w:cs="Arial"/>
          <w:sz w:val="24"/>
          <w:szCs w:val="24"/>
        </w:rPr>
        <w:t>I. La educación integral en nutrició</w:t>
      </w:r>
      <w:r>
        <w:rPr>
          <w:rFonts w:ascii="Arial" w:eastAsia="Arial" w:hAnsi="Arial" w:cs="Arial"/>
          <w:sz w:val="24"/>
          <w:szCs w:val="24"/>
        </w:rPr>
        <w:t>n.</w:t>
      </w:r>
    </w:p>
    <w:p w14:paraId="10864A87" w14:textId="77777777" w:rsidR="005922DD" w:rsidRDefault="0089073D">
      <w:pPr>
        <w:widowControl w:val="0"/>
        <w:spacing w:after="0" w:line="360" w:lineRule="auto"/>
        <w:jc w:val="both"/>
        <w:rPr>
          <w:rFonts w:ascii="Arial" w:eastAsia="Arial" w:hAnsi="Arial" w:cs="Arial"/>
          <w:b/>
          <w:bCs/>
          <w:sz w:val="24"/>
          <w:szCs w:val="24"/>
        </w:rPr>
      </w:pPr>
      <w:r>
        <w:rPr>
          <w:rFonts w:ascii="Arial" w:eastAsia="Arial" w:hAnsi="Arial" w:cs="Arial"/>
          <w:b/>
          <w:bCs/>
          <w:sz w:val="24"/>
          <w:szCs w:val="24"/>
        </w:rPr>
        <w:t xml:space="preserve">II. La promoción de hábitos saludables y la prevención de trastornos de la conducta alimentaria, mediante acciones de sensibilización, orientación y detección oportuna, con especial atención a niñas, niños y adolescentes. </w:t>
      </w:r>
    </w:p>
    <w:p w14:paraId="0AE5E294" w14:textId="77777777" w:rsidR="005922DD" w:rsidRDefault="0089073D">
      <w:pPr>
        <w:widowControl w:val="0"/>
        <w:spacing w:after="0" w:line="360" w:lineRule="auto"/>
        <w:jc w:val="both"/>
        <w:rPr>
          <w:rFonts w:ascii="Arial" w:eastAsia="Arial" w:hAnsi="Arial" w:cs="Arial"/>
          <w:sz w:val="24"/>
          <w:szCs w:val="24"/>
        </w:rPr>
      </w:pPr>
      <w:r>
        <w:rPr>
          <w:rFonts w:ascii="Arial" w:eastAsia="Arial" w:hAnsi="Arial" w:cs="Arial"/>
          <w:sz w:val="24"/>
          <w:szCs w:val="24"/>
        </w:rPr>
        <w:t>III. La detección oportuna y e</w:t>
      </w:r>
      <w:r>
        <w:rPr>
          <w:rFonts w:ascii="Arial" w:eastAsia="Arial" w:hAnsi="Arial" w:cs="Arial"/>
          <w:sz w:val="24"/>
          <w:szCs w:val="24"/>
        </w:rPr>
        <w:t>l control del sobrepeso y obesidad.</w:t>
      </w:r>
    </w:p>
    <w:p w14:paraId="303210D2" w14:textId="77777777" w:rsidR="005922DD" w:rsidRDefault="0089073D">
      <w:pPr>
        <w:widowControl w:val="0"/>
        <w:spacing w:after="0" w:line="360" w:lineRule="auto"/>
        <w:jc w:val="both"/>
        <w:rPr>
          <w:rFonts w:ascii="Arial" w:eastAsia="Arial" w:hAnsi="Arial" w:cs="Arial"/>
          <w:sz w:val="24"/>
          <w:szCs w:val="24"/>
        </w:rPr>
      </w:pPr>
      <w:r>
        <w:rPr>
          <w:rFonts w:ascii="Arial" w:eastAsia="Arial" w:hAnsi="Arial" w:cs="Arial"/>
          <w:sz w:val="24"/>
          <w:szCs w:val="24"/>
        </w:rPr>
        <w:t>IV. La práctica de ejercicios físicos, para lo cual el Estado promoverá la creación de espacios adecuados para ello.</w:t>
      </w:r>
    </w:p>
    <w:p w14:paraId="0BBC25F4" w14:textId="77777777" w:rsidR="005922DD" w:rsidRDefault="0089073D">
      <w:pPr>
        <w:widowControl w:val="0"/>
        <w:spacing w:after="0" w:line="360" w:lineRule="auto"/>
        <w:jc w:val="both"/>
        <w:rPr>
          <w:rFonts w:ascii="Arial" w:eastAsia="Arial" w:hAnsi="Arial" w:cs="Arial"/>
          <w:sz w:val="24"/>
          <w:szCs w:val="24"/>
        </w:rPr>
      </w:pPr>
      <w:r>
        <w:rPr>
          <w:rFonts w:ascii="Arial" w:eastAsia="Arial" w:hAnsi="Arial" w:cs="Arial"/>
          <w:sz w:val="24"/>
          <w:szCs w:val="24"/>
        </w:rPr>
        <w:t>V. La promoción de medidas preventivas que inhiban o disminuyan en general el consumo de alimentos o be</w:t>
      </w:r>
      <w:r>
        <w:rPr>
          <w:rFonts w:ascii="Arial" w:eastAsia="Arial" w:hAnsi="Arial" w:cs="Arial"/>
          <w:sz w:val="24"/>
          <w:szCs w:val="24"/>
        </w:rPr>
        <w:t xml:space="preserve">bidas con bajo contenido nutricional y excesivo </w:t>
      </w:r>
      <w:r>
        <w:rPr>
          <w:rFonts w:ascii="Arial" w:eastAsia="Arial" w:hAnsi="Arial" w:cs="Arial"/>
          <w:sz w:val="24"/>
          <w:szCs w:val="24"/>
        </w:rPr>
        <w:lastRenderedPageBreak/>
        <w:t>contenido graso, sal o azúcares, así como aditivos alimentarios.</w:t>
      </w:r>
    </w:p>
    <w:p w14:paraId="4C08B710" w14:textId="77777777" w:rsidR="005922DD" w:rsidRDefault="005922DD">
      <w:pPr>
        <w:widowControl w:val="0"/>
        <w:spacing w:after="0" w:line="360" w:lineRule="auto"/>
        <w:jc w:val="both"/>
        <w:rPr>
          <w:rFonts w:ascii="Arial" w:eastAsia="Arial" w:hAnsi="Arial" w:cs="Arial"/>
          <w:sz w:val="24"/>
          <w:szCs w:val="24"/>
        </w:rPr>
      </w:pPr>
    </w:p>
    <w:p w14:paraId="0563CE36" w14:textId="77777777" w:rsidR="005922DD" w:rsidRDefault="0089073D">
      <w:pPr>
        <w:widowControl w:val="0"/>
        <w:spacing w:after="0" w:line="360" w:lineRule="auto"/>
        <w:jc w:val="both"/>
        <w:rPr>
          <w:rFonts w:ascii="Arial" w:eastAsia="Arial" w:hAnsi="Arial" w:cs="Arial"/>
          <w:sz w:val="24"/>
          <w:szCs w:val="24"/>
        </w:rPr>
      </w:pPr>
      <w:r>
        <w:rPr>
          <w:rFonts w:ascii="Arial" w:eastAsia="Arial" w:hAnsi="Arial" w:cs="Arial"/>
          <w:sz w:val="24"/>
          <w:szCs w:val="24"/>
        </w:rPr>
        <w:t>Estas acciones estratégicas serán prioritarias a partir de la infancia, requiriendo la participación activa de los sectores educativo, público</w:t>
      </w:r>
      <w:r>
        <w:rPr>
          <w:rFonts w:ascii="Arial" w:eastAsia="Arial" w:hAnsi="Arial" w:cs="Arial"/>
          <w:sz w:val="24"/>
          <w:szCs w:val="24"/>
        </w:rPr>
        <w:t xml:space="preserve"> y privado; de la sociedad civil y la familia.</w:t>
      </w:r>
    </w:p>
    <w:p w14:paraId="60EAA896" w14:textId="77777777" w:rsidR="005922DD" w:rsidRDefault="005922DD">
      <w:pPr>
        <w:widowControl w:val="0"/>
        <w:spacing w:after="0" w:line="360" w:lineRule="auto"/>
        <w:jc w:val="both"/>
        <w:rPr>
          <w:rFonts w:ascii="Arial" w:eastAsia="Arial" w:hAnsi="Arial" w:cs="Arial"/>
          <w:sz w:val="24"/>
          <w:szCs w:val="24"/>
        </w:rPr>
      </w:pPr>
    </w:p>
    <w:p w14:paraId="25525A76" w14:textId="77777777" w:rsidR="005922DD" w:rsidRDefault="005922DD">
      <w:pPr>
        <w:spacing w:after="0" w:line="360" w:lineRule="auto"/>
        <w:jc w:val="both"/>
        <w:rPr>
          <w:rFonts w:ascii="Arial" w:eastAsia="Arial" w:hAnsi="Arial" w:cs="Arial"/>
          <w:sz w:val="24"/>
          <w:szCs w:val="24"/>
        </w:rPr>
      </w:pPr>
    </w:p>
    <w:p w14:paraId="63651DC8" w14:textId="77777777" w:rsidR="005922DD" w:rsidRDefault="0089073D">
      <w:pPr>
        <w:widowControl w:val="0"/>
        <w:spacing w:after="0" w:line="360" w:lineRule="auto"/>
        <w:jc w:val="both"/>
        <w:rPr>
          <w:rFonts w:ascii="Arial" w:eastAsia="Arial" w:hAnsi="Arial" w:cs="Arial"/>
          <w:b/>
          <w:bCs/>
          <w:sz w:val="24"/>
          <w:szCs w:val="24"/>
        </w:rPr>
      </w:pPr>
      <w:r>
        <w:rPr>
          <w:rFonts w:ascii="Arial" w:eastAsia="Arial" w:hAnsi="Arial" w:cs="Arial"/>
          <w:b/>
          <w:bCs/>
          <w:sz w:val="24"/>
          <w:szCs w:val="24"/>
        </w:rPr>
        <w:t xml:space="preserve">Artículo 189. </w:t>
      </w:r>
      <w:r>
        <w:rPr>
          <w:rFonts w:ascii="Arial" w:eastAsia="Arial" w:hAnsi="Arial" w:cs="Arial"/>
          <w:sz w:val="24"/>
          <w:szCs w:val="24"/>
        </w:rPr>
        <w:t>La promoción de hábitos saludables tiene por objeto dar a conocer, de manera amplia y permanente, los programas y estrategias de prevención y control en materia de desnutrición, obesidad, sobre</w:t>
      </w:r>
      <w:r>
        <w:rPr>
          <w:rFonts w:ascii="Arial" w:eastAsia="Arial" w:hAnsi="Arial" w:cs="Arial"/>
          <w:sz w:val="24"/>
          <w:szCs w:val="24"/>
        </w:rPr>
        <w:t>peso y trastornos de la conducta alimentaria, así como de fomento y adopción social de hábitos de alimentación y nutricionales correctos, mediante campañas informativas dirigidas a los diversos sectores de la población, teniendo como prioridad el interés s</w:t>
      </w:r>
      <w:r>
        <w:rPr>
          <w:rFonts w:ascii="Arial" w:eastAsia="Arial" w:hAnsi="Arial" w:cs="Arial"/>
          <w:sz w:val="24"/>
          <w:szCs w:val="24"/>
        </w:rPr>
        <w:t>uperior de la niñez sobre cualquier otro.</w:t>
      </w:r>
    </w:p>
    <w:p w14:paraId="39347559" w14:textId="77777777" w:rsidR="005922DD" w:rsidRDefault="0089073D">
      <w:pPr>
        <w:widowControl w:val="0"/>
        <w:spacing w:before="240" w:after="240" w:line="360" w:lineRule="auto"/>
        <w:jc w:val="both"/>
        <w:rPr>
          <w:rFonts w:ascii="Arial" w:eastAsia="Arial" w:hAnsi="Arial" w:cs="Arial"/>
          <w:b/>
          <w:bCs/>
          <w:sz w:val="24"/>
          <w:szCs w:val="24"/>
        </w:rPr>
      </w:pPr>
      <w:r>
        <w:rPr>
          <w:rFonts w:ascii="Arial" w:eastAsia="Arial" w:hAnsi="Arial" w:cs="Arial"/>
          <w:b/>
          <w:bCs/>
          <w:sz w:val="24"/>
          <w:szCs w:val="24"/>
        </w:rPr>
        <w:t>Tratándose de trastornos de la conducta alimentaria, la Secretaría, en coordinación con las autoridades educativas competentes, promoverá campañas y acciones de prevención, sensibilización y detección oportuna dirigidas especialmente a niñas, niños y adole</w:t>
      </w:r>
      <w:r>
        <w:rPr>
          <w:rFonts w:ascii="Arial" w:eastAsia="Arial" w:hAnsi="Arial" w:cs="Arial"/>
          <w:b/>
          <w:bCs/>
          <w:sz w:val="24"/>
          <w:szCs w:val="24"/>
        </w:rPr>
        <w:t>scentes.</w:t>
      </w:r>
    </w:p>
    <w:p w14:paraId="2C869C31" w14:textId="77777777" w:rsidR="005922DD" w:rsidRDefault="005922DD">
      <w:pPr>
        <w:widowControl w:val="0"/>
        <w:spacing w:after="0" w:line="360" w:lineRule="auto"/>
        <w:jc w:val="both"/>
        <w:rPr>
          <w:rFonts w:ascii="Arial" w:eastAsia="Arial" w:hAnsi="Arial" w:cs="Arial"/>
          <w:b/>
          <w:bCs/>
          <w:sz w:val="24"/>
          <w:szCs w:val="24"/>
        </w:rPr>
      </w:pPr>
    </w:p>
    <w:p w14:paraId="4322DADE" w14:textId="77777777" w:rsidR="005922DD" w:rsidRDefault="005922DD">
      <w:pPr>
        <w:widowControl w:val="0"/>
        <w:spacing w:after="0" w:line="360" w:lineRule="auto"/>
        <w:jc w:val="both"/>
        <w:rPr>
          <w:rFonts w:ascii="Arial" w:eastAsia="Arial" w:hAnsi="Arial" w:cs="Arial"/>
          <w:b/>
          <w:bCs/>
          <w:sz w:val="24"/>
          <w:szCs w:val="24"/>
        </w:rPr>
      </w:pPr>
    </w:p>
    <w:p w14:paraId="2B335309" w14:textId="77777777" w:rsidR="005922DD" w:rsidRDefault="005922DD">
      <w:pPr>
        <w:spacing w:line="360" w:lineRule="auto"/>
        <w:jc w:val="both"/>
        <w:rPr>
          <w:sz w:val="24"/>
          <w:szCs w:val="24"/>
        </w:rPr>
      </w:pPr>
    </w:p>
    <w:p w14:paraId="6B0558AF" w14:textId="77777777" w:rsidR="005922DD" w:rsidRDefault="0089073D">
      <w:pPr>
        <w:widowControl w:val="0"/>
        <w:spacing w:after="0" w:line="360" w:lineRule="auto"/>
        <w:jc w:val="both"/>
        <w:rPr>
          <w:rFonts w:ascii="Arial" w:eastAsia="Arial" w:hAnsi="Arial" w:cs="Arial"/>
          <w:sz w:val="24"/>
          <w:szCs w:val="24"/>
        </w:rPr>
      </w:pPr>
      <w:r>
        <w:rPr>
          <w:rFonts w:ascii="Arial" w:eastAsia="Arial" w:hAnsi="Arial" w:cs="Arial"/>
          <w:b/>
          <w:bCs/>
          <w:sz w:val="24"/>
          <w:szCs w:val="24"/>
        </w:rPr>
        <w:t>Artículo 240.</w:t>
      </w:r>
      <w:r>
        <w:rPr>
          <w:rFonts w:ascii="Arial" w:eastAsia="Arial" w:hAnsi="Arial" w:cs="Arial"/>
          <w:sz w:val="24"/>
          <w:szCs w:val="24"/>
        </w:rPr>
        <w:t xml:space="preserve"> El Programa de los trastornos mentales comprenderá: </w:t>
      </w:r>
    </w:p>
    <w:p w14:paraId="4728184D" w14:textId="77777777" w:rsidR="005922DD" w:rsidRDefault="005922DD">
      <w:pPr>
        <w:widowControl w:val="0"/>
        <w:spacing w:after="0" w:line="360" w:lineRule="auto"/>
        <w:jc w:val="both"/>
        <w:rPr>
          <w:rFonts w:ascii="Arial" w:eastAsia="Arial" w:hAnsi="Arial" w:cs="Arial"/>
          <w:sz w:val="24"/>
          <w:szCs w:val="24"/>
        </w:rPr>
      </w:pPr>
    </w:p>
    <w:p w14:paraId="68391D02" w14:textId="77777777" w:rsidR="005922DD" w:rsidRDefault="0089073D">
      <w:pPr>
        <w:widowControl w:val="0"/>
        <w:numPr>
          <w:ilvl w:val="0"/>
          <w:numId w:val="2"/>
        </w:numPr>
        <w:spacing w:after="0" w:line="360" w:lineRule="auto"/>
        <w:jc w:val="both"/>
        <w:rPr>
          <w:rFonts w:ascii="Arial" w:eastAsia="Arial" w:hAnsi="Arial" w:cs="Arial"/>
          <w:sz w:val="24"/>
          <w:szCs w:val="24"/>
        </w:rPr>
      </w:pPr>
      <w:r>
        <w:rPr>
          <w:rFonts w:ascii="Arial" w:eastAsia="Arial" w:hAnsi="Arial" w:cs="Arial"/>
          <w:sz w:val="24"/>
          <w:szCs w:val="24"/>
        </w:rPr>
        <w:t>a VI</w:t>
      </w:r>
    </w:p>
    <w:p w14:paraId="721ACA2A" w14:textId="77777777" w:rsidR="005922DD" w:rsidRDefault="005922DD">
      <w:pPr>
        <w:widowControl w:val="0"/>
        <w:spacing w:after="0" w:line="360" w:lineRule="auto"/>
        <w:jc w:val="both"/>
        <w:rPr>
          <w:rFonts w:ascii="Arial" w:eastAsia="Arial" w:hAnsi="Arial" w:cs="Arial"/>
          <w:sz w:val="24"/>
          <w:szCs w:val="24"/>
        </w:rPr>
      </w:pPr>
    </w:p>
    <w:p w14:paraId="08CA9171" w14:textId="77777777" w:rsidR="005922DD" w:rsidRDefault="0089073D">
      <w:pPr>
        <w:widowControl w:val="0"/>
        <w:spacing w:after="0" w:line="360" w:lineRule="auto"/>
        <w:jc w:val="both"/>
        <w:rPr>
          <w:rFonts w:ascii="Arial" w:eastAsia="Arial" w:hAnsi="Arial" w:cs="Arial"/>
          <w:sz w:val="24"/>
          <w:szCs w:val="24"/>
        </w:rPr>
      </w:pPr>
      <w:r>
        <w:rPr>
          <w:rFonts w:ascii="Arial" w:eastAsia="Arial" w:hAnsi="Arial" w:cs="Arial"/>
          <w:sz w:val="24"/>
          <w:szCs w:val="24"/>
        </w:rPr>
        <w:lastRenderedPageBreak/>
        <w:t xml:space="preserve">VII. La atención a personas con </w:t>
      </w:r>
      <w:r>
        <w:rPr>
          <w:rFonts w:ascii="Arial" w:eastAsia="Arial" w:hAnsi="Arial" w:cs="Arial"/>
          <w:b/>
          <w:bCs/>
          <w:sz w:val="24"/>
          <w:szCs w:val="24"/>
        </w:rPr>
        <w:t>trastornos de la conducta alimentaria.</w:t>
      </w:r>
    </w:p>
    <w:p w14:paraId="5E3A49FB" w14:textId="77777777" w:rsidR="005922DD" w:rsidRDefault="005922DD">
      <w:pPr>
        <w:spacing w:line="360" w:lineRule="auto"/>
        <w:jc w:val="both"/>
        <w:rPr>
          <w:rFonts w:ascii="Arial" w:eastAsia="Arial" w:hAnsi="Arial" w:cs="Arial"/>
          <w:sz w:val="24"/>
          <w:szCs w:val="24"/>
        </w:rPr>
      </w:pPr>
    </w:p>
    <w:p w14:paraId="7D350948" w14:textId="77777777" w:rsidR="005922DD" w:rsidRDefault="0089073D">
      <w:pPr>
        <w:spacing w:after="0" w:line="360" w:lineRule="auto"/>
        <w:ind w:left="1140" w:right="1480"/>
        <w:jc w:val="center"/>
        <w:rPr>
          <w:rFonts w:ascii="Arial" w:eastAsia="Arial" w:hAnsi="Arial" w:cs="Arial"/>
          <w:b/>
          <w:bCs/>
          <w:sz w:val="24"/>
          <w:szCs w:val="24"/>
        </w:rPr>
      </w:pPr>
      <w:r>
        <w:rPr>
          <w:rFonts w:ascii="Arial" w:eastAsia="Arial" w:hAnsi="Arial" w:cs="Arial"/>
          <w:b/>
          <w:bCs/>
          <w:sz w:val="24"/>
          <w:szCs w:val="24"/>
        </w:rPr>
        <w:t>TRANSITORIOS:</w:t>
      </w:r>
    </w:p>
    <w:p w14:paraId="76B20CF5" w14:textId="77777777" w:rsidR="005922DD" w:rsidRDefault="0089073D">
      <w:pPr>
        <w:spacing w:after="0" w:line="360" w:lineRule="auto"/>
        <w:ind w:left="1140" w:right="1480"/>
        <w:jc w:val="center"/>
        <w:rPr>
          <w:rFonts w:ascii="Arial" w:eastAsia="Arial" w:hAnsi="Arial" w:cs="Arial"/>
          <w:b/>
          <w:bCs/>
          <w:sz w:val="24"/>
          <w:szCs w:val="24"/>
        </w:rPr>
      </w:pPr>
      <w:r>
        <w:rPr>
          <w:rFonts w:ascii="Arial" w:eastAsia="Arial" w:hAnsi="Arial" w:cs="Arial"/>
          <w:b/>
          <w:bCs/>
          <w:sz w:val="24"/>
          <w:szCs w:val="24"/>
        </w:rPr>
        <w:t xml:space="preserve"> </w:t>
      </w:r>
    </w:p>
    <w:p w14:paraId="27A8124F" w14:textId="77777777" w:rsidR="005922DD" w:rsidRDefault="0089073D">
      <w:pPr>
        <w:spacing w:after="240" w:line="360" w:lineRule="auto"/>
        <w:jc w:val="both"/>
        <w:rPr>
          <w:rFonts w:ascii="Arial" w:eastAsia="Arial" w:hAnsi="Arial" w:cs="Arial"/>
          <w:sz w:val="24"/>
          <w:szCs w:val="24"/>
        </w:rPr>
      </w:pPr>
      <w:r>
        <w:rPr>
          <w:rFonts w:ascii="Arial" w:eastAsia="Arial" w:hAnsi="Arial" w:cs="Arial"/>
          <w:b/>
          <w:bCs/>
          <w:sz w:val="24"/>
          <w:szCs w:val="24"/>
        </w:rPr>
        <w:t xml:space="preserve">PRIMERO. – </w:t>
      </w:r>
      <w:r>
        <w:rPr>
          <w:rFonts w:ascii="Arial" w:eastAsia="Arial" w:hAnsi="Arial" w:cs="Arial"/>
          <w:sz w:val="24"/>
          <w:szCs w:val="24"/>
        </w:rPr>
        <w:t>El presente decreto entrará en vigor al día siguiente de su publicación</w:t>
      </w:r>
      <w:r>
        <w:rPr>
          <w:rFonts w:ascii="Arial" w:eastAsia="Arial" w:hAnsi="Arial" w:cs="Arial"/>
          <w:sz w:val="24"/>
          <w:szCs w:val="24"/>
        </w:rPr>
        <w:t xml:space="preserve"> en el Periódico Oficial del Estado de Chihuahua.</w:t>
      </w:r>
    </w:p>
    <w:p w14:paraId="75D32B8D" w14:textId="77777777" w:rsidR="005922DD" w:rsidRDefault="0089073D">
      <w:pPr>
        <w:spacing w:before="160" w:after="0" w:line="360" w:lineRule="auto"/>
        <w:ind w:right="120"/>
        <w:jc w:val="both"/>
        <w:rPr>
          <w:rFonts w:ascii="Arial" w:eastAsia="Arial" w:hAnsi="Arial" w:cs="Arial"/>
          <w:sz w:val="24"/>
          <w:szCs w:val="24"/>
        </w:rPr>
      </w:pPr>
      <w:r>
        <w:rPr>
          <w:rFonts w:ascii="Arial" w:eastAsia="Arial" w:hAnsi="Arial" w:cs="Arial"/>
          <w:b/>
          <w:bCs/>
          <w:sz w:val="24"/>
          <w:szCs w:val="24"/>
        </w:rPr>
        <w:t xml:space="preserve">ECONÓMICO. - </w:t>
      </w:r>
      <w:r>
        <w:rPr>
          <w:rFonts w:ascii="Arial" w:eastAsia="Arial" w:hAnsi="Arial" w:cs="Arial"/>
          <w:sz w:val="24"/>
          <w:szCs w:val="24"/>
        </w:rPr>
        <w:t>Aprobado que sea, túrnese a la Secretaría para que elabore la minuta de Decreto correspondiente.</w:t>
      </w:r>
    </w:p>
    <w:p w14:paraId="413AABAC" w14:textId="77777777" w:rsidR="005922DD" w:rsidRDefault="0089073D">
      <w:pPr>
        <w:spacing w:before="160" w:after="240" w:line="360" w:lineRule="auto"/>
        <w:jc w:val="both"/>
        <w:rPr>
          <w:rFonts w:ascii="Arial" w:eastAsia="Arial" w:hAnsi="Arial" w:cs="Arial"/>
          <w:sz w:val="24"/>
          <w:szCs w:val="24"/>
        </w:rPr>
      </w:pPr>
      <w:r>
        <w:rPr>
          <w:rFonts w:ascii="Arial" w:eastAsia="Arial" w:hAnsi="Arial" w:cs="Arial"/>
          <w:b/>
          <w:bCs/>
          <w:sz w:val="24"/>
          <w:szCs w:val="24"/>
        </w:rPr>
        <w:t xml:space="preserve">DADO. - </w:t>
      </w:r>
      <w:r>
        <w:rPr>
          <w:rFonts w:ascii="Arial" w:eastAsia="Arial" w:hAnsi="Arial" w:cs="Arial"/>
          <w:sz w:val="24"/>
          <w:szCs w:val="24"/>
        </w:rPr>
        <w:t xml:space="preserve">En el Salón de Sesiones del Poder Legislativo a los 5 días del mes de </w:t>
      </w:r>
      <w:proofErr w:type="gramStart"/>
      <w:r>
        <w:rPr>
          <w:rFonts w:ascii="Arial" w:eastAsia="Arial" w:hAnsi="Arial" w:cs="Arial"/>
          <w:sz w:val="24"/>
          <w:szCs w:val="24"/>
        </w:rPr>
        <w:t>octubre  del</w:t>
      </w:r>
      <w:proofErr w:type="gramEnd"/>
      <w:r>
        <w:rPr>
          <w:rFonts w:ascii="Arial" w:eastAsia="Arial" w:hAnsi="Arial" w:cs="Arial"/>
          <w:sz w:val="24"/>
          <w:szCs w:val="24"/>
        </w:rPr>
        <w:t xml:space="preserve"> año d</w:t>
      </w:r>
      <w:r>
        <w:rPr>
          <w:rFonts w:ascii="Arial" w:eastAsia="Arial" w:hAnsi="Arial" w:cs="Arial"/>
          <w:sz w:val="24"/>
          <w:szCs w:val="24"/>
        </w:rPr>
        <w:t>os mil veintiséis.</w:t>
      </w:r>
    </w:p>
    <w:p w14:paraId="02D8AB3F" w14:textId="77777777" w:rsidR="005922DD" w:rsidRDefault="005922DD">
      <w:pPr>
        <w:spacing w:before="160" w:after="240" w:line="360" w:lineRule="auto"/>
        <w:jc w:val="both"/>
        <w:rPr>
          <w:rFonts w:ascii="Arial" w:eastAsia="Arial" w:hAnsi="Arial" w:cs="Arial"/>
          <w:sz w:val="24"/>
          <w:szCs w:val="24"/>
        </w:rPr>
      </w:pPr>
    </w:p>
    <w:p w14:paraId="4D2E477C" w14:textId="77777777" w:rsidR="005922DD" w:rsidRDefault="0089073D">
      <w:pPr>
        <w:spacing w:before="240" w:after="240" w:line="360" w:lineRule="auto"/>
        <w:jc w:val="center"/>
        <w:rPr>
          <w:rFonts w:ascii="Arial" w:eastAsia="Arial" w:hAnsi="Arial" w:cs="Arial"/>
          <w:b/>
          <w:bCs/>
          <w:sz w:val="24"/>
          <w:szCs w:val="24"/>
        </w:rPr>
      </w:pPr>
      <w:r>
        <w:rPr>
          <w:rFonts w:ascii="Arial" w:eastAsia="Arial" w:hAnsi="Arial" w:cs="Arial"/>
          <w:b/>
          <w:bCs/>
          <w:sz w:val="24"/>
          <w:szCs w:val="24"/>
        </w:rPr>
        <w:t xml:space="preserve">ATENTAMENTE  </w:t>
      </w:r>
    </w:p>
    <w:p w14:paraId="0379315A" w14:textId="77777777" w:rsidR="005922DD" w:rsidRDefault="005922DD">
      <w:pPr>
        <w:spacing w:before="240" w:after="240" w:line="360" w:lineRule="auto"/>
        <w:jc w:val="center"/>
        <w:rPr>
          <w:rFonts w:ascii="Arial" w:eastAsia="Arial" w:hAnsi="Arial" w:cs="Arial"/>
          <w:b/>
          <w:bCs/>
          <w:sz w:val="24"/>
          <w:szCs w:val="24"/>
        </w:rPr>
      </w:pPr>
    </w:p>
    <w:p w14:paraId="5B66F0E2" w14:textId="77777777" w:rsidR="005922DD" w:rsidRDefault="005922DD">
      <w:pPr>
        <w:spacing w:before="240" w:after="240" w:line="360" w:lineRule="auto"/>
        <w:jc w:val="center"/>
        <w:rPr>
          <w:rFonts w:ascii="Arial" w:eastAsia="Arial" w:hAnsi="Arial" w:cs="Arial"/>
          <w:b/>
          <w:bCs/>
          <w:sz w:val="24"/>
          <w:szCs w:val="24"/>
        </w:rPr>
      </w:pPr>
    </w:p>
    <w:p w14:paraId="1733E7DE" w14:textId="77777777" w:rsidR="005922DD" w:rsidRDefault="0089073D">
      <w:pPr>
        <w:spacing w:before="240" w:after="240" w:line="360" w:lineRule="auto"/>
        <w:rPr>
          <w:rFonts w:ascii="Arial" w:eastAsia="Arial" w:hAnsi="Arial" w:cs="Arial"/>
          <w:b/>
          <w:bCs/>
          <w:sz w:val="24"/>
          <w:szCs w:val="24"/>
        </w:rPr>
      </w:pPr>
      <w:r>
        <w:rPr>
          <w:rFonts w:ascii="Arial" w:eastAsia="Arial" w:hAnsi="Arial" w:cs="Arial"/>
          <w:b/>
          <w:bCs/>
          <w:sz w:val="24"/>
          <w:szCs w:val="24"/>
        </w:rPr>
        <w:t xml:space="preserve">                        DIP. IRLANDA DOMINIQUE MARQUEZ NOLASCO</w:t>
      </w:r>
    </w:p>
    <w:p w14:paraId="3D52FA5A" w14:textId="77777777" w:rsidR="005922DD" w:rsidRDefault="0089073D">
      <w:pPr>
        <w:spacing w:before="240" w:after="240" w:line="360" w:lineRule="auto"/>
        <w:jc w:val="center"/>
        <w:rPr>
          <w:rFonts w:ascii="Arial" w:eastAsia="Arial" w:hAnsi="Arial" w:cs="Arial"/>
          <w:sz w:val="24"/>
          <w:szCs w:val="24"/>
        </w:rPr>
      </w:pPr>
      <w:r>
        <w:rPr>
          <w:rFonts w:ascii="Arial" w:eastAsia="Arial" w:hAnsi="Arial" w:cs="Arial"/>
          <w:b/>
          <w:bCs/>
          <w:sz w:val="24"/>
          <w:szCs w:val="24"/>
        </w:rPr>
        <w:t>REPRESENTANTE DEL PARTIDO DEL TRABAJO</w:t>
      </w:r>
    </w:p>
    <w:sectPr w:rsidR="005922DD">
      <w:headerReference w:type="default" r:id="rId8"/>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8BEB4" w14:textId="77777777" w:rsidR="00000000" w:rsidRDefault="0089073D">
      <w:pPr>
        <w:spacing w:after="0" w:line="240" w:lineRule="auto"/>
      </w:pPr>
      <w:r>
        <w:separator/>
      </w:r>
    </w:p>
  </w:endnote>
  <w:endnote w:type="continuationSeparator" w:id="0">
    <w:p w14:paraId="79157F15" w14:textId="77777777" w:rsidR="00000000" w:rsidRDefault="00890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5352A79-7665-4BCE-937C-FFCB281898A1}"/>
    <w:embedBold r:id="rId2" w:fontKey="{381B5BA0-656A-46A1-B934-AE2A16DD379B}"/>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3" w:fontKey="{BB7209B5-D9CF-4360-BCB1-5FAD76FF30AB}"/>
  </w:font>
  <w:font w:name="Calibri Light">
    <w:panose1 w:val="020F0302020204030204"/>
    <w:charset w:val="00"/>
    <w:family w:val="swiss"/>
    <w:pitch w:val="variable"/>
    <w:sig w:usb0="E4002EFF" w:usb1="C200247B" w:usb2="00000009" w:usb3="00000000" w:csb0="000001FF" w:csb1="00000000"/>
    <w:embedRegular r:id="rId4" w:fontKey="{6697ED78-B592-4500-BE76-A4F27F834F0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B2C35" w14:textId="77777777" w:rsidR="00000000" w:rsidRDefault="0089073D">
      <w:pPr>
        <w:spacing w:after="0" w:line="240" w:lineRule="auto"/>
      </w:pPr>
      <w:r>
        <w:separator/>
      </w:r>
    </w:p>
  </w:footnote>
  <w:footnote w:type="continuationSeparator" w:id="0">
    <w:p w14:paraId="7C05CA14" w14:textId="77777777" w:rsidR="00000000" w:rsidRDefault="0089073D">
      <w:pPr>
        <w:spacing w:after="0" w:line="240" w:lineRule="auto"/>
      </w:pPr>
      <w:r>
        <w:continuationSeparator/>
      </w:r>
    </w:p>
  </w:footnote>
  <w:footnote w:id="1">
    <w:p w14:paraId="08291652" w14:textId="77777777" w:rsidR="005922DD" w:rsidRDefault="0089073D">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(La salud mental de los adolescentes, 2025)</w:t>
      </w:r>
    </w:p>
  </w:footnote>
  <w:footnote w:id="2">
    <w:p w14:paraId="2B49F592" w14:textId="77777777" w:rsidR="005922DD" w:rsidRDefault="0089073D">
      <w:pPr>
        <w:spacing w:after="0" w:line="240" w:lineRule="auto"/>
        <w:rPr>
          <w:sz w:val="20"/>
          <w:szCs w:val="20"/>
        </w:rPr>
      </w:pPr>
      <w:r>
        <w:rPr>
          <w:vertAlign w:val="superscript"/>
        </w:rPr>
        <w:footnoteRef/>
      </w:r>
      <w:r>
        <w:rPr>
          <w:sz w:val="20"/>
          <w:szCs w:val="20"/>
        </w:rPr>
        <w:t xml:space="preserve"> </w:t>
      </w:r>
      <w:hyperlink r:id="rId1">
        <w:r>
          <w:rPr>
            <w:color w:val="1155CC"/>
            <w:sz w:val="20"/>
            <w:szCs w:val="20"/>
            <w:u w:val="single"/>
          </w:rPr>
          <w:t>https://www.gaceta.unam.mx/el-25-de-los-adolescentes-tiene-desordenes-alimentarios/</w:t>
        </w:r>
      </w:hyperlink>
      <w:r>
        <w:rPr>
          <w:sz w:val="20"/>
          <w:szCs w:val="20"/>
        </w:rPr>
        <w:t xml:space="preserve"> </w:t>
      </w:r>
    </w:p>
  </w:footnote>
  <w:footnote w:id="3">
    <w:p w14:paraId="4F5EBB34" w14:textId="77777777" w:rsidR="005922DD" w:rsidRDefault="0089073D">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(Secretaria de Salud, 2023)</w:t>
      </w:r>
    </w:p>
  </w:footnote>
  <w:footnote w:id="4">
    <w:p w14:paraId="00409994" w14:textId="77777777" w:rsidR="005922DD" w:rsidRDefault="0089073D">
      <w:pPr>
        <w:spacing w:after="0" w:line="240" w:lineRule="auto"/>
        <w:rPr>
          <w:sz w:val="20"/>
          <w:szCs w:val="20"/>
        </w:rPr>
      </w:pPr>
      <w:r>
        <w:rPr>
          <w:vertAlign w:val="superscript"/>
        </w:rPr>
        <w:footnoteRef/>
      </w:r>
      <w:r>
        <w:rPr>
          <w:sz w:val="20"/>
          <w:szCs w:val="20"/>
        </w:rPr>
        <w:t xml:space="preserve"> </w:t>
      </w:r>
      <w:hyperlink r:id="rId2">
        <w:r>
          <w:rPr>
            <w:color w:val="1155CC"/>
            <w:sz w:val="20"/>
            <w:szCs w:val="20"/>
            <w:u w:val="single"/>
          </w:rPr>
          <w:t>https://www.msdmanuals.com/es/professional/trastornos-psiqui%C3%A1tricos/trastornos</w:t>
        </w:r>
        <w:r>
          <w:rPr>
            <w:color w:val="1155CC"/>
            <w:sz w:val="20"/>
            <w:szCs w:val="20"/>
            <w:u w:val="single"/>
          </w:rPr>
          <w:t>-de-la-alimentaci%C3%B3n-y-de-la-ingesta-de-alimentos/anorexia-nerviosa</w:t>
        </w:r>
      </w:hyperlink>
    </w:p>
    <w:p w14:paraId="49507485" w14:textId="77777777" w:rsidR="005922DD" w:rsidRDefault="005922DD">
      <w:pPr>
        <w:spacing w:after="0" w:line="240" w:lineRule="auto"/>
        <w:rPr>
          <w:sz w:val="20"/>
          <w:szCs w:val="20"/>
        </w:rPr>
      </w:pPr>
    </w:p>
  </w:footnote>
  <w:footnote w:id="5">
    <w:p w14:paraId="2E92DD2C" w14:textId="77777777" w:rsidR="005922DD" w:rsidRDefault="0089073D">
      <w:pPr>
        <w:spacing w:after="0" w:line="240" w:lineRule="auto"/>
        <w:rPr>
          <w:sz w:val="20"/>
          <w:szCs w:val="20"/>
        </w:rPr>
      </w:pPr>
      <w:r>
        <w:rPr>
          <w:vertAlign w:val="superscript"/>
        </w:rPr>
        <w:footnoteRef/>
      </w:r>
      <w:r>
        <w:rPr>
          <w:sz w:val="20"/>
          <w:szCs w:val="20"/>
        </w:rPr>
        <w:t xml:space="preserve"> </w:t>
      </w:r>
      <w:hyperlink r:id="rId3">
        <w:r>
          <w:rPr>
            <w:color w:val="1155CC"/>
            <w:sz w:val="20"/>
            <w:szCs w:val="20"/>
            <w:u w:val="single"/>
          </w:rPr>
          <w:t>https://www.gob.mx/conasama/articulos/trastornos-alimenticios</w:t>
        </w:r>
      </w:hyperlink>
      <w:r>
        <w:rPr>
          <w:sz w:val="20"/>
          <w:szCs w:val="20"/>
        </w:rPr>
        <w:t xml:space="preserve"> </w:t>
      </w:r>
    </w:p>
  </w:footnote>
  <w:footnote w:id="6">
    <w:p w14:paraId="533BB474" w14:textId="77777777" w:rsidR="005922DD" w:rsidRDefault="0089073D">
      <w:pPr>
        <w:spacing w:after="0" w:line="240" w:lineRule="auto"/>
        <w:rPr>
          <w:sz w:val="20"/>
          <w:szCs w:val="20"/>
        </w:rPr>
      </w:pPr>
      <w:r>
        <w:rPr>
          <w:vertAlign w:val="superscript"/>
        </w:rPr>
        <w:footnoteRef/>
      </w:r>
      <w:r>
        <w:rPr>
          <w:sz w:val="20"/>
          <w:szCs w:val="20"/>
        </w:rPr>
        <w:t xml:space="preserve"> </w:t>
      </w:r>
      <w:hyperlink r:id="rId4">
        <w:r>
          <w:rPr>
            <w:color w:val="1155CC"/>
            <w:sz w:val="20"/>
            <w:szCs w:val="20"/>
            <w:u w:val="single"/>
          </w:rPr>
          <w:t>https://www.gob.mx/conasama/articulos/trastornos-alimenticios</w:t>
        </w:r>
      </w:hyperlink>
    </w:p>
    <w:p w14:paraId="3486AD51" w14:textId="77777777" w:rsidR="005922DD" w:rsidRDefault="005922DD">
      <w:pPr>
        <w:spacing w:after="0"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CAE33" w14:textId="77777777" w:rsidR="005922DD" w:rsidRDefault="0089073D">
    <w:pPr>
      <w:tabs>
        <w:tab w:val="center" w:pos="4680"/>
        <w:tab w:val="right" w:pos="9360"/>
      </w:tabs>
      <w:spacing w:before="240" w:after="240" w:line="240" w:lineRule="auto"/>
      <w:jc w:val="right"/>
      <w:rPr>
        <w:rFonts w:ascii="Arial" w:eastAsia="Arial" w:hAnsi="Arial" w:cs="Arial"/>
        <w:i/>
        <w:iCs/>
      </w:rPr>
    </w:pPr>
    <w:r>
      <w:rPr>
        <w:rFonts w:ascii="Arial" w:eastAsia="Arial" w:hAnsi="Arial" w:cs="Arial"/>
        <w:i/>
        <w:iCs/>
      </w:rPr>
      <w:t>“2026, Año del Bicentenario de la abolición de la esclavitud en el Estado de Chihuahua”</w:t>
    </w:r>
  </w:p>
  <w:p w14:paraId="2CD39D84" w14:textId="77777777" w:rsidR="005922DD" w:rsidRDefault="005922DD"/>
  <w:p w14:paraId="4D4E9344" w14:textId="77777777" w:rsidR="005922DD" w:rsidRDefault="005922DD"/>
  <w:p w14:paraId="5A746806" w14:textId="77777777" w:rsidR="005922DD" w:rsidRDefault="005922DD"/>
  <w:p w14:paraId="3EC7A398" w14:textId="77777777" w:rsidR="005922DD" w:rsidRDefault="005922D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F00AC"/>
    <w:multiLevelType w:val="multilevel"/>
    <w:tmpl w:val="E70400F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0D51E0C"/>
    <w:multiLevelType w:val="multilevel"/>
    <w:tmpl w:val="B874C89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C0B4127"/>
    <w:multiLevelType w:val="multilevel"/>
    <w:tmpl w:val="8730A5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0CF5BFE"/>
    <w:multiLevelType w:val="multilevel"/>
    <w:tmpl w:val="F0046A5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2DD"/>
    <w:rsid w:val="005922DD"/>
    <w:rsid w:val="0089073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B3798"/>
  <w15:docId w15:val="{A145C32D-350C-4EA8-B08D-816D82539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unhideWhenUsed/>
    <w:qFormat/>
    <w:pPr>
      <w:keepNext/>
      <w:keepLines/>
      <w:spacing w:before="360" w:after="80"/>
      <w:outlineLvl w:val="1"/>
    </w:pPr>
    <w:rPr>
      <w:b/>
      <w:bCs/>
      <w:sz w:val="36"/>
      <w:szCs w:val="36"/>
    </w:rPr>
  </w:style>
  <w:style w:type="paragraph" w:styleId="Ttulo3">
    <w:name w:val="heading 3"/>
    <w:basedOn w:val="Normal"/>
    <w:next w:val="Normal"/>
    <w:uiPriority w:val="9"/>
    <w:unhideWhenUsed/>
    <w:qFormat/>
    <w:pPr>
      <w:keepNext/>
      <w:keepLines/>
      <w:spacing w:before="320" w:after="80" w:line="276" w:lineRule="auto"/>
      <w:outlineLvl w:val="2"/>
    </w:pPr>
    <w:rPr>
      <w:rFonts w:ascii="Arial" w:eastAsia="Arial" w:hAnsi="Arial" w:cs="Arial"/>
      <w:color w:val="434343"/>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Ttulo3Car">
    <w:name w:val="Título 3 Car"/>
    <w:basedOn w:val="Fuentedeprrafopredeter"/>
    <w:uiPriority w:val="9"/>
    <w:rsid w:val="00CA0F67"/>
    <w:rPr>
      <w:rFonts w:ascii="Arial" w:eastAsia="Arial" w:hAnsi="Arial" w:cs="Arial"/>
      <w:color w:val="434343"/>
      <w:sz w:val="28"/>
      <w:szCs w:val="28"/>
      <w:lang w:val="es-419" w:eastAsia="es-MX"/>
    </w:rPr>
  </w:style>
  <w:style w:type="table" w:styleId="Tablaconcuadrcula">
    <w:name w:val="Table Grid"/>
    <w:basedOn w:val="Tablanormal"/>
    <w:uiPriority w:val="39"/>
    <w:rsid w:val="00CA0F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A0F67"/>
    <w:pPr>
      <w:ind w:left="720"/>
      <w:contextualSpacing/>
    </w:pPr>
  </w:style>
  <w:style w:type="table" w:customStyle="1" w:styleId="2">
    <w:name w:val="2"/>
    <w:basedOn w:val="TableNormal0"/>
    <w:tblPr>
      <w:tblStyleRowBandSize w:val="1"/>
      <w:tblStyleColBandSize w:val="1"/>
    </w:tblPr>
  </w:style>
  <w:style w:type="table" w:customStyle="1" w:styleId="1">
    <w:name w:val="1"/>
    <w:basedOn w:val="TableNormal0"/>
    <w:tblPr>
      <w:tblStyleRowBandSize w:val="1"/>
      <w:tblStyleColBandSize w:val="1"/>
    </w:tblPr>
  </w:style>
  <w:style w:type="paragraph" w:styleId="Textonotapie">
    <w:name w:val="footnote text"/>
    <w:basedOn w:val="Normal"/>
    <w:link w:val="TextonotapieCar"/>
    <w:uiPriority w:val="99"/>
    <w:semiHidden/>
    <w:unhideWhenUsed/>
    <w:rsid w:val="003F012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F0120"/>
    <w:rPr>
      <w:sz w:val="20"/>
      <w:szCs w:val="20"/>
    </w:rPr>
  </w:style>
  <w:style w:type="character" w:styleId="Refdenotaalpie">
    <w:name w:val="footnote reference"/>
    <w:basedOn w:val="Fuentedeprrafopredeter"/>
    <w:uiPriority w:val="99"/>
    <w:semiHidden/>
    <w:unhideWhenUsed/>
    <w:rsid w:val="003F0120"/>
    <w:rPr>
      <w:vertAlign w:val="superscript"/>
    </w:rPr>
  </w:style>
  <w:style w:type="character" w:styleId="Hipervnculo">
    <w:name w:val="Hyperlink"/>
    <w:basedOn w:val="Fuentedeprrafopredeter"/>
    <w:uiPriority w:val="99"/>
    <w:semiHidden/>
    <w:unhideWhenUsed/>
    <w:rsid w:val="0051652B"/>
    <w:rPr>
      <w:color w:val="0000FF"/>
      <w:u w:val="single"/>
    </w:rPr>
  </w:style>
  <w:style w:type="character" w:customStyle="1" w:styleId="google-anno-t">
    <w:name w:val="google-anno-t"/>
    <w:basedOn w:val="Fuentedeprrafopredeter"/>
    <w:rsid w:val="0051652B"/>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gob.mx/conasama/articulos/trastornos-alimenticios" TargetMode="External"/><Relationship Id="rId2" Type="http://schemas.openxmlformats.org/officeDocument/2006/relationships/hyperlink" Target="https://www.msdmanuals.com/es/professional/trastornos-psiqui%C3%A1tricos/trastornos-de-la-alimentaci%C3%B3n-y-de-la-ingesta-de-alimentos/anorexia-nerviosa" TargetMode="External"/><Relationship Id="rId1" Type="http://schemas.openxmlformats.org/officeDocument/2006/relationships/hyperlink" Target="https://www.gaceta.unam.mx/el-25-de-los-adolescentes-tiene-desordenes-alimentarios/" TargetMode="External"/><Relationship Id="rId4" Type="http://schemas.openxmlformats.org/officeDocument/2006/relationships/hyperlink" Target="https://www.gob.mx/conasama/articulos/trastornos-alimentici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WmG/JyiD8FaVclo1vgKt6EsUg==">CgMxLjAaHwoBMBIaChgICVIUChJ0YWJsZS4zdW5icGVmdzA1ZWEyDmgudjh0eWF2dHI4b2hlOAByITE2cHZPTWxndGc2YXlENlBEOHVuOEVXN19pWUViN1VZVA==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2388</Words>
  <Characters>13137</Characters>
  <Application>Microsoft Office Word</Application>
  <DocSecurity>0</DocSecurity>
  <Lines>109</Lines>
  <Paragraphs>30</Paragraphs>
  <ScaleCrop>false</ScaleCrop>
  <Company/>
  <LinksUpToDate>false</LinksUpToDate>
  <CharactersWithSpaces>15495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Andrea Daniela Flores Chacon</cp:lastModifiedBy>
  <cp:revision>2</cp:revision>
  <dcterms:created xsi:type="dcterms:W3CDTF">2026-10-05T16:18:00Z</dcterms:created>
  <dcterms:modified xsi:type="dcterms:W3CDTF">2026-10-05T16:18:00Z</dcterms:modified>
</cp:coreProperties>
</file>