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8E73E" w14:textId="77777777" w:rsidR="007B279E" w:rsidRDefault="007B279E">
      <w:pPr>
        <w:pBdr>
          <w:top w:val="nil"/>
          <w:left w:val="nil"/>
          <w:bottom w:val="nil"/>
          <w:right w:val="nil"/>
          <w:between w:val="nil"/>
        </w:pBdr>
        <w:spacing w:after="0" w:line="360" w:lineRule="auto"/>
        <w:jc w:val="both"/>
        <w:rPr>
          <w:rFonts w:ascii="Century Gothic" w:eastAsia="Century Gothic" w:hAnsi="Century Gothic" w:cs="Century Gothic"/>
          <w:b/>
          <w:bCs/>
          <w:color w:val="000000"/>
          <w:sz w:val="26"/>
          <w:szCs w:val="26"/>
        </w:rPr>
      </w:pPr>
    </w:p>
    <w:p w14:paraId="3F5BE9E6" w14:textId="77777777" w:rsidR="007B279E" w:rsidRDefault="0019237C">
      <w:pPr>
        <w:spacing w:line="276" w:lineRule="auto"/>
        <w:jc w:val="both"/>
        <w:rPr>
          <w:rFonts w:ascii="Century Gothic" w:eastAsia="Century Gothic" w:hAnsi="Century Gothic" w:cs="Century Gothic"/>
          <w:sz w:val="26"/>
          <w:szCs w:val="26"/>
        </w:rPr>
      </w:pPr>
      <w:r>
        <w:rPr>
          <w:rFonts w:ascii="Century Gothic" w:eastAsia="Century Gothic" w:hAnsi="Century Gothic" w:cs="Century Gothic"/>
          <w:b/>
          <w:bCs/>
          <w:color w:val="000000"/>
          <w:sz w:val="26"/>
          <w:szCs w:val="26"/>
        </w:rPr>
        <w:t xml:space="preserve">INICIATIVA CON </w:t>
      </w:r>
      <w:r>
        <w:rPr>
          <w:rFonts w:ascii="Century Gothic" w:eastAsia="Century Gothic" w:hAnsi="Century Gothic" w:cs="Century Gothic"/>
          <w:b/>
          <w:bCs/>
          <w:sz w:val="26"/>
          <w:szCs w:val="26"/>
        </w:rPr>
        <w:t>CARÁCTER</w:t>
      </w:r>
      <w:r>
        <w:rPr>
          <w:rFonts w:ascii="Century Gothic" w:eastAsia="Century Gothic" w:hAnsi="Century Gothic" w:cs="Century Gothic"/>
          <w:b/>
          <w:bCs/>
          <w:color w:val="000000"/>
          <w:sz w:val="26"/>
          <w:szCs w:val="26"/>
        </w:rPr>
        <w:t xml:space="preserve"> DE DECRETO POR EL QUE SE </w:t>
      </w:r>
      <w:r>
        <w:rPr>
          <w:rFonts w:ascii="Century Gothic" w:eastAsia="Century Gothic" w:hAnsi="Century Gothic" w:cs="Century Gothic"/>
          <w:b/>
          <w:bCs/>
          <w:sz w:val="26"/>
          <w:szCs w:val="26"/>
        </w:rPr>
        <w:t>ADICIONA EL ARTÍCULO 15 BIS DE LA LEY DE PREVENCIÓN, ATENCIÓN Y POSVENCIÓN DEL SUICIDIO DEL ESTADO DE CHIHUAHUA, EN MATERIA DE ORIENTACIÓN Y ACOMPAÑAMIENTO A LAS FAMILIAS POSTERIOR A UN INTENTO DE SUICIDIO.</w:t>
      </w:r>
    </w:p>
    <w:p w14:paraId="4428F51F" w14:textId="77777777" w:rsidR="007B279E" w:rsidRDefault="0019237C">
      <w:pPr>
        <w:pBdr>
          <w:top w:val="nil"/>
          <w:left w:val="nil"/>
          <w:bottom w:val="nil"/>
          <w:right w:val="nil"/>
          <w:between w:val="nil"/>
        </w:pBdr>
        <w:spacing w:after="0" w:line="360" w:lineRule="auto"/>
        <w:jc w:val="both"/>
        <w:rPr>
          <w:rFonts w:ascii="Century Gothic" w:eastAsia="Century Gothic" w:hAnsi="Century Gothic" w:cs="Century Gothic"/>
          <w:b/>
          <w:bCs/>
          <w:color w:val="000000"/>
          <w:sz w:val="26"/>
          <w:szCs w:val="26"/>
        </w:rPr>
      </w:pPr>
      <w:r>
        <w:rPr>
          <w:rFonts w:ascii="Century Gothic" w:eastAsia="Century Gothic" w:hAnsi="Century Gothic" w:cs="Century Gothic"/>
          <w:b/>
          <w:bCs/>
          <w:color w:val="000000"/>
          <w:sz w:val="26"/>
          <w:szCs w:val="26"/>
        </w:rPr>
        <w:t>H. CONGRESO DEL ESTADO DE CHIHUAHUA</w:t>
      </w:r>
    </w:p>
    <w:p w14:paraId="7250748F" w14:textId="77777777" w:rsidR="007B279E" w:rsidRDefault="0019237C">
      <w:pPr>
        <w:pBdr>
          <w:top w:val="nil"/>
          <w:left w:val="nil"/>
          <w:bottom w:val="nil"/>
          <w:right w:val="nil"/>
          <w:between w:val="nil"/>
        </w:pBdr>
        <w:spacing w:after="0" w:line="360" w:lineRule="auto"/>
        <w:jc w:val="both"/>
        <w:rPr>
          <w:rFonts w:ascii="Century Gothic" w:eastAsia="Century Gothic" w:hAnsi="Century Gothic" w:cs="Century Gothic"/>
          <w:b/>
          <w:bCs/>
          <w:color w:val="000000"/>
          <w:sz w:val="26"/>
          <w:szCs w:val="26"/>
        </w:rPr>
      </w:pPr>
      <w:r>
        <w:rPr>
          <w:rFonts w:ascii="Century Gothic" w:eastAsia="Century Gothic" w:hAnsi="Century Gothic" w:cs="Century Gothic"/>
          <w:b/>
          <w:bCs/>
          <w:color w:val="000000"/>
          <w:sz w:val="26"/>
          <w:szCs w:val="26"/>
        </w:rPr>
        <w:t>PRESENTE. –</w:t>
      </w:r>
    </w:p>
    <w:p w14:paraId="13948B09" w14:textId="77777777" w:rsidR="007B279E" w:rsidRDefault="007B279E">
      <w:pPr>
        <w:pBdr>
          <w:top w:val="nil"/>
          <w:left w:val="nil"/>
          <w:bottom w:val="nil"/>
          <w:right w:val="nil"/>
          <w:between w:val="nil"/>
        </w:pBdr>
        <w:spacing w:after="0" w:line="360" w:lineRule="auto"/>
        <w:ind w:firstLine="709"/>
        <w:jc w:val="both"/>
        <w:rPr>
          <w:rFonts w:ascii="Century Gothic" w:eastAsia="Century Gothic" w:hAnsi="Century Gothic" w:cs="Century Gothic"/>
          <w:color w:val="000000"/>
          <w:sz w:val="26"/>
          <w:szCs w:val="26"/>
        </w:rPr>
      </w:pPr>
    </w:p>
    <w:p w14:paraId="44A6A020" w14:textId="77777777" w:rsidR="007B279E" w:rsidRDefault="0019237C">
      <w:pPr>
        <w:pBdr>
          <w:top w:val="nil"/>
          <w:left w:val="nil"/>
          <w:bottom w:val="nil"/>
          <w:right w:val="nil"/>
          <w:between w:val="nil"/>
        </w:pBdr>
        <w:spacing w:after="0" w:line="276" w:lineRule="auto"/>
        <w:ind w:firstLine="709"/>
        <w:jc w:val="both"/>
        <w:rPr>
          <w:rFonts w:ascii="Century Gothic" w:eastAsia="Century Gothic" w:hAnsi="Century Gothic" w:cs="Century Gothic"/>
          <w:b/>
          <w:bCs/>
          <w:color w:val="000000"/>
          <w:sz w:val="26"/>
          <w:szCs w:val="26"/>
        </w:rPr>
      </w:pPr>
      <w:r>
        <w:rPr>
          <w:rFonts w:ascii="Century Gothic" w:eastAsia="Century Gothic" w:hAnsi="Century Gothic" w:cs="Century Gothic"/>
          <w:color w:val="000000"/>
          <w:sz w:val="26"/>
          <w:szCs w:val="26"/>
        </w:rPr>
        <w:t xml:space="preserve">La suscrita </w:t>
      </w:r>
      <w:r>
        <w:rPr>
          <w:rFonts w:ascii="Century Gothic" w:eastAsia="Century Gothic" w:hAnsi="Century Gothic" w:cs="Century Gothic"/>
          <w:b/>
          <w:bCs/>
          <w:color w:val="000000"/>
          <w:sz w:val="26"/>
          <w:szCs w:val="26"/>
        </w:rPr>
        <w:t>JOCELINE VEGA VARGAS,</w:t>
      </w:r>
      <w:r>
        <w:rPr>
          <w:rFonts w:ascii="Century Gothic" w:eastAsia="Century Gothic" w:hAnsi="Century Gothic" w:cs="Century Gothic"/>
          <w:color w:val="000000"/>
          <w:sz w:val="26"/>
          <w:szCs w:val="26"/>
        </w:rPr>
        <w:t xml:space="preserve"> en mi carácter de diputada de la </w:t>
      </w:r>
      <w:r>
        <w:rPr>
          <w:rFonts w:ascii="Century Gothic" w:eastAsia="Century Gothic" w:hAnsi="Century Gothic" w:cs="Century Gothic"/>
          <w:b/>
          <w:bCs/>
          <w:color w:val="000000"/>
          <w:sz w:val="26"/>
          <w:szCs w:val="26"/>
        </w:rPr>
        <w:t>SEXAGÉSIMA OCTAVA LEGISLATURA DEL H. CONGRESO DEL ESTADO DE CHIHUAHUA</w:t>
      </w:r>
      <w:r>
        <w:rPr>
          <w:rFonts w:ascii="Century Gothic" w:eastAsia="Century Gothic" w:hAnsi="Century Gothic" w:cs="Century Gothic"/>
          <w:color w:val="000000"/>
          <w:sz w:val="26"/>
          <w:szCs w:val="26"/>
        </w:rPr>
        <w:t xml:space="preserve">, integrante del </w:t>
      </w:r>
      <w:r>
        <w:rPr>
          <w:rFonts w:ascii="Century Gothic" w:eastAsia="Century Gothic" w:hAnsi="Century Gothic" w:cs="Century Gothic"/>
          <w:b/>
          <w:bCs/>
          <w:color w:val="000000"/>
          <w:sz w:val="26"/>
          <w:szCs w:val="26"/>
        </w:rPr>
        <w:t>GRUPO PARLAMENTARIO DEL PARTIDO ACCIÓN NACIONAL</w:t>
      </w:r>
      <w:r>
        <w:rPr>
          <w:rFonts w:ascii="Century Gothic" w:eastAsia="Century Gothic" w:hAnsi="Century Gothic" w:cs="Century Gothic"/>
          <w:color w:val="000000"/>
          <w:sz w:val="26"/>
          <w:szCs w:val="26"/>
        </w:rPr>
        <w:t xml:space="preserve">, con fundamento en lo dispuesto por las fracciones I y </w:t>
      </w:r>
      <w:proofErr w:type="spellStart"/>
      <w:r>
        <w:rPr>
          <w:rFonts w:ascii="Century Gothic" w:eastAsia="Century Gothic" w:hAnsi="Century Gothic" w:cs="Century Gothic"/>
          <w:color w:val="000000"/>
          <w:sz w:val="26"/>
          <w:szCs w:val="26"/>
        </w:rPr>
        <w:t>Il</w:t>
      </w:r>
      <w:proofErr w:type="spellEnd"/>
      <w:r>
        <w:rPr>
          <w:rFonts w:ascii="Century Gothic" w:eastAsia="Century Gothic" w:hAnsi="Century Gothic" w:cs="Century Gothic"/>
          <w:color w:val="000000"/>
          <w:sz w:val="26"/>
          <w:szCs w:val="26"/>
        </w:rPr>
        <w:t xml:space="preserve"> del artículo 64; y fracción I del artículo 68 de la Constitución Política del Estado de Chihuahua; así como de la fracción | del artículo 167 de la Ley Orgánica del Poder Legislativo, así como el artículo 77 del Reglamento Interior y de Prácticas Parlam</w:t>
      </w:r>
      <w:r>
        <w:rPr>
          <w:rFonts w:ascii="Century Gothic" w:eastAsia="Century Gothic" w:hAnsi="Century Gothic" w:cs="Century Gothic"/>
          <w:color w:val="000000"/>
          <w:sz w:val="26"/>
          <w:szCs w:val="26"/>
        </w:rPr>
        <w:t xml:space="preserve">entarias del Poder Legislativo, someto a la consideración de esta Honorable Asamblea la presente </w:t>
      </w:r>
      <w:r>
        <w:rPr>
          <w:rFonts w:ascii="Century Gothic" w:eastAsia="Century Gothic" w:hAnsi="Century Gothic" w:cs="Century Gothic"/>
          <w:b/>
          <w:bCs/>
          <w:color w:val="000000"/>
          <w:sz w:val="26"/>
          <w:szCs w:val="26"/>
        </w:rPr>
        <w:t xml:space="preserve">INICIATIVA CON CARÁCTER DE DECRETO, </w:t>
      </w:r>
      <w:r>
        <w:rPr>
          <w:rFonts w:ascii="Century Gothic" w:eastAsia="Century Gothic" w:hAnsi="Century Gothic" w:cs="Century Gothic"/>
          <w:color w:val="000000"/>
          <w:sz w:val="26"/>
          <w:szCs w:val="26"/>
        </w:rPr>
        <w:t xml:space="preserve">esto al tenor de la siguiente: </w:t>
      </w:r>
    </w:p>
    <w:p w14:paraId="4759CCE2" w14:textId="77777777" w:rsidR="007B279E" w:rsidRDefault="007B279E">
      <w:pPr>
        <w:spacing w:line="276" w:lineRule="auto"/>
        <w:jc w:val="both"/>
        <w:rPr>
          <w:rFonts w:ascii="Century Gothic" w:eastAsia="Century Gothic" w:hAnsi="Century Gothic" w:cs="Century Gothic"/>
          <w:b/>
          <w:bCs/>
          <w:sz w:val="26"/>
          <w:szCs w:val="26"/>
        </w:rPr>
      </w:pPr>
    </w:p>
    <w:p w14:paraId="5B15CB19" w14:textId="77777777" w:rsidR="007B279E" w:rsidRDefault="0019237C">
      <w:pPr>
        <w:spacing w:line="276" w:lineRule="auto"/>
        <w:jc w:val="center"/>
        <w:rPr>
          <w:rFonts w:ascii="Century Gothic" w:eastAsia="Century Gothic" w:hAnsi="Century Gothic" w:cs="Century Gothic"/>
          <w:b/>
          <w:bCs/>
          <w:sz w:val="26"/>
          <w:szCs w:val="26"/>
        </w:rPr>
      </w:pPr>
      <w:r>
        <w:rPr>
          <w:rFonts w:ascii="Century Gothic" w:eastAsia="Century Gothic" w:hAnsi="Century Gothic" w:cs="Century Gothic"/>
          <w:b/>
          <w:bCs/>
          <w:sz w:val="26"/>
          <w:szCs w:val="26"/>
        </w:rPr>
        <w:t>EXPOSICIÓN DE MOTIVOS</w:t>
      </w:r>
    </w:p>
    <w:p w14:paraId="6E1D657B" w14:textId="77777777" w:rsidR="007B279E" w:rsidRDefault="0019237C">
      <w:pPr>
        <w:pBdr>
          <w:top w:val="nil"/>
          <w:left w:val="nil"/>
          <w:bottom w:val="nil"/>
          <w:right w:val="nil"/>
          <w:between w:val="nil"/>
        </w:pBdr>
        <w:spacing w:before="280" w:after="280" w:line="276" w:lineRule="auto"/>
        <w:jc w:val="both"/>
        <w:rPr>
          <w:rFonts w:ascii="Century Gothic" w:eastAsia="Century Gothic" w:hAnsi="Century Gothic" w:cs="Century Gothic"/>
          <w:sz w:val="26"/>
          <w:szCs w:val="26"/>
        </w:rPr>
      </w:pPr>
      <w:r>
        <w:rPr>
          <w:rFonts w:ascii="Century Gothic" w:eastAsia="Century Gothic" w:hAnsi="Century Gothic" w:cs="Century Gothic"/>
          <w:color w:val="000000"/>
          <w:sz w:val="26"/>
          <w:szCs w:val="26"/>
        </w:rPr>
        <w:tab/>
      </w:r>
      <w:r>
        <w:rPr>
          <w:rFonts w:ascii="Century Gothic" w:eastAsia="Century Gothic" w:hAnsi="Century Gothic" w:cs="Century Gothic"/>
          <w:sz w:val="26"/>
          <w:szCs w:val="26"/>
        </w:rPr>
        <w:t xml:space="preserve">Cada septiembre, el mundo vuelve la mirada hacia una realidad que exige nuestra atención permanente: la prevención del suicidio. El 10 de septiembre, con motivo del Día Mundial para la </w:t>
      </w:r>
      <w:r>
        <w:rPr>
          <w:rFonts w:ascii="Century Gothic" w:eastAsia="Century Gothic" w:hAnsi="Century Gothic" w:cs="Century Gothic"/>
          <w:sz w:val="26"/>
          <w:szCs w:val="26"/>
        </w:rPr>
        <w:lastRenderedPageBreak/>
        <w:t>Prevención del Suicidio, se nos recuerda que prevenir no significa únic</w:t>
      </w:r>
      <w:r>
        <w:rPr>
          <w:rFonts w:ascii="Century Gothic" w:eastAsia="Century Gothic" w:hAnsi="Century Gothic" w:cs="Century Gothic"/>
          <w:sz w:val="26"/>
          <w:szCs w:val="26"/>
        </w:rPr>
        <w:t>amente actuar cuando una persona se encuentra en una situación de crisis, sino construir redes de apoyo capaces de acompañarla antes, durante y después de ella.</w:t>
      </w:r>
    </w:p>
    <w:p w14:paraId="78CB12FF" w14:textId="77777777" w:rsidR="007B279E" w:rsidRDefault="0019237C">
      <w:pPr>
        <w:spacing w:before="280" w:after="280" w:line="276" w:lineRule="auto"/>
        <w:ind w:firstLine="720"/>
        <w:jc w:val="both"/>
        <w:rPr>
          <w:rFonts w:ascii="Century Gothic" w:eastAsia="Century Gothic" w:hAnsi="Century Gothic" w:cs="Century Gothic"/>
          <w:sz w:val="26"/>
          <w:szCs w:val="26"/>
        </w:rPr>
      </w:pPr>
      <w:r>
        <w:rPr>
          <w:rFonts w:ascii="Century Gothic" w:eastAsia="Century Gothic" w:hAnsi="Century Gothic" w:cs="Century Gothic"/>
          <w:sz w:val="26"/>
          <w:szCs w:val="26"/>
        </w:rPr>
        <w:t xml:space="preserve">En Chihuahua, esta tarea representa un reto que no podemos ignorar. Nuestra entidad enfrenta una de las tasas de suicidio más altas del país, lo que nos obliga a fortalecer las herramientas de prevención, atención y </w:t>
      </w:r>
      <w:proofErr w:type="spellStart"/>
      <w:r>
        <w:rPr>
          <w:rFonts w:ascii="Century Gothic" w:eastAsia="Century Gothic" w:hAnsi="Century Gothic" w:cs="Century Gothic"/>
          <w:sz w:val="26"/>
          <w:szCs w:val="26"/>
        </w:rPr>
        <w:t>posvención</w:t>
      </w:r>
      <w:proofErr w:type="spellEnd"/>
      <w:r>
        <w:rPr>
          <w:rFonts w:ascii="Century Gothic" w:eastAsia="Century Gothic" w:hAnsi="Century Gothic" w:cs="Century Gothic"/>
          <w:sz w:val="26"/>
          <w:szCs w:val="26"/>
        </w:rPr>
        <w:t xml:space="preserve"> desde una perspectiva integra</w:t>
      </w:r>
      <w:r>
        <w:rPr>
          <w:rFonts w:ascii="Century Gothic" w:eastAsia="Century Gothic" w:hAnsi="Century Gothic" w:cs="Century Gothic"/>
          <w:sz w:val="26"/>
          <w:szCs w:val="26"/>
        </w:rPr>
        <w:t>l.</w:t>
      </w:r>
    </w:p>
    <w:p w14:paraId="21A4AF75" w14:textId="77777777" w:rsidR="007B279E" w:rsidRDefault="0019237C">
      <w:pPr>
        <w:spacing w:before="280" w:after="280" w:line="276" w:lineRule="auto"/>
        <w:ind w:firstLine="720"/>
        <w:jc w:val="both"/>
        <w:rPr>
          <w:rFonts w:ascii="Century Gothic" w:eastAsia="Century Gothic" w:hAnsi="Century Gothic" w:cs="Century Gothic"/>
          <w:sz w:val="26"/>
          <w:szCs w:val="26"/>
        </w:rPr>
      </w:pPr>
      <w:r>
        <w:rPr>
          <w:rFonts w:ascii="Century Gothic" w:eastAsia="Century Gothic" w:hAnsi="Century Gothic" w:cs="Century Gothic"/>
          <w:sz w:val="26"/>
          <w:szCs w:val="26"/>
        </w:rPr>
        <w:t>Sin embargo, cuando hablamos de conducta suicida, con frecuencia centramos nuestra atención exclusivamente en la persona que atraviesa la crisis. Y aunque su atención debe ser siempre prioritaria, existe un entorno que también enfrenta las consecuencias</w:t>
      </w:r>
      <w:r>
        <w:rPr>
          <w:rFonts w:ascii="Century Gothic" w:eastAsia="Century Gothic" w:hAnsi="Century Gothic" w:cs="Century Gothic"/>
          <w:sz w:val="26"/>
          <w:szCs w:val="26"/>
        </w:rPr>
        <w:t xml:space="preserve"> de esa situación: su familia.</w:t>
      </w:r>
    </w:p>
    <w:p w14:paraId="45EBE7DB" w14:textId="77777777" w:rsidR="007B279E" w:rsidRDefault="0019237C">
      <w:pPr>
        <w:spacing w:before="280" w:after="280" w:line="276" w:lineRule="auto"/>
        <w:ind w:firstLine="720"/>
        <w:jc w:val="both"/>
        <w:rPr>
          <w:rFonts w:ascii="Century Gothic" w:eastAsia="Century Gothic" w:hAnsi="Century Gothic" w:cs="Century Gothic"/>
          <w:sz w:val="26"/>
          <w:szCs w:val="26"/>
        </w:rPr>
      </w:pPr>
      <w:r>
        <w:rPr>
          <w:rFonts w:ascii="Century Gothic" w:eastAsia="Century Gothic" w:hAnsi="Century Gothic" w:cs="Century Gothic"/>
          <w:sz w:val="26"/>
          <w:szCs w:val="26"/>
        </w:rPr>
        <w:t>Cuando una persona presenta pensamientos o conductas suicidas, sus familiares pueden experimentar miedo, angustia, incertidumbre, culpa e incluso desconocimiento sobre la manera adecuada de actuar. En muchos casos, son precis</w:t>
      </w:r>
      <w:r>
        <w:rPr>
          <w:rFonts w:ascii="Century Gothic" w:eastAsia="Century Gothic" w:hAnsi="Century Gothic" w:cs="Century Gothic"/>
          <w:sz w:val="26"/>
          <w:szCs w:val="26"/>
        </w:rPr>
        <w:t>amente madres, padres, hermanas, hermanos, parejas, hijas, hijos u otras personas cercanas quienes detectan los primeros cambios, acompañan a la persona durante una crisis o se convierten en su principal red de apoyo.</w:t>
      </w:r>
    </w:p>
    <w:p w14:paraId="062A99EC" w14:textId="77777777" w:rsidR="007B279E" w:rsidRDefault="0019237C">
      <w:pPr>
        <w:spacing w:before="280" w:after="280" w:line="276" w:lineRule="auto"/>
        <w:ind w:firstLine="720"/>
        <w:jc w:val="both"/>
        <w:rPr>
          <w:rFonts w:ascii="Century Gothic" w:eastAsia="Century Gothic" w:hAnsi="Century Gothic" w:cs="Century Gothic"/>
          <w:sz w:val="26"/>
          <w:szCs w:val="26"/>
        </w:rPr>
      </w:pPr>
      <w:r>
        <w:rPr>
          <w:rFonts w:ascii="Century Gothic" w:eastAsia="Century Gothic" w:hAnsi="Century Gothic" w:cs="Century Gothic"/>
          <w:sz w:val="26"/>
          <w:szCs w:val="26"/>
        </w:rPr>
        <w:t>Por ello, la familia no debe ser vista</w:t>
      </w:r>
      <w:r>
        <w:rPr>
          <w:rFonts w:ascii="Century Gothic" w:eastAsia="Century Gothic" w:hAnsi="Century Gothic" w:cs="Century Gothic"/>
          <w:sz w:val="26"/>
          <w:szCs w:val="26"/>
        </w:rPr>
        <w:t xml:space="preserve"> únicamente como espectadora de una situación de riesgo. Puede convertirse en un elemento fundamental para la prevención, siempre que cuente con información y orientación adecuada.</w:t>
      </w:r>
    </w:p>
    <w:p w14:paraId="2B5FB2A6" w14:textId="77777777" w:rsidR="007B279E" w:rsidRDefault="0019237C">
      <w:pPr>
        <w:spacing w:before="280" w:after="280" w:line="276" w:lineRule="auto"/>
        <w:ind w:firstLine="720"/>
        <w:jc w:val="both"/>
        <w:rPr>
          <w:rFonts w:ascii="Century Gothic" w:eastAsia="Century Gothic" w:hAnsi="Century Gothic" w:cs="Century Gothic"/>
          <w:sz w:val="26"/>
          <w:szCs w:val="26"/>
        </w:rPr>
      </w:pPr>
      <w:r>
        <w:rPr>
          <w:rFonts w:ascii="Century Gothic" w:eastAsia="Century Gothic" w:hAnsi="Century Gothic" w:cs="Century Gothic"/>
          <w:sz w:val="26"/>
          <w:szCs w:val="26"/>
        </w:rPr>
        <w:lastRenderedPageBreak/>
        <w:t>Acompañar a una persona que atraviesa una crisis de salud mental no siempre</w:t>
      </w:r>
      <w:r>
        <w:rPr>
          <w:rFonts w:ascii="Century Gothic" w:eastAsia="Century Gothic" w:hAnsi="Century Gothic" w:cs="Century Gothic"/>
          <w:sz w:val="26"/>
          <w:szCs w:val="26"/>
        </w:rPr>
        <w:t xml:space="preserve"> es sencillo. Una familia puede no saber cómo reaccionar ante determinadas expresiones, cómo identificar señales de alerta, qué hacer ante una situación de crisis o a qué servicio acudir. El desconocimiento puede generar respuestas motivadas por el miedo o</w:t>
      </w:r>
      <w:r>
        <w:rPr>
          <w:rFonts w:ascii="Century Gothic" w:eastAsia="Century Gothic" w:hAnsi="Century Gothic" w:cs="Century Gothic"/>
          <w:sz w:val="26"/>
          <w:szCs w:val="26"/>
        </w:rPr>
        <w:t xml:space="preserve"> la desesperación, e incluso puede llevar a minimizar lo que está ocurriendo, estigmatizar a la persona o hacerla sentir culpable por lo que está viviendo.</w:t>
      </w:r>
    </w:p>
    <w:p w14:paraId="115561D3" w14:textId="77777777" w:rsidR="007B279E" w:rsidRDefault="0019237C">
      <w:pPr>
        <w:spacing w:before="280" w:after="280" w:line="276" w:lineRule="auto"/>
        <w:ind w:firstLine="720"/>
        <w:jc w:val="both"/>
        <w:rPr>
          <w:rFonts w:ascii="Century Gothic" w:eastAsia="Century Gothic" w:hAnsi="Century Gothic" w:cs="Century Gothic"/>
          <w:sz w:val="26"/>
          <w:szCs w:val="26"/>
        </w:rPr>
      </w:pPr>
      <w:r>
        <w:rPr>
          <w:rFonts w:ascii="Century Gothic" w:eastAsia="Century Gothic" w:hAnsi="Century Gothic" w:cs="Century Gothic"/>
          <w:sz w:val="26"/>
          <w:szCs w:val="26"/>
        </w:rPr>
        <w:t>Por ello, fortalecer las capacidades de las familias también es una forma de prevención.</w:t>
      </w:r>
    </w:p>
    <w:p w14:paraId="13969520" w14:textId="77777777" w:rsidR="007B279E" w:rsidRDefault="0019237C">
      <w:pPr>
        <w:spacing w:before="280" w:after="280" w:line="276" w:lineRule="auto"/>
        <w:ind w:firstLine="720"/>
        <w:jc w:val="both"/>
        <w:rPr>
          <w:rFonts w:ascii="Century Gothic" w:eastAsia="Century Gothic" w:hAnsi="Century Gothic" w:cs="Century Gothic"/>
          <w:sz w:val="26"/>
          <w:szCs w:val="26"/>
        </w:rPr>
      </w:pPr>
      <w:r>
        <w:rPr>
          <w:rFonts w:ascii="Century Gothic" w:eastAsia="Century Gothic" w:hAnsi="Century Gothic" w:cs="Century Gothic"/>
          <w:sz w:val="26"/>
          <w:szCs w:val="26"/>
        </w:rPr>
        <w:t>La orientac</w:t>
      </w:r>
      <w:r>
        <w:rPr>
          <w:rFonts w:ascii="Century Gothic" w:eastAsia="Century Gothic" w:hAnsi="Century Gothic" w:cs="Century Gothic"/>
          <w:sz w:val="26"/>
          <w:szCs w:val="26"/>
        </w:rPr>
        <w:t>ión familiar no pretende sustituir la atención profesional ni convertir a las familias en responsables de atender una conducta suicida. Por el contrario, busca proporcionarles herramientas básicas para reconocer señales de alerta, acompañar de manera adecu</w:t>
      </w:r>
      <w:r>
        <w:rPr>
          <w:rFonts w:ascii="Century Gothic" w:eastAsia="Century Gothic" w:hAnsi="Century Gothic" w:cs="Century Gothic"/>
          <w:sz w:val="26"/>
          <w:szCs w:val="26"/>
        </w:rPr>
        <w:t>ada, actuar ante una situación de crisis y conocer los servicios a los que pueden recurrir para solicitar ayuda.</w:t>
      </w:r>
    </w:p>
    <w:p w14:paraId="12E3AC51" w14:textId="77777777" w:rsidR="007B279E" w:rsidRDefault="0019237C">
      <w:pPr>
        <w:spacing w:before="280" w:after="280" w:line="276" w:lineRule="auto"/>
        <w:ind w:firstLine="720"/>
        <w:jc w:val="both"/>
        <w:rPr>
          <w:rFonts w:ascii="Century Gothic" w:eastAsia="Century Gothic" w:hAnsi="Century Gothic" w:cs="Century Gothic"/>
          <w:sz w:val="26"/>
          <w:szCs w:val="26"/>
        </w:rPr>
      </w:pPr>
      <w:r>
        <w:rPr>
          <w:rFonts w:ascii="Century Gothic" w:eastAsia="Century Gothic" w:hAnsi="Century Gothic" w:cs="Century Gothic"/>
          <w:sz w:val="26"/>
          <w:szCs w:val="26"/>
        </w:rPr>
        <w:t>Esta necesidad adquiere especial relevancia después de un intento de suicidio. Una vez superada la emergencia médica, comienza una etapa que pu</w:t>
      </w:r>
      <w:r>
        <w:rPr>
          <w:rFonts w:ascii="Century Gothic" w:eastAsia="Century Gothic" w:hAnsi="Century Gothic" w:cs="Century Gothic"/>
          <w:sz w:val="26"/>
          <w:szCs w:val="26"/>
        </w:rPr>
        <w:t>ede ser igualmente compleja para la persona y para quienes la rodean. La recuperación requiere continuidad, comprensión y acompañamiento, y la familia necesita saber cómo participar en ese proceso sin asumir funciones que corresponden a profesionales de la</w:t>
      </w:r>
      <w:r>
        <w:rPr>
          <w:rFonts w:ascii="Century Gothic" w:eastAsia="Century Gothic" w:hAnsi="Century Gothic" w:cs="Century Gothic"/>
          <w:sz w:val="26"/>
          <w:szCs w:val="26"/>
        </w:rPr>
        <w:t xml:space="preserve"> salud.</w:t>
      </w:r>
    </w:p>
    <w:p w14:paraId="4356620A" w14:textId="77777777" w:rsidR="007B279E" w:rsidRDefault="0019237C">
      <w:pPr>
        <w:spacing w:before="280" w:after="280" w:line="276" w:lineRule="auto"/>
        <w:ind w:firstLine="720"/>
        <w:jc w:val="both"/>
        <w:rPr>
          <w:rFonts w:ascii="Century Gothic" w:eastAsia="Century Gothic" w:hAnsi="Century Gothic" w:cs="Century Gothic"/>
          <w:sz w:val="26"/>
          <w:szCs w:val="26"/>
        </w:rPr>
      </w:pPr>
      <w:r>
        <w:rPr>
          <w:rFonts w:ascii="Century Gothic" w:eastAsia="Century Gothic" w:hAnsi="Century Gothic" w:cs="Century Gothic"/>
          <w:sz w:val="26"/>
          <w:szCs w:val="26"/>
        </w:rPr>
        <w:t xml:space="preserve">En este sentido, la </w:t>
      </w:r>
      <w:proofErr w:type="spellStart"/>
      <w:r>
        <w:rPr>
          <w:rFonts w:ascii="Century Gothic" w:eastAsia="Century Gothic" w:hAnsi="Century Gothic" w:cs="Century Gothic"/>
          <w:sz w:val="26"/>
          <w:szCs w:val="26"/>
        </w:rPr>
        <w:t>posvención</w:t>
      </w:r>
      <w:proofErr w:type="spellEnd"/>
      <w:r>
        <w:rPr>
          <w:rFonts w:ascii="Century Gothic" w:eastAsia="Century Gothic" w:hAnsi="Century Gothic" w:cs="Century Gothic"/>
          <w:sz w:val="26"/>
          <w:szCs w:val="26"/>
        </w:rPr>
        <w:t xml:space="preserve"> constituye una parte fundamental de una política integral de prevención del suicidio. Atender lo que </w:t>
      </w:r>
      <w:r>
        <w:rPr>
          <w:rFonts w:ascii="Century Gothic" w:eastAsia="Century Gothic" w:hAnsi="Century Gothic" w:cs="Century Gothic"/>
          <w:sz w:val="26"/>
          <w:szCs w:val="26"/>
        </w:rPr>
        <w:lastRenderedPageBreak/>
        <w:t>ocurre después de una crisis permite reducir factores de riesgo, fortalecer las redes de apoyo y favorecer que la pe</w:t>
      </w:r>
      <w:r>
        <w:rPr>
          <w:rFonts w:ascii="Century Gothic" w:eastAsia="Century Gothic" w:hAnsi="Century Gothic" w:cs="Century Gothic"/>
          <w:sz w:val="26"/>
          <w:szCs w:val="26"/>
        </w:rPr>
        <w:t>rsona continúe vinculada con los servicios de atención que necesita.</w:t>
      </w:r>
    </w:p>
    <w:p w14:paraId="63FBDF77" w14:textId="77777777" w:rsidR="007B279E" w:rsidRDefault="0019237C">
      <w:pPr>
        <w:spacing w:before="280" w:after="280" w:line="276" w:lineRule="auto"/>
        <w:ind w:firstLine="720"/>
        <w:jc w:val="both"/>
        <w:rPr>
          <w:rFonts w:ascii="Century Gothic" w:eastAsia="Century Gothic" w:hAnsi="Century Gothic" w:cs="Century Gothic"/>
          <w:sz w:val="26"/>
          <w:szCs w:val="26"/>
        </w:rPr>
      </w:pPr>
      <w:r>
        <w:rPr>
          <w:rFonts w:ascii="Century Gothic" w:eastAsia="Century Gothic" w:hAnsi="Century Gothic" w:cs="Century Gothic"/>
          <w:sz w:val="26"/>
          <w:szCs w:val="26"/>
        </w:rPr>
        <w:t xml:space="preserve">La propia Ley de Prevención, Atención y </w:t>
      </w:r>
      <w:proofErr w:type="spellStart"/>
      <w:r>
        <w:rPr>
          <w:rFonts w:ascii="Century Gothic" w:eastAsia="Century Gothic" w:hAnsi="Century Gothic" w:cs="Century Gothic"/>
          <w:sz w:val="26"/>
          <w:szCs w:val="26"/>
        </w:rPr>
        <w:t>Posvención</w:t>
      </w:r>
      <w:proofErr w:type="spellEnd"/>
      <w:r>
        <w:rPr>
          <w:rFonts w:ascii="Century Gothic" w:eastAsia="Century Gothic" w:hAnsi="Century Gothic" w:cs="Century Gothic"/>
          <w:sz w:val="26"/>
          <w:szCs w:val="26"/>
        </w:rPr>
        <w:t xml:space="preserve"> del Suicidio del Estado de Chihuahua reconoce la importancia de las familias. Entre sus disposiciones establece el derecho de las person</w:t>
      </w:r>
      <w:r>
        <w:rPr>
          <w:rFonts w:ascii="Century Gothic" w:eastAsia="Century Gothic" w:hAnsi="Century Gothic" w:cs="Century Gothic"/>
          <w:sz w:val="26"/>
          <w:szCs w:val="26"/>
        </w:rPr>
        <w:t>as con pensamientos y conductas suicidas y de sus familias a recibir atención profesional y oportuna, así como la obligación de brindar cobertura asistencial de emergencia a las personas que hayan intentado suicidarse y a sus familias.</w:t>
      </w:r>
    </w:p>
    <w:p w14:paraId="50B8BD28" w14:textId="77777777" w:rsidR="007B279E" w:rsidRDefault="0019237C">
      <w:pPr>
        <w:spacing w:before="280" w:after="280" w:line="276" w:lineRule="auto"/>
        <w:ind w:firstLine="720"/>
        <w:jc w:val="both"/>
        <w:rPr>
          <w:rFonts w:ascii="Century Gothic" w:eastAsia="Century Gothic" w:hAnsi="Century Gothic" w:cs="Century Gothic"/>
          <w:sz w:val="26"/>
          <w:szCs w:val="26"/>
        </w:rPr>
      </w:pPr>
      <w:r>
        <w:rPr>
          <w:rFonts w:ascii="Century Gothic" w:eastAsia="Century Gothic" w:hAnsi="Century Gothic" w:cs="Century Gothic"/>
          <w:sz w:val="26"/>
          <w:szCs w:val="26"/>
        </w:rPr>
        <w:t>El siguiente paso es</w:t>
      </w:r>
      <w:r>
        <w:rPr>
          <w:rFonts w:ascii="Century Gothic" w:eastAsia="Century Gothic" w:hAnsi="Century Gothic" w:cs="Century Gothic"/>
          <w:sz w:val="26"/>
          <w:szCs w:val="26"/>
        </w:rPr>
        <w:t xml:space="preserve"> fortalecer ese reconocimiento y llevarlo a una acción concreta.</w:t>
      </w:r>
    </w:p>
    <w:p w14:paraId="5A3D9B12" w14:textId="77777777" w:rsidR="007B279E" w:rsidRDefault="0019237C">
      <w:pPr>
        <w:spacing w:before="280" w:after="280" w:line="276" w:lineRule="auto"/>
        <w:ind w:firstLine="720"/>
        <w:jc w:val="both"/>
        <w:rPr>
          <w:rFonts w:ascii="Century Gothic" w:eastAsia="Century Gothic" w:hAnsi="Century Gothic" w:cs="Century Gothic"/>
          <w:sz w:val="26"/>
          <w:szCs w:val="26"/>
        </w:rPr>
      </w:pPr>
      <w:r>
        <w:rPr>
          <w:rFonts w:ascii="Century Gothic" w:eastAsia="Century Gothic" w:hAnsi="Century Gothic" w:cs="Century Gothic"/>
          <w:sz w:val="26"/>
          <w:szCs w:val="26"/>
        </w:rPr>
        <w:t>La presente iniciativa propone que la atención a las familias de personas que hayan intentado suicidarse incluya orientación básica para el acompañamiento, particularmente respecto de la iden</w:t>
      </w:r>
      <w:r>
        <w:rPr>
          <w:rFonts w:ascii="Century Gothic" w:eastAsia="Century Gothic" w:hAnsi="Century Gothic" w:cs="Century Gothic"/>
          <w:sz w:val="26"/>
          <w:szCs w:val="26"/>
        </w:rPr>
        <w:t>tificación de señales de alerta, la actuación ante situaciones de crisis, el acceso a los servicios de atención disponibles y el seguimiento posterior al intento de suicidio.</w:t>
      </w:r>
    </w:p>
    <w:p w14:paraId="0872DED4" w14:textId="77777777" w:rsidR="007B279E" w:rsidRDefault="0019237C">
      <w:pPr>
        <w:spacing w:before="280" w:after="280" w:line="276" w:lineRule="auto"/>
        <w:ind w:firstLine="720"/>
        <w:jc w:val="both"/>
        <w:rPr>
          <w:rFonts w:ascii="Century Gothic" w:eastAsia="Century Gothic" w:hAnsi="Century Gothic" w:cs="Century Gothic"/>
          <w:sz w:val="26"/>
          <w:szCs w:val="26"/>
        </w:rPr>
      </w:pPr>
      <w:r>
        <w:rPr>
          <w:rFonts w:ascii="Century Gothic" w:eastAsia="Century Gothic" w:hAnsi="Century Gothic" w:cs="Century Gothic"/>
          <w:sz w:val="26"/>
          <w:szCs w:val="26"/>
        </w:rPr>
        <w:t xml:space="preserve">No se propone trasladar a las familias responsabilidades médicas o psicológicas, </w:t>
      </w:r>
      <w:r>
        <w:rPr>
          <w:rFonts w:ascii="Century Gothic" w:eastAsia="Century Gothic" w:hAnsi="Century Gothic" w:cs="Century Gothic"/>
          <w:sz w:val="26"/>
          <w:szCs w:val="26"/>
        </w:rPr>
        <w:t>ni sustituir los tratamientos especializados. Se busca que, dentro de la atención que ya contempla nuestra legislación, las familias reciban información suficiente para saber cómo acompañar, cuándo pedir ayuda y dónde encontrarla.</w:t>
      </w:r>
    </w:p>
    <w:p w14:paraId="39DB23F6" w14:textId="77777777" w:rsidR="007B279E" w:rsidRDefault="0019237C">
      <w:pPr>
        <w:spacing w:before="280" w:after="280" w:line="276" w:lineRule="auto"/>
        <w:ind w:firstLine="720"/>
        <w:jc w:val="both"/>
        <w:rPr>
          <w:rFonts w:ascii="Century Gothic" w:eastAsia="Century Gothic" w:hAnsi="Century Gothic" w:cs="Century Gothic"/>
          <w:sz w:val="26"/>
          <w:szCs w:val="26"/>
        </w:rPr>
      </w:pPr>
      <w:r>
        <w:rPr>
          <w:rFonts w:ascii="Century Gothic" w:eastAsia="Century Gothic" w:hAnsi="Century Gothic" w:cs="Century Gothic"/>
          <w:sz w:val="26"/>
          <w:szCs w:val="26"/>
        </w:rPr>
        <w:lastRenderedPageBreak/>
        <w:t>Porque una persona no atr</w:t>
      </w:r>
      <w:r>
        <w:rPr>
          <w:rFonts w:ascii="Century Gothic" w:eastAsia="Century Gothic" w:hAnsi="Century Gothic" w:cs="Century Gothic"/>
          <w:sz w:val="26"/>
          <w:szCs w:val="26"/>
        </w:rPr>
        <w:t>aviesa una crisis en aislamiento. Detrás de ella existe, muchas veces, una familia que también necesita ser escuchada, orientada y acompañada.</w:t>
      </w:r>
    </w:p>
    <w:p w14:paraId="26FF7002" w14:textId="77777777" w:rsidR="007B279E" w:rsidRDefault="0019237C">
      <w:pPr>
        <w:spacing w:before="280" w:after="280" w:line="276" w:lineRule="auto"/>
        <w:ind w:firstLine="720"/>
        <w:jc w:val="both"/>
        <w:rPr>
          <w:rFonts w:ascii="Century Gothic" w:eastAsia="Century Gothic" w:hAnsi="Century Gothic" w:cs="Century Gothic"/>
          <w:sz w:val="26"/>
          <w:szCs w:val="26"/>
        </w:rPr>
      </w:pPr>
      <w:r>
        <w:rPr>
          <w:rFonts w:ascii="Century Gothic" w:eastAsia="Century Gothic" w:hAnsi="Century Gothic" w:cs="Century Gothic"/>
          <w:sz w:val="26"/>
          <w:szCs w:val="26"/>
        </w:rPr>
        <w:t>Fortalecer a esa red de apoyo significa fortalecer una de las primeras herramientas con las que cuenta una person</w:t>
      </w:r>
      <w:r>
        <w:rPr>
          <w:rFonts w:ascii="Century Gothic" w:eastAsia="Century Gothic" w:hAnsi="Century Gothic" w:cs="Century Gothic"/>
          <w:sz w:val="26"/>
          <w:szCs w:val="26"/>
        </w:rPr>
        <w:t>a para mantenerse vinculada con la vida y con los servicios que pueden ayudarla.</w:t>
      </w:r>
    </w:p>
    <w:p w14:paraId="3078B5D3" w14:textId="77777777" w:rsidR="007B279E" w:rsidRDefault="0019237C">
      <w:pPr>
        <w:spacing w:before="280" w:after="280" w:line="276" w:lineRule="auto"/>
        <w:ind w:firstLine="720"/>
        <w:jc w:val="both"/>
        <w:rPr>
          <w:rFonts w:ascii="Century Gothic" w:eastAsia="Century Gothic" w:hAnsi="Century Gothic" w:cs="Century Gothic"/>
          <w:sz w:val="26"/>
          <w:szCs w:val="26"/>
        </w:rPr>
      </w:pPr>
      <w:r>
        <w:rPr>
          <w:rFonts w:ascii="Century Gothic" w:eastAsia="Century Gothic" w:hAnsi="Century Gothic" w:cs="Century Gothic"/>
          <w:sz w:val="26"/>
          <w:szCs w:val="26"/>
        </w:rPr>
        <w:t>La prevención del suicidio requiere instituciones preparadas, servicios accesibles y profesionales capacitados, pero también necesita comunidades y familias con herramientas p</w:t>
      </w:r>
      <w:r>
        <w:rPr>
          <w:rFonts w:ascii="Century Gothic" w:eastAsia="Century Gothic" w:hAnsi="Century Gothic" w:cs="Century Gothic"/>
          <w:sz w:val="26"/>
          <w:szCs w:val="26"/>
        </w:rPr>
        <w:t>ara responder de manera adecuada ante una situación de riesgo.</w:t>
      </w:r>
    </w:p>
    <w:p w14:paraId="21E422DD" w14:textId="77777777" w:rsidR="007B279E" w:rsidRDefault="0019237C">
      <w:pPr>
        <w:spacing w:before="280" w:after="280" w:line="276" w:lineRule="auto"/>
        <w:ind w:firstLine="720"/>
        <w:jc w:val="both"/>
        <w:rPr>
          <w:rFonts w:ascii="Century Gothic" w:eastAsia="Century Gothic" w:hAnsi="Century Gothic" w:cs="Century Gothic"/>
          <w:sz w:val="26"/>
          <w:szCs w:val="26"/>
        </w:rPr>
      </w:pPr>
      <w:r>
        <w:rPr>
          <w:rFonts w:ascii="Century Gothic" w:eastAsia="Century Gothic" w:hAnsi="Century Gothic" w:cs="Century Gothic"/>
          <w:sz w:val="26"/>
          <w:szCs w:val="26"/>
        </w:rPr>
        <w:t>Prevenir también es acompañar. Y acompañar también es cuidar la vida.</w:t>
      </w:r>
    </w:p>
    <w:p w14:paraId="481A4F80" w14:textId="77777777" w:rsidR="007B279E" w:rsidRDefault="0019237C">
      <w:pPr>
        <w:pBdr>
          <w:top w:val="nil"/>
          <w:left w:val="nil"/>
          <w:bottom w:val="nil"/>
          <w:right w:val="nil"/>
          <w:between w:val="nil"/>
        </w:pBdr>
        <w:spacing w:after="0" w:line="276" w:lineRule="auto"/>
        <w:ind w:firstLine="709"/>
        <w:jc w:val="both"/>
        <w:rPr>
          <w:rFonts w:ascii="Century Gothic" w:eastAsia="Century Gothic" w:hAnsi="Century Gothic" w:cs="Century Gothic"/>
          <w:color w:val="000000"/>
          <w:sz w:val="26"/>
          <w:szCs w:val="26"/>
        </w:rPr>
      </w:pPr>
      <w:r>
        <w:rPr>
          <w:rFonts w:ascii="Century Gothic" w:eastAsia="Century Gothic" w:hAnsi="Century Gothic" w:cs="Century Gothic"/>
          <w:color w:val="000000"/>
          <w:sz w:val="26"/>
          <w:szCs w:val="26"/>
        </w:rPr>
        <w:t>Por lo anteriormente expuesto es que me permito proponer a consideración de esta asamblea el siguiente Proyecto de Decreto, para que una vez turnado a la Comisión Legislativa que le corresponda, se someta a la consideración de este Alto Cuerpo Colegiado.</w:t>
      </w:r>
    </w:p>
    <w:p w14:paraId="3468CBD3" w14:textId="77777777" w:rsidR="007B279E" w:rsidRDefault="007B279E">
      <w:pPr>
        <w:pBdr>
          <w:top w:val="nil"/>
          <w:left w:val="nil"/>
          <w:bottom w:val="nil"/>
          <w:right w:val="nil"/>
          <w:between w:val="nil"/>
        </w:pBdr>
        <w:spacing w:after="0" w:line="360" w:lineRule="auto"/>
        <w:jc w:val="both"/>
        <w:rPr>
          <w:rFonts w:ascii="Century Gothic" w:eastAsia="Century Gothic" w:hAnsi="Century Gothic" w:cs="Century Gothic"/>
          <w:color w:val="000000"/>
          <w:sz w:val="26"/>
          <w:szCs w:val="26"/>
        </w:rPr>
      </w:pPr>
    </w:p>
    <w:p w14:paraId="33602DD4" w14:textId="77777777" w:rsidR="007B279E" w:rsidRDefault="0019237C">
      <w:pPr>
        <w:pBdr>
          <w:top w:val="nil"/>
          <w:left w:val="nil"/>
          <w:bottom w:val="nil"/>
          <w:right w:val="nil"/>
          <w:between w:val="nil"/>
        </w:pBdr>
        <w:spacing w:after="0" w:line="360" w:lineRule="auto"/>
        <w:ind w:firstLine="709"/>
        <w:jc w:val="center"/>
        <w:rPr>
          <w:rFonts w:ascii="Century Gothic" w:eastAsia="Century Gothic" w:hAnsi="Century Gothic" w:cs="Century Gothic"/>
          <w:b/>
          <w:bCs/>
          <w:sz w:val="26"/>
          <w:szCs w:val="26"/>
        </w:rPr>
      </w:pPr>
      <w:r>
        <w:rPr>
          <w:rFonts w:ascii="Century Gothic" w:eastAsia="Century Gothic" w:hAnsi="Century Gothic" w:cs="Century Gothic"/>
          <w:b/>
          <w:bCs/>
          <w:color w:val="000000"/>
          <w:sz w:val="26"/>
          <w:szCs w:val="26"/>
        </w:rPr>
        <w:t>DECRETO</w:t>
      </w:r>
    </w:p>
    <w:p w14:paraId="0BCADF22" w14:textId="77777777" w:rsidR="007B279E" w:rsidRDefault="007B279E">
      <w:pPr>
        <w:pBdr>
          <w:top w:val="nil"/>
          <w:left w:val="nil"/>
          <w:bottom w:val="nil"/>
          <w:right w:val="nil"/>
          <w:between w:val="nil"/>
        </w:pBdr>
        <w:spacing w:after="0" w:line="360" w:lineRule="auto"/>
        <w:ind w:firstLine="709"/>
        <w:jc w:val="center"/>
        <w:rPr>
          <w:rFonts w:ascii="Century Gothic" w:eastAsia="Century Gothic" w:hAnsi="Century Gothic" w:cs="Century Gothic"/>
          <w:b/>
          <w:bCs/>
          <w:sz w:val="26"/>
          <w:szCs w:val="26"/>
        </w:rPr>
      </w:pPr>
    </w:p>
    <w:p w14:paraId="00DEC8EA" w14:textId="77777777" w:rsidR="007B279E" w:rsidRDefault="0019237C">
      <w:pPr>
        <w:pStyle w:val="Ttulo2"/>
        <w:spacing w:line="276" w:lineRule="auto"/>
        <w:ind w:left="0"/>
        <w:jc w:val="both"/>
        <w:rPr>
          <w:rFonts w:ascii="Century Gothic" w:eastAsia="Century Gothic" w:hAnsi="Century Gothic" w:cs="Century Gothic"/>
          <w:b w:val="0"/>
          <w:bCs w:val="0"/>
          <w:sz w:val="26"/>
          <w:szCs w:val="26"/>
        </w:rPr>
      </w:pPr>
      <w:r>
        <w:rPr>
          <w:rFonts w:ascii="Century Gothic" w:eastAsia="Century Gothic" w:hAnsi="Century Gothic" w:cs="Century Gothic"/>
          <w:color w:val="000000"/>
          <w:sz w:val="26"/>
          <w:szCs w:val="26"/>
        </w:rPr>
        <w:t xml:space="preserve">ARTÍCULO </w:t>
      </w:r>
      <w:r>
        <w:rPr>
          <w:rFonts w:ascii="Century Gothic" w:eastAsia="Century Gothic" w:hAnsi="Century Gothic" w:cs="Century Gothic"/>
          <w:sz w:val="26"/>
          <w:szCs w:val="26"/>
        </w:rPr>
        <w:t>ÚNICO</w:t>
      </w:r>
      <w:r>
        <w:rPr>
          <w:rFonts w:ascii="Century Gothic" w:eastAsia="Century Gothic" w:hAnsi="Century Gothic" w:cs="Century Gothic"/>
          <w:color w:val="000000"/>
          <w:sz w:val="26"/>
          <w:szCs w:val="26"/>
        </w:rPr>
        <w:t xml:space="preserve">. </w:t>
      </w:r>
      <w:r>
        <w:rPr>
          <w:rFonts w:ascii="Century Gothic" w:eastAsia="Century Gothic" w:hAnsi="Century Gothic" w:cs="Century Gothic"/>
          <w:b w:val="0"/>
          <w:bCs w:val="0"/>
          <w:sz w:val="26"/>
          <w:szCs w:val="26"/>
        </w:rPr>
        <w:t xml:space="preserve">Se adiciona el artículo 15 bis de la Ley de Prevención, Atención y </w:t>
      </w:r>
      <w:proofErr w:type="spellStart"/>
      <w:r>
        <w:rPr>
          <w:rFonts w:ascii="Century Gothic" w:eastAsia="Century Gothic" w:hAnsi="Century Gothic" w:cs="Century Gothic"/>
          <w:b w:val="0"/>
          <w:bCs w:val="0"/>
          <w:sz w:val="26"/>
          <w:szCs w:val="26"/>
        </w:rPr>
        <w:t>Posvención</w:t>
      </w:r>
      <w:proofErr w:type="spellEnd"/>
      <w:r>
        <w:rPr>
          <w:rFonts w:ascii="Century Gothic" w:eastAsia="Century Gothic" w:hAnsi="Century Gothic" w:cs="Century Gothic"/>
          <w:b w:val="0"/>
          <w:bCs w:val="0"/>
          <w:sz w:val="26"/>
          <w:szCs w:val="26"/>
        </w:rPr>
        <w:t xml:space="preserve"> del Suicidio del Estado de Chihuahua, para quedar redactado de la siguiente manera: </w:t>
      </w:r>
    </w:p>
    <w:p w14:paraId="7DCE56E7" w14:textId="77777777" w:rsidR="007B279E" w:rsidRDefault="007B279E">
      <w:pPr>
        <w:pStyle w:val="Ttulo2"/>
        <w:ind w:left="0"/>
        <w:jc w:val="both"/>
        <w:rPr>
          <w:rFonts w:ascii="Century Gothic" w:eastAsia="Century Gothic" w:hAnsi="Century Gothic" w:cs="Century Gothic"/>
          <w:sz w:val="26"/>
          <w:szCs w:val="26"/>
        </w:rPr>
      </w:pPr>
    </w:p>
    <w:p w14:paraId="6FE8C7F7" w14:textId="77777777" w:rsidR="007B279E" w:rsidRDefault="0019237C">
      <w:pPr>
        <w:pStyle w:val="Ttulo2"/>
        <w:spacing w:before="240" w:after="240"/>
        <w:ind w:left="0" w:right="0"/>
        <w:jc w:val="both"/>
        <w:rPr>
          <w:rFonts w:ascii="Century Gothic" w:eastAsia="Century Gothic" w:hAnsi="Century Gothic" w:cs="Century Gothic"/>
          <w:sz w:val="26"/>
          <w:szCs w:val="26"/>
        </w:rPr>
      </w:pPr>
      <w:bookmarkStart w:id="0" w:name="_heading=h.os0aab6xee1o" w:colFirst="0" w:colLast="0"/>
      <w:bookmarkEnd w:id="0"/>
      <w:r>
        <w:rPr>
          <w:rFonts w:ascii="Century Gothic" w:eastAsia="Century Gothic" w:hAnsi="Century Gothic" w:cs="Century Gothic"/>
          <w:sz w:val="26"/>
          <w:szCs w:val="26"/>
        </w:rPr>
        <w:t>Artículo 15 Bis. La atención a las familias de personas que hayan intentado suicidarse deberá incluir orientación básica para el acompañamiento, particularmente respecto de la identificación de señales de alerta, la actuación ante situaciones de crisis, el</w:t>
      </w:r>
      <w:r>
        <w:rPr>
          <w:rFonts w:ascii="Century Gothic" w:eastAsia="Century Gothic" w:hAnsi="Century Gothic" w:cs="Century Gothic"/>
          <w:sz w:val="26"/>
          <w:szCs w:val="26"/>
        </w:rPr>
        <w:t xml:space="preserve"> acceso a los servicios de atención disponibles y el seguimiento posterior al intento de suicidio.</w:t>
      </w:r>
    </w:p>
    <w:p w14:paraId="504C3143" w14:textId="77777777" w:rsidR="007B279E" w:rsidRDefault="0019237C">
      <w:pPr>
        <w:pBdr>
          <w:top w:val="nil"/>
          <w:left w:val="nil"/>
          <w:bottom w:val="nil"/>
          <w:right w:val="nil"/>
          <w:between w:val="nil"/>
        </w:pBdr>
        <w:spacing w:after="0" w:line="360" w:lineRule="auto"/>
        <w:ind w:firstLine="709"/>
        <w:jc w:val="center"/>
        <w:rPr>
          <w:rFonts w:ascii="Century Gothic" w:eastAsia="Century Gothic" w:hAnsi="Century Gothic" w:cs="Century Gothic"/>
          <w:b/>
          <w:bCs/>
          <w:color w:val="000000"/>
          <w:sz w:val="26"/>
          <w:szCs w:val="26"/>
        </w:rPr>
      </w:pPr>
      <w:r>
        <w:rPr>
          <w:rFonts w:ascii="Century Gothic" w:eastAsia="Century Gothic" w:hAnsi="Century Gothic" w:cs="Century Gothic"/>
          <w:b/>
          <w:bCs/>
          <w:color w:val="000000"/>
          <w:sz w:val="26"/>
          <w:szCs w:val="26"/>
        </w:rPr>
        <w:t>TRANSITORIOS</w:t>
      </w:r>
    </w:p>
    <w:p w14:paraId="160AABC9" w14:textId="77777777" w:rsidR="007B279E" w:rsidRDefault="007B279E">
      <w:pPr>
        <w:pBdr>
          <w:top w:val="nil"/>
          <w:left w:val="nil"/>
          <w:bottom w:val="nil"/>
          <w:right w:val="nil"/>
          <w:between w:val="nil"/>
        </w:pBdr>
        <w:spacing w:after="0" w:line="360" w:lineRule="auto"/>
        <w:ind w:firstLine="709"/>
        <w:jc w:val="both"/>
        <w:rPr>
          <w:rFonts w:ascii="Century Gothic" w:eastAsia="Century Gothic" w:hAnsi="Century Gothic" w:cs="Century Gothic"/>
          <w:b/>
          <w:bCs/>
          <w:color w:val="000000"/>
          <w:sz w:val="26"/>
          <w:szCs w:val="26"/>
        </w:rPr>
      </w:pPr>
    </w:p>
    <w:p w14:paraId="326D0CB2" w14:textId="77777777" w:rsidR="007B279E" w:rsidRDefault="0019237C">
      <w:pPr>
        <w:pBdr>
          <w:top w:val="nil"/>
          <w:left w:val="nil"/>
          <w:bottom w:val="nil"/>
          <w:right w:val="nil"/>
          <w:between w:val="nil"/>
        </w:pBdr>
        <w:spacing w:after="0" w:line="360" w:lineRule="auto"/>
        <w:ind w:firstLine="709"/>
        <w:jc w:val="both"/>
        <w:rPr>
          <w:rFonts w:ascii="Century Gothic" w:eastAsia="Century Gothic" w:hAnsi="Century Gothic" w:cs="Century Gothic"/>
          <w:sz w:val="26"/>
          <w:szCs w:val="26"/>
        </w:rPr>
      </w:pPr>
      <w:r>
        <w:rPr>
          <w:rFonts w:ascii="Century Gothic" w:eastAsia="Century Gothic" w:hAnsi="Century Gothic" w:cs="Century Gothic"/>
          <w:b/>
          <w:bCs/>
          <w:sz w:val="26"/>
          <w:szCs w:val="26"/>
        </w:rPr>
        <w:t>ÚNICO</w:t>
      </w:r>
      <w:r>
        <w:rPr>
          <w:rFonts w:ascii="Century Gothic" w:eastAsia="Century Gothic" w:hAnsi="Century Gothic" w:cs="Century Gothic"/>
          <w:b/>
          <w:bCs/>
          <w:color w:val="000000"/>
          <w:sz w:val="26"/>
          <w:szCs w:val="26"/>
        </w:rPr>
        <w:t>.</w:t>
      </w:r>
      <w:r>
        <w:rPr>
          <w:rFonts w:ascii="Century Gothic" w:eastAsia="Century Gothic" w:hAnsi="Century Gothic" w:cs="Century Gothic"/>
          <w:color w:val="000000"/>
          <w:sz w:val="26"/>
          <w:szCs w:val="26"/>
        </w:rPr>
        <w:t xml:space="preserve"> El presente Decreto entrará en vigor al día siguiente de su publicación en el Periódico Oficial del Estado.</w:t>
      </w:r>
    </w:p>
    <w:p w14:paraId="1C8CD7DE" w14:textId="77777777" w:rsidR="007B279E" w:rsidRDefault="007B279E">
      <w:pPr>
        <w:pBdr>
          <w:top w:val="nil"/>
          <w:left w:val="nil"/>
          <w:bottom w:val="nil"/>
          <w:right w:val="nil"/>
          <w:between w:val="nil"/>
        </w:pBdr>
        <w:spacing w:after="0" w:line="360" w:lineRule="auto"/>
        <w:ind w:firstLine="709"/>
        <w:jc w:val="both"/>
        <w:rPr>
          <w:rFonts w:ascii="Century Gothic" w:eastAsia="Century Gothic" w:hAnsi="Century Gothic" w:cs="Century Gothic"/>
          <w:color w:val="000000"/>
          <w:sz w:val="26"/>
          <w:szCs w:val="26"/>
        </w:rPr>
      </w:pPr>
    </w:p>
    <w:p w14:paraId="624212E6" w14:textId="77777777" w:rsidR="007B279E" w:rsidRDefault="0019237C">
      <w:pPr>
        <w:spacing w:line="360" w:lineRule="auto"/>
        <w:jc w:val="both"/>
        <w:rPr>
          <w:rFonts w:ascii="Century Gothic" w:eastAsia="Century Gothic" w:hAnsi="Century Gothic" w:cs="Century Gothic"/>
          <w:sz w:val="26"/>
          <w:szCs w:val="26"/>
        </w:rPr>
      </w:pPr>
      <w:r>
        <w:rPr>
          <w:rFonts w:ascii="Century Gothic" w:eastAsia="Century Gothic" w:hAnsi="Century Gothic" w:cs="Century Gothic"/>
          <w:color w:val="000000"/>
          <w:sz w:val="26"/>
          <w:szCs w:val="26"/>
        </w:rPr>
        <w:t xml:space="preserve">DADO EN </w:t>
      </w:r>
      <w:r>
        <w:rPr>
          <w:rFonts w:ascii="Century Gothic" w:eastAsia="Century Gothic" w:hAnsi="Century Gothic" w:cs="Century Gothic"/>
          <w:sz w:val="26"/>
          <w:szCs w:val="26"/>
        </w:rPr>
        <w:t xml:space="preserve">OFICIALÍA DE PARTES </w:t>
      </w:r>
      <w:r>
        <w:rPr>
          <w:rFonts w:ascii="Century Gothic" w:eastAsia="Century Gothic" w:hAnsi="Century Gothic" w:cs="Century Gothic"/>
          <w:color w:val="000000"/>
          <w:sz w:val="26"/>
          <w:szCs w:val="26"/>
        </w:rPr>
        <w:t>DEL H. CONGRESO DEL ESTADO DE CHIHUAHUA A LOS 1</w:t>
      </w:r>
      <w:r>
        <w:rPr>
          <w:rFonts w:ascii="Century Gothic" w:eastAsia="Century Gothic" w:hAnsi="Century Gothic" w:cs="Century Gothic"/>
          <w:sz w:val="26"/>
          <w:szCs w:val="26"/>
        </w:rPr>
        <w:t>8</w:t>
      </w:r>
      <w:r>
        <w:rPr>
          <w:rFonts w:ascii="Century Gothic" w:eastAsia="Century Gothic" w:hAnsi="Century Gothic" w:cs="Century Gothic"/>
          <w:color w:val="000000"/>
          <w:sz w:val="26"/>
          <w:szCs w:val="26"/>
        </w:rPr>
        <w:t xml:space="preserve"> DÍAS DEL MES DE </w:t>
      </w:r>
      <w:r>
        <w:rPr>
          <w:rFonts w:ascii="Century Gothic" w:eastAsia="Century Gothic" w:hAnsi="Century Gothic" w:cs="Century Gothic"/>
          <w:sz w:val="26"/>
          <w:szCs w:val="26"/>
        </w:rPr>
        <w:t>SEPTIEMBRE</w:t>
      </w:r>
      <w:r>
        <w:rPr>
          <w:rFonts w:ascii="Century Gothic" w:eastAsia="Century Gothic" w:hAnsi="Century Gothic" w:cs="Century Gothic"/>
          <w:color w:val="000000"/>
          <w:sz w:val="26"/>
          <w:szCs w:val="26"/>
        </w:rPr>
        <w:t xml:space="preserve"> DEL 2026. </w:t>
      </w:r>
    </w:p>
    <w:p w14:paraId="1BDBE4B0" w14:textId="77777777" w:rsidR="007B279E" w:rsidRDefault="007B279E">
      <w:pPr>
        <w:spacing w:after="0" w:line="360" w:lineRule="auto"/>
        <w:jc w:val="center"/>
        <w:rPr>
          <w:rFonts w:ascii="Century Gothic" w:eastAsia="Century Gothic" w:hAnsi="Century Gothic" w:cs="Century Gothic"/>
          <w:b/>
          <w:bCs/>
          <w:sz w:val="26"/>
          <w:szCs w:val="26"/>
        </w:rPr>
      </w:pPr>
    </w:p>
    <w:p w14:paraId="5DE0F353" w14:textId="77777777" w:rsidR="007B279E" w:rsidRDefault="0019237C">
      <w:pPr>
        <w:spacing w:after="0" w:line="360" w:lineRule="auto"/>
        <w:jc w:val="center"/>
        <w:rPr>
          <w:rFonts w:ascii="Century Gothic" w:eastAsia="Century Gothic" w:hAnsi="Century Gothic" w:cs="Century Gothic"/>
          <w:b/>
          <w:bCs/>
          <w:sz w:val="26"/>
          <w:szCs w:val="26"/>
        </w:rPr>
      </w:pPr>
      <w:r>
        <w:rPr>
          <w:rFonts w:ascii="Century Gothic" w:eastAsia="Century Gothic" w:hAnsi="Century Gothic" w:cs="Century Gothic"/>
          <w:b/>
          <w:bCs/>
          <w:sz w:val="26"/>
          <w:szCs w:val="26"/>
        </w:rPr>
        <w:t>SUSCRIBE</w:t>
      </w:r>
    </w:p>
    <w:p w14:paraId="19E3AA9F" w14:textId="77777777" w:rsidR="007B279E" w:rsidRDefault="0019237C">
      <w:pPr>
        <w:spacing w:after="0" w:line="360" w:lineRule="auto"/>
        <w:jc w:val="center"/>
        <w:rPr>
          <w:rFonts w:ascii="Century Gothic" w:eastAsia="Century Gothic" w:hAnsi="Century Gothic" w:cs="Century Gothic"/>
          <w:b/>
          <w:bCs/>
          <w:sz w:val="26"/>
          <w:szCs w:val="26"/>
        </w:rPr>
      </w:pPr>
      <w:r>
        <w:rPr>
          <w:rFonts w:ascii="Century Gothic" w:eastAsia="Century Gothic" w:hAnsi="Century Gothic" w:cs="Century Gothic"/>
          <w:b/>
          <w:bCs/>
          <w:sz w:val="26"/>
          <w:szCs w:val="26"/>
        </w:rPr>
        <w:t>GRUPO PARLAMENTARIO D</w:t>
      </w:r>
      <w:r>
        <w:rPr>
          <w:rFonts w:ascii="Century Gothic" w:eastAsia="Century Gothic" w:hAnsi="Century Gothic" w:cs="Century Gothic"/>
          <w:b/>
          <w:bCs/>
          <w:sz w:val="26"/>
          <w:szCs w:val="26"/>
        </w:rPr>
        <w:t>EL PARTIDO ACCIÓN NACIONAL</w:t>
      </w:r>
    </w:p>
    <w:p w14:paraId="4E1545B7" w14:textId="77777777" w:rsidR="007B279E" w:rsidRDefault="007B279E">
      <w:pPr>
        <w:spacing w:line="360" w:lineRule="auto"/>
        <w:rPr>
          <w:rFonts w:ascii="Century Gothic" w:eastAsia="Century Gothic" w:hAnsi="Century Gothic" w:cs="Century Gothic"/>
          <w:b/>
          <w:bCs/>
          <w:sz w:val="26"/>
          <w:szCs w:val="26"/>
        </w:rPr>
      </w:pPr>
    </w:p>
    <w:p w14:paraId="212060EA" w14:textId="77777777" w:rsidR="007B279E" w:rsidRDefault="007B279E">
      <w:pPr>
        <w:spacing w:line="360" w:lineRule="auto"/>
        <w:rPr>
          <w:rFonts w:ascii="Century Gothic" w:eastAsia="Century Gothic" w:hAnsi="Century Gothic" w:cs="Century Gothic"/>
          <w:b/>
          <w:bCs/>
          <w:sz w:val="26"/>
          <w:szCs w:val="26"/>
        </w:rPr>
      </w:pPr>
    </w:p>
    <w:p w14:paraId="7232A5E8" w14:textId="77777777" w:rsidR="007B279E" w:rsidRDefault="0019237C">
      <w:pPr>
        <w:spacing w:line="360" w:lineRule="auto"/>
        <w:jc w:val="center"/>
        <w:rPr>
          <w:rFonts w:ascii="Century Gothic" w:eastAsia="Century Gothic" w:hAnsi="Century Gothic" w:cs="Century Gothic"/>
          <w:b/>
          <w:bCs/>
          <w:sz w:val="26"/>
          <w:szCs w:val="26"/>
        </w:rPr>
      </w:pPr>
      <w:r>
        <w:rPr>
          <w:rFonts w:ascii="Century Gothic" w:eastAsia="Century Gothic" w:hAnsi="Century Gothic" w:cs="Century Gothic"/>
          <w:b/>
          <w:bCs/>
          <w:sz w:val="26"/>
          <w:szCs w:val="26"/>
        </w:rPr>
        <w:t>DIP. JOCELINE VEGA VARGAS</w:t>
      </w:r>
    </w:p>
    <w:p w14:paraId="1C139844" w14:textId="77777777" w:rsidR="007B279E" w:rsidRDefault="007B279E">
      <w:pPr>
        <w:spacing w:line="360" w:lineRule="auto"/>
        <w:rPr>
          <w:rFonts w:ascii="Century Gothic" w:eastAsia="Century Gothic" w:hAnsi="Century Gothic" w:cs="Century Gothic"/>
          <w:b/>
          <w:bCs/>
          <w:sz w:val="24"/>
          <w:szCs w:val="24"/>
        </w:rPr>
      </w:pPr>
    </w:p>
    <w:sectPr w:rsidR="007B279E">
      <w:headerReference w:type="default" r:id="rId7"/>
      <w:footerReference w:type="even" r:id="rId8"/>
      <w:footerReference w:type="default" r:id="rId9"/>
      <w:pgSz w:w="12240" w:h="15840"/>
      <w:pgMar w:top="3969" w:right="1701" w:bottom="1418"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0F2A8" w14:textId="77777777" w:rsidR="00000000" w:rsidRDefault="0019237C">
      <w:pPr>
        <w:spacing w:after="0" w:line="240" w:lineRule="auto"/>
      </w:pPr>
      <w:r>
        <w:separator/>
      </w:r>
    </w:p>
  </w:endnote>
  <w:endnote w:type="continuationSeparator" w:id="0">
    <w:p w14:paraId="77C58497" w14:textId="77777777" w:rsidR="00000000" w:rsidRDefault="001923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FF23DD7E-2D3F-4834-B7B8-312CE2490F0B}"/>
    <w:embedBold r:id="rId2" w:fontKey="{37F679C6-EBFA-46F7-BE8C-855FF1552D2B}"/>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2CAF8C21-6D78-416F-9CC1-FC9B162B9B98}"/>
  </w:font>
  <w:font w:name="Century Gothic">
    <w:panose1 w:val="020B0502020202020204"/>
    <w:charset w:val="00"/>
    <w:family w:val="swiss"/>
    <w:pitch w:val="variable"/>
    <w:sig w:usb0="00000287" w:usb1="00000000" w:usb2="00000000" w:usb3="00000000" w:csb0="0000009F" w:csb1="00000000"/>
    <w:embedRegular r:id="rId4" w:fontKey="{56AE6BC8-8524-4A40-AFEE-EFE00D2E6F17}"/>
    <w:embedBold r:id="rId5" w:fontKey="{CEBAFC58-97E2-4F16-9829-D53AD8392036}"/>
    <w:embedBoldItalic r:id="rId6" w:fontKey="{E4AA5E31-7A6F-4750-A641-2EA6F3AF52A6}"/>
  </w:font>
  <w:font w:name="Cambria">
    <w:panose1 w:val="02040503050406030204"/>
    <w:charset w:val="00"/>
    <w:family w:val="roman"/>
    <w:pitch w:val="variable"/>
    <w:sig w:usb0="E00006FF" w:usb1="420024FF" w:usb2="02000000" w:usb3="00000000" w:csb0="0000019F" w:csb1="00000000"/>
    <w:embedRegular r:id="rId7" w:fontKey="{A84680BC-BFF1-4A72-81AB-DCBB1C3DD7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40636" w14:textId="77777777" w:rsidR="007B279E" w:rsidRDefault="0019237C">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36F2826" w14:textId="77777777" w:rsidR="007B279E" w:rsidRDefault="007B279E">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09C0D" w14:textId="77777777" w:rsidR="007B279E" w:rsidRDefault="0019237C">
    <w:pPr>
      <w:pBdr>
        <w:top w:val="nil"/>
        <w:left w:val="nil"/>
        <w:bottom w:val="nil"/>
        <w:right w:val="nil"/>
        <w:between w:val="nil"/>
      </w:pBdr>
      <w:tabs>
        <w:tab w:val="center" w:pos="4419"/>
        <w:tab w:val="right" w:pos="8838"/>
      </w:tabs>
      <w:spacing w:after="0" w:line="240" w:lineRule="auto"/>
      <w:jc w:val="center"/>
      <w:rPr>
        <w:color w:val="000000"/>
      </w:rPr>
    </w:pPr>
    <w:r>
      <w:rPr>
        <w:rFonts w:ascii="Century Gothic" w:eastAsia="Century Gothic" w:hAnsi="Century Gothic" w:cs="Century Gothic"/>
        <w:color w:val="000000"/>
        <w:sz w:val="26"/>
        <w:szCs w:val="26"/>
      </w:rPr>
      <w:fldChar w:fldCharType="begin"/>
    </w:r>
    <w:r>
      <w:rPr>
        <w:rFonts w:ascii="Century Gothic" w:eastAsia="Century Gothic" w:hAnsi="Century Gothic" w:cs="Century Gothic"/>
        <w:color w:val="000000"/>
        <w:sz w:val="26"/>
        <w:szCs w:val="26"/>
      </w:rPr>
      <w:instrText>PAGE</w:instrText>
    </w:r>
    <w:r>
      <w:rPr>
        <w:rFonts w:ascii="Century Gothic" w:eastAsia="Century Gothic" w:hAnsi="Century Gothic" w:cs="Century Gothic"/>
        <w:color w:val="000000"/>
        <w:sz w:val="26"/>
        <w:szCs w:val="26"/>
      </w:rPr>
      <w:fldChar w:fldCharType="separate"/>
    </w:r>
    <w:r>
      <w:rPr>
        <w:rFonts w:ascii="Century Gothic" w:eastAsia="Century Gothic" w:hAnsi="Century Gothic" w:cs="Century Gothic"/>
        <w:noProof/>
        <w:color w:val="000000"/>
        <w:sz w:val="26"/>
        <w:szCs w:val="26"/>
      </w:rPr>
      <w:t>1</w:t>
    </w:r>
    <w:r>
      <w:rPr>
        <w:rFonts w:ascii="Century Gothic" w:eastAsia="Century Gothic" w:hAnsi="Century Gothic" w:cs="Century Gothic"/>
        <w:color w:val="000000"/>
        <w:sz w:val="26"/>
        <w:szCs w:val="26"/>
      </w:rPr>
      <w:fldChar w:fldCharType="end"/>
    </w:r>
  </w:p>
  <w:p w14:paraId="3FEF987B" w14:textId="77777777" w:rsidR="007B279E" w:rsidRDefault="007B279E">
    <w:pPr>
      <w:pBdr>
        <w:top w:val="nil"/>
        <w:left w:val="nil"/>
        <w:bottom w:val="nil"/>
        <w:right w:val="nil"/>
        <w:between w:val="nil"/>
      </w:pBdr>
      <w:tabs>
        <w:tab w:val="center" w:pos="4419"/>
        <w:tab w:val="right" w:pos="8838"/>
      </w:tabs>
      <w:spacing w:after="0" w:line="240" w:lineRule="auto"/>
      <w:jc w:val="right"/>
      <w:rPr>
        <w:color w:val="000000"/>
      </w:rPr>
    </w:pPr>
  </w:p>
  <w:p w14:paraId="65B986F7" w14:textId="77777777" w:rsidR="007B279E" w:rsidRDefault="007B279E">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51A3B" w14:textId="77777777" w:rsidR="00000000" w:rsidRDefault="0019237C">
      <w:pPr>
        <w:spacing w:after="0" w:line="240" w:lineRule="auto"/>
      </w:pPr>
      <w:r>
        <w:separator/>
      </w:r>
    </w:p>
  </w:footnote>
  <w:footnote w:type="continuationSeparator" w:id="0">
    <w:p w14:paraId="1590E1D6" w14:textId="77777777" w:rsidR="00000000" w:rsidRDefault="001923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346E4" w14:textId="77777777" w:rsidR="007B279E" w:rsidRDefault="0019237C">
    <w:pPr>
      <w:pBdr>
        <w:top w:val="nil"/>
        <w:left w:val="nil"/>
        <w:bottom w:val="nil"/>
        <w:right w:val="nil"/>
        <w:between w:val="nil"/>
      </w:pBdr>
      <w:tabs>
        <w:tab w:val="center" w:pos="4419"/>
        <w:tab w:val="right" w:pos="8838"/>
      </w:tabs>
      <w:spacing w:after="0" w:line="240" w:lineRule="auto"/>
      <w:rPr>
        <w:color w:val="000000"/>
      </w:rPr>
    </w:pPr>
    <w:r>
      <w:rPr>
        <w:noProof/>
      </w:rPr>
      <mc:AlternateContent>
        <mc:Choice Requires="wpg">
          <w:drawing>
            <wp:anchor distT="0" distB="0" distL="0" distR="0" simplePos="0" relativeHeight="251658240" behindDoc="1" locked="0" layoutInCell="1" hidden="0" allowOverlap="1" wp14:anchorId="114A5FA9" wp14:editId="6D447FD4">
              <wp:simplePos x="0" y="0"/>
              <wp:positionH relativeFrom="column">
                <wp:posOffset>1337490</wp:posOffset>
              </wp:positionH>
              <wp:positionV relativeFrom="paragraph">
                <wp:posOffset>-170043</wp:posOffset>
              </wp:positionV>
              <wp:extent cx="4293689" cy="695325"/>
              <wp:effectExtent l="0" t="0" r="0" b="0"/>
              <wp:wrapNone/>
              <wp:docPr id="12" name=""/>
              <wp:cNvGraphicFramePr/>
              <a:graphic xmlns:a="http://schemas.openxmlformats.org/drawingml/2006/main">
                <a:graphicData uri="http://schemas.microsoft.com/office/word/2010/wordprocessingShape">
                  <wps:wsp>
                    <wps:cNvSpPr/>
                    <wps:spPr>
                      <a:xfrm>
                        <a:off x="3218206" y="3451388"/>
                        <a:ext cx="4255589" cy="657225"/>
                      </a:xfrm>
                      <a:prstGeom prst="rect">
                        <a:avLst/>
                      </a:prstGeom>
                      <a:solidFill>
                        <a:srgbClr val="FFFFFF"/>
                      </a:solidFill>
                      <a:ln>
                        <a:noFill/>
                      </a:ln>
                    </wps:spPr>
                    <wps:txbx>
                      <w:txbxContent>
                        <w:p w14:paraId="5A07A15F" w14:textId="77777777" w:rsidR="007B279E" w:rsidRDefault="0019237C">
                          <w:pPr>
                            <w:spacing w:after="0" w:line="240" w:lineRule="auto"/>
                            <w:jc w:val="right"/>
                            <w:textDirection w:val="btLr"/>
                          </w:pPr>
                          <w:r>
                            <w:rPr>
                              <w:rFonts w:ascii="Century Gothic" w:eastAsia="Century Gothic" w:hAnsi="Century Gothic" w:cs="Century Gothic"/>
                              <w:b/>
                              <w:i/>
                              <w:color w:val="000000"/>
                              <w:sz w:val="20"/>
                            </w:rPr>
                            <w:t>“</w:t>
                          </w:r>
                          <w:r>
                            <w:rPr>
                              <w:rFonts w:ascii="Century Gothic" w:eastAsia="Century Gothic" w:hAnsi="Century Gothic" w:cs="Century Gothic"/>
                              <w:b/>
                              <w:color w:val="000000"/>
                            </w:rPr>
                            <w:t>2026, Año del Bicentenario de la Abolición de la Esclavitud en el Estado de Chihuahua</w:t>
                          </w:r>
                          <w:r>
                            <w:rPr>
                              <w:rFonts w:ascii="Century Gothic" w:eastAsia="Century Gothic" w:hAnsi="Century Gothic" w:cs="Century Gothic"/>
                              <w:b/>
                              <w:i/>
                              <w:color w:val="000000"/>
                              <w:sz w:val="28"/>
                            </w:rPr>
                            <w:t xml:space="preserve">”                                                                 </w:t>
                          </w:r>
                        </w:p>
                        <w:p w14:paraId="71C69BBD" w14:textId="77777777" w:rsidR="007B279E" w:rsidRDefault="007B279E">
                          <w:pPr>
                            <w:spacing w:line="258" w:lineRule="auto"/>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1337490</wp:posOffset>
              </wp:positionH>
              <wp:positionV relativeFrom="paragraph">
                <wp:posOffset>-170043</wp:posOffset>
              </wp:positionV>
              <wp:extent cx="4293689" cy="695325"/>
              <wp:effectExtent b="0" l="0" r="0" t="0"/>
              <wp:wrapNone/>
              <wp:docPr id="1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4293689" cy="695325"/>
                      </a:xfrm>
                      <a:prstGeom prst="rect"/>
                      <a:ln/>
                    </pic:spPr>
                  </pic:pic>
                </a:graphicData>
              </a:graphic>
            </wp:anchor>
          </w:drawing>
        </mc:Fallback>
      </mc:AlternateContent>
    </w:r>
    <w:r>
      <w:rPr>
        <w:noProof/>
      </w:rPr>
      <w:drawing>
        <wp:anchor distT="0" distB="0" distL="0" distR="0" simplePos="0" relativeHeight="251659264" behindDoc="1" locked="0" layoutInCell="1" hidden="0" allowOverlap="1" wp14:anchorId="77E8D303" wp14:editId="39F4029E">
          <wp:simplePos x="0" y="0"/>
          <wp:positionH relativeFrom="column">
            <wp:posOffset>3315639</wp:posOffset>
          </wp:positionH>
          <wp:positionV relativeFrom="paragraph">
            <wp:posOffset>788670</wp:posOffset>
          </wp:positionV>
          <wp:extent cx="2296490" cy="1012190"/>
          <wp:effectExtent l="0" t="0" r="0" b="0"/>
          <wp:wrapNone/>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296490" cy="1012190"/>
                  </a:xfrm>
                  <a:prstGeom prst="rect">
                    <a:avLst/>
                  </a:prstGeom>
                  <a:ln/>
                </pic:spPr>
              </pic:pic>
            </a:graphicData>
          </a:graphic>
        </wp:anchor>
      </w:drawing>
    </w:r>
    <w:r>
      <w:rPr>
        <w:noProof/>
      </w:rPr>
      <w:drawing>
        <wp:anchor distT="0" distB="0" distL="0" distR="0" simplePos="0" relativeHeight="251660288" behindDoc="1" locked="0" layoutInCell="1" hidden="0" allowOverlap="1" wp14:anchorId="611529DC" wp14:editId="03F3BB30">
          <wp:simplePos x="0" y="0"/>
          <wp:positionH relativeFrom="column">
            <wp:posOffset>-333371</wp:posOffset>
          </wp:positionH>
          <wp:positionV relativeFrom="paragraph">
            <wp:posOffset>-116201</wp:posOffset>
          </wp:positionV>
          <wp:extent cx="1790700" cy="1790700"/>
          <wp:effectExtent l="0" t="0" r="0" b="0"/>
          <wp:wrapNone/>
          <wp:docPr id="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1790700" cy="1790700"/>
                  </a:xfrm>
                  <a:prstGeom prst="rect">
                    <a:avLst/>
                  </a:prstGeom>
                  <a:ln/>
                </pic:spPr>
              </pic:pic>
            </a:graphicData>
          </a:graphic>
        </wp:anchor>
      </w:drawing>
    </w:r>
    <w:r>
      <w:rPr>
        <w:noProof/>
      </w:rPr>
      <w:drawing>
        <wp:anchor distT="0" distB="0" distL="0" distR="0" simplePos="0" relativeHeight="251661312" behindDoc="1" locked="0" layoutInCell="1" hidden="0" allowOverlap="1" wp14:anchorId="3860C0E2" wp14:editId="72D46A87">
          <wp:simplePos x="0" y="0"/>
          <wp:positionH relativeFrom="column">
            <wp:posOffset>1265555</wp:posOffset>
          </wp:positionH>
          <wp:positionV relativeFrom="paragraph">
            <wp:posOffset>550545</wp:posOffset>
          </wp:positionV>
          <wp:extent cx="4346575" cy="36830"/>
          <wp:effectExtent l="0" t="0" r="0" b="0"/>
          <wp:wrapNone/>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4346575" cy="3683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79E"/>
    <w:rsid w:val="0019237C"/>
    <w:rsid w:val="007B279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9BE28"/>
  <w15:docId w15:val="{19FE54F6-4C6C-46B5-A512-DF10D7995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widowControl w:val="0"/>
      <w:spacing w:after="0" w:line="276" w:lineRule="auto"/>
      <w:ind w:left="163" w:right="50"/>
      <w:jc w:val="center"/>
      <w:outlineLvl w:val="0"/>
    </w:pPr>
    <w:rPr>
      <w:rFonts w:ascii="Arial" w:eastAsia="Arial" w:hAnsi="Arial" w:cs="Arial"/>
      <w:b/>
      <w:bCs/>
      <w:sz w:val="24"/>
      <w:szCs w:val="24"/>
    </w:rPr>
  </w:style>
  <w:style w:type="paragraph" w:styleId="Ttulo2">
    <w:name w:val="heading 2"/>
    <w:basedOn w:val="Normal"/>
    <w:next w:val="Normal"/>
    <w:uiPriority w:val="9"/>
    <w:unhideWhenUsed/>
    <w:qFormat/>
    <w:pPr>
      <w:widowControl w:val="0"/>
      <w:spacing w:after="0" w:line="240" w:lineRule="auto"/>
      <w:ind w:left="163" w:right="132"/>
      <w:jc w:val="center"/>
      <w:outlineLvl w:val="1"/>
    </w:pPr>
    <w:rPr>
      <w:rFonts w:ascii="Arial" w:eastAsia="Arial" w:hAnsi="Arial" w:cs="Arial"/>
      <w:b/>
      <w:bCs/>
      <w:sz w:val="20"/>
      <w:szCs w:val="20"/>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image" Target="media/image4.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MvTzSJiupwo1ahPPWONeZn/Wig==">CgMxLjAyDmgub3MwYWFiNnhlZTFvOAByITFvMTRGRTRlcXM1aWdpLVhQUjVnNVJPUU54QWRfYW5ZMg==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1122</Words>
  <Characters>6175</Characters>
  <Application>Microsoft Office Word</Application>
  <DocSecurity>0</DocSecurity>
  <Lines>51</Lines>
  <Paragraphs>14</Paragraphs>
  <ScaleCrop>false</ScaleCrop>
  <Company/>
  <LinksUpToDate>false</LinksUpToDate>
  <CharactersWithSpaces>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Andrea Daniela Flores Chacon</dc:creator>
  <cp:lastModifiedBy>Andrea Daniela Flores Chacon</cp:lastModifiedBy>
  <cp:revision>2</cp:revision>
  <dcterms:created xsi:type="dcterms:W3CDTF">2026-09-18T18:42:00Z</dcterms:created>
  <dcterms:modified xsi:type="dcterms:W3CDTF">2026-09-18T18:42:00Z</dcterms:modified>
</cp:coreProperties>
</file>