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97DDC" w14:textId="252E8DEA" w:rsidR="00516DA8" w:rsidRDefault="00516DA8" w:rsidP="00516DA8">
      <w:pPr>
        <w:ind w:left="-567"/>
        <w:jc w:val="both"/>
        <w:rPr>
          <w:rFonts w:ascii="Century Gothic" w:hAnsi="Century Gothic" w:cs="Arial"/>
          <w:sz w:val="24"/>
          <w:szCs w:val="24"/>
        </w:rPr>
      </w:pPr>
    </w:p>
    <w:p w14:paraId="6386FCF4" w14:textId="77777777" w:rsidR="00F84725" w:rsidRPr="007D4CEE" w:rsidRDefault="00F84725" w:rsidP="00F84725">
      <w:pPr>
        <w:spacing w:after="0" w:line="360" w:lineRule="auto"/>
        <w:jc w:val="both"/>
        <w:rPr>
          <w:rFonts w:ascii="Century Gothic" w:hAnsi="Century Gothic"/>
          <w:b/>
          <w:bCs/>
          <w:sz w:val="23"/>
          <w:szCs w:val="23"/>
        </w:rPr>
      </w:pPr>
      <w:r w:rsidRPr="007D4CEE">
        <w:rPr>
          <w:rFonts w:ascii="Century Gothic" w:hAnsi="Century Gothic"/>
          <w:b/>
          <w:bCs/>
          <w:sz w:val="23"/>
          <w:szCs w:val="23"/>
        </w:rPr>
        <w:t xml:space="preserve">HONORABLE CONGRESO DEL ESTADO DE CHIHUAHUA </w:t>
      </w:r>
    </w:p>
    <w:p w14:paraId="4CA3101B" w14:textId="77777777" w:rsidR="00F84725" w:rsidRPr="007D4CEE" w:rsidRDefault="00F84725" w:rsidP="00F84725">
      <w:pPr>
        <w:spacing w:after="0" w:line="360" w:lineRule="auto"/>
        <w:jc w:val="both"/>
        <w:rPr>
          <w:rFonts w:ascii="Century Gothic" w:hAnsi="Century Gothic"/>
          <w:b/>
          <w:bCs/>
          <w:sz w:val="23"/>
          <w:szCs w:val="23"/>
        </w:rPr>
      </w:pPr>
      <w:r w:rsidRPr="007D4CEE">
        <w:rPr>
          <w:rFonts w:ascii="Century Gothic" w:hAnsi="Century Gothic"/>
          <w:b/>
          <w:bCs/>
          <w:sz w:val="23"/>
          <w:szCs w:val="23"/>
        </w:rPr>
        <w:t>P R E S E N T E. -</w:t>
      </w:r>
    </w:p>
    <w:p w14:paraId="26ADB221" w14:textId="77777777" w:rsidR="00F84725" w:rsidRPr="007D4CEE" w:rsidRDefault="00F84725" w:rsidP="00F84725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7097590D" w14:textId="24E80844" w:rsidR="00F84725" w:rsidRPr="007D4CEE" w:rsidRDefault="00F84725" w:rsidP="00F84725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7D4CEE">
        <w:rPr>
          <w:rFonts w:ascii="Century Gothic" w:hAnsi="Century Gothic"/>
          <w:sz w:val="23"/>
          <w:szCs w:val="23"/>
        </w:rPr>
        <w:t>Quienes suscribimos en nuestro carácter de diputadas y diputados a la Sexagésima Octava Legislatura del Estado de Chihuahua y en representación del Grupo Parlamentario del Partido Acción Nacional, con fundamento en lo dispuesto por los artículos 169, 174, fracción I y 175 todos de la Ley Orgánica del Poder Legislativo del Estado de Chihuahua; así como artículo 2, fracción IX, del Reglamento Interior y de Prácticas Parlamentarias del Poder Legislativo; compare</w:t>
      </w:r>
      <w:r w:rsidR="00DF7F16">
        <w:rPr>
          <w:rFonts w:ascii="Century Gothic" w:hAnsi="Century Gothic"/>
          <w:sz w:val="23"/>
          <w:szCs w:val="23"/>
        </w:rPr>
        <w:t xml:space="preserve">cemos </w:t>
      </w:r>
      <w:r w:rsidRPr="007D4CEE">
        <w:rPr>
          <w:rFonts w:ascii="Century Gothic" w:hAnsi="Century Gothic"/>
          <w:sz w:val="23"/>
          <w:szCs w:val="23"/>
        </w:rPr>
        <w:t>ante esta Honorable Soberanía, a presentar Proposición con carácter de punto de Acuerdo con el propósito de exhortar</w:t>
      </w:r>
      <w:r w:rsidR="00DF6FB7">
        <w:rPr>
          <w:rFonts w:ascii="Century Gothic" w:hAnsi="Century Gothic"/>
          <w:sz w:val="23"/>
          <w:szCs w:val="23"/>
        </w:rPr>
        <w:t xml:space="preserve"> </w:t>
      </w:r>
      <w:r w:rsidR="00DF6FB7" w:rsidRPr="00DF6FB7">
        <w:rPr>
          <w:rFonts w:ascii="Century Gothic" w:hAnsi="Century Gothic"/>
          <w:sz w:val="23"/>
          <w:szCs w:val="23"/>
        </w:rPr>
        <w:t>a la Secretaría de Educación Pública del Gobierno Federal a realizar una evaluación integral de la política educativa nacional y a presentar una estrategia de recuperación y mejora de los aprendizajes con metas concretas, medibles y verificabl</w:t>
      </w:r>
      <w:r w:rsidR="00DF6FB7">
        <w:rPr>
          <w:rFonts w:ascii="Century Gothic" w:hAnsi="Century Gothic"/>
          <w:sz w:val="23"/>
          <w:szCs w:val="23"/>
        </w:rPr>
        <w:t>es respecto de los resultados</w:t>
      </w:r>
      <w:r w:rsidR="00DF6FB7" w:rsidRPr="00DF6FB7">
        <w:rPr>
          <w:rFonts w:ascii="Century Gothic" w:hAnsi="Century Gothic"/>
          <w:sz w:val="23"/>
          <w:szCs w:val="23"/>
        </w:rPr>
        <w:t xml:space="preserve"> correspondientes a PISA 2025 y publicados el 8 de septiembre de 2026</w:t>
      </w:r>
      <w:r w:rsidR="00DF6FB7">
        <w:rPr>
          <w:rFonts w:ascii="Century Gothic" w:hAnsi="Century Gothic"/>
          <w:sz w:val="23"/>
          <w:szCs w:val="23"/>
        </w:rPr>
        <w:t xml:space="preserve">, </w:t>
      </w:r>
      <w:r w:rsidRPr="007D4CEE">
        <w:rPr>
          <w:rFonts w:ascii="Century Gothic" w:hAnsi="Century Gothic"/>
          <w:sz w:val="23"/>
          <w:szCs w:val="23"/>
        </w:rPr>
        <w:t>al tenor de la siguiente:</w:t>
      </w:r>
    </w:p>
    <w:p w14:paraId="79404958" w14:textId="77777777" w:rsidR="00F84725" w:rsidRPr="007D4CEE" w:rsidRDefault="00F84725" w:rsidP="00F84725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324ABE77" w14:textId="77777777" w:rsidR="00F84725" w:rsidRPr="007D4CEE" w:rsidRDefault="00F84725" w:rsidP="00F84725">
      <w:pPr>
        <w:spacing w:after="0" w:line="360" w:lineRule="auto"/>
        <w:jc w:val="center"/>
        <w:rPr>
          <w:rFonts w:ascii="Century Gothic" w:hAnsi="Century Gothic"/>
          <w:b/>
          <w:bCs/>
          <w:sz w:val="23"/>
          <w:szCs w:val="23"/>
        </w:rPr>
      </w:pPr>
      <w:r w:rsidRPr="007D4CEE">
        <w:rPr>
          <w:rFonts w:ascii="Century Gothic" w:hAnsi="Century Gothic"/>
          <w:b/>
          <w:bCs/>
          <w:sz w:val="23"/>
          <w:szCs w:val="23"/>
        </w:rPr>
        <w:t>EXPOSICIÓN DE MOTIVOS</w:t>
      </w:r>
    </w:p>
    <w:p w14:paraId="78799AB1" w14:textId="77777777" w:rsidR="00F84725" w:rsidRPr="007D4CEE" w:rsidRDefault="00F84725" w:rsidP="00F84725">
      <w:pPr>
        <w:spacing w:after="0" w:line="360" w:lineRule="auto"/>
        <w:jc w:val="center"/>
        <w:rPr>
          <w:rFonts w:ascii="Century Gothic" w:hAnsi="Century Gothic"/>
          <w:b/>
          <w:bCs/>
          <w:sz w:val="23"/>
          <w:szCs w:val="23"/>
        </w:rPr>
      </w:pPr>
    </w:p>
    <w:p w14:paraId="022F55EC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La educación es un derecho humano y una responsabilidad fundamental del Estado mexicano. No se trata únicamente de garantizar que las niñas, niños y adolescentes estén inscritos en una escuela; el Estado tiene también la responsabilidad de generar las condiciones necesarias para que aprendan y desarrollen las competencias indispensables para su vida académica, profesional y social.</w:t>
      </w:r>
    </w:p>
    <w:p w14:paraId="6CFFFB6D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335D6363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Por ello, los resultados del Programa para la Evaluación Internacional de los Estudiantes, PISA, constituyen un indicador relevante para evaluar la situación del sistema educativo mexicano.</w:t>
      </w:r>
    </w:p>
    <w:p w14:paraId="20BA8ED4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300627E5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lastRenderedPageBreak/>
        <w:t>México participa en PISA desde el año 2000. La evaluación mide las competencias de estudiantes de 15 años en áreas fundamentales como matemáticas, lectura y ciencias, permitiendo comparar el desempeño de los sistemas educativos entre países y a través del tiempo.</w:t>
      </w:r>
    </w:p>
    <w:p w14:paraId="77353D9A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3B2FC8E4" w14:textId="701E5CEB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Los resultados más recientes, correspondientes a PISA 2025 y publicados el 8 de septiembre de 2026, vuelven a colocar sobre la mesa una realidad que no puede ser ignorada.</w:t>
      </w:r>
      <w:r w:rsidR="007B3841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México obtuvo</w:t>
      </w:r>
      <w:r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388 puntos en matemáticas</w:t>
      </w:r>
      <w:r>
        <w:rPr>
          <w:rFonts w:ascii="Century Gothic" w:hAnsi="Century Gothic"/>
          <w:sz w:val="23"/>
          <w:szCs w:val="23"/>
        </w:rPr>
        <w:t xml:space="preserve">, </w:t>
      </w:r>
      <w:r w:rsidRPr="000A7C7A">
        <w:rPr>
          <w:rFonts w:ascii="Century Gothic" w:hAnsi="Century Gothic"/>
          <w:sz w:val="23"/>
          <w:szCs w:val="23"/>
        </w:rPr>
        <w:t>408 puntos en lectura y</w:t>
      </w:r>
      <w:r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414 puntos en ciencias.</w:t>
      </w:r>
    </w:p>
    <w:p w14:paraId="333AB775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6E9CDB2B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La situación es particularmente preocupante en matemáticas, donde México registró una disminución de 7 puntos respecto de PISA 2022. En lectura también se registró una disminución de 7 puntos, mientras que ciencias aumentó 4 puntos, aunque la OCDE señala que este último cambio no fue estadísticamente significativo.</w:t>
      </w:r>
    </w:p>
    <w:p w14:paraId="1290EE65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50816FBB" w14:textId="6D8130D1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Por tanto, el resultado de 2025 no representa una recuperación generalizada del sistema educativo mexicano.</w:t>
      </w:r>
      <w:r w:rsidR="003E75E3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Por el contrario, matemáticas y lectura continúan mostrando un desempeño preocupante.</w:t>
      </w:r>
    </w:p>
    <w:p w14:paraId="10A83B65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1CE06C8D" w14:textId="3E843AA1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Para dimensionar el problema es necesario mirar los resultados en perspectiva histórica.</w:t>
      </w:r>
      <w:r w:rsidR="007B3841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 xml:space="preserve">Durante el gobierno del </w:t>
      </w:r>
      <w:proofErr w:type="gramStart"/>
      <w:r w:rsidRPr="000A7C7A">
        <w:rPr>
          <w:rFonts w:ascii="Century Gothic" w:hAnsi="Century Gothic"/>
          <w:sz w:val="23"/>
          <w:szCs w:val="23"/>
        </w:rPr>
        <w:t>Presidente</w:t>
      </w:r>
      <w:proofErr w:type="gramEnd"/>
      <w:r w:rsidRPr="000A7C7A">
        <w:rPr>
          <w:rFonts w:ascii="Century Gothic" w:hAnsi="Century Gothic"/>
          <w:sz w:val="23"/>
          <w:szCs w:val="23"/>
        </w:rPr>
        <w:t xml:space="preserve"> Felipe Calderón, México participó en PISA 2006 y 2009, y la evaluación de 2012 correspondió al último año de su administración, aunque sus resultados fueron publicados posteriormente.</w:t>
      </w:r>
    </w:p>
    <w:p w14:paraId="68B12F58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70721FCD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Los resultados fueron los siguientes:</w:t>
      </w:r>
    </w:p>
    <w:p w14:paraId="653AFDB2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23238A2E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PISA</w:t>
      </w:r>
      <w:r w:rsidRPr="000A7C7A">
        <w:rPr>
          <w:rFonts w:ascii="Century Gothic" w:hAnsi="Century Gothic"/>
          <w:sz w:val="23"/>
          <w:szCs w:val="23"/>
        </w:rPr>
        <w:tab/>
        <w:t>Matemáticas</w:t>
      </w:r>
      <w:r w:rsidRPr="000A7C7A">
        <w:rPr>
          <w:rFonts w:ascii="Century Gothic" w:hAnsi="Century Gothic"/>
          <w:sz w:val="23"/>
          <w:szCs w:val="23"/>
        </w:rPr>
        <w:tab/>
        <w:t>Lectura</w:t>
      </w:r>
      <w:r w:rsidRPr="000A7C7A">
        <w:rPr>
          <w:rFonts w:ascii="Century Gothic" w:hAnsi="Century Gothic"/>
          <w:sz w:val="23"/>
          <w:szCs w:val="23"/>
        </w:rPr>
        <w:tab/>
        <w:t>Ciencias</w:t>
      </w:r>
    </w:p>
    <w:p w14:paraId="2578CB7F" w14:textId="46FFE5EC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2006</w:t>
      </w:r>
      <w:r w:rsidRPr="000A7C7A">
        <w:rPr>
          <w:rFonts w:ascii="Century Gothic" w:hAnsi="Century Gothic"/>
          <w:sz w:val="23"/>
          <w:szCs w:val="23"/>
        </w:rPr>
        <w:tab/>
      </w:r>
      <w:r w:rsidR="007B3841">
        <w:rPr>
          <w:rFonts w:ascii="Century Gothic" w:hAnsi="Century Gothic"/>
          <w:sz w:val="23"/>
          <w:szCs w:val="23"/>
        </w:rPr>
        <w:t xml:space="preserve">  </w:t>
      </w:r>
      <w:r w:rsidR="00F86D1D">
        <w:rPr>
          <w:rFonts w:ascii="Century Gothic" w:hAnsi="Century Gothic"/>
          <w:sz w:val="23"/>
          <w:szCs w:val="23"/>
        </w:rPr>
        <w:t xml:space="preserve">    </w:t>
      </w:r>
      <w:r w:rsidR="007B3841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406</w:t>
      </w:r>
      <w:r w:rsidRPr="000A7C7A">
        <w:rPr>
          <w:rFonts w:ascii="Century Gothic" w:hAnsi="Century Gothic"/>
          <w:sz w:val="23"/>
          <w:szCs w:val="23"/>
        </w:rPr>
        <w:tab/>
      </w:r>
      <w:r w:rsidR="00F86D1D">
        <w:rPr>
          <w:rFonts w:ascii="Century Gothic" w:hAnsi="Century Gothic"/>
          <w:sz w:val="23"/>
          <w:szCs w:val="23"/>
        </w:rPr>
        <w:t xml:space="preserve">               </w:t>
      </w:r>
      <w:r w:rsidRPr="000A7C7A">
        <w:rPr>
          <w:rFonts w:ascii="Century Gothic" w:hAnsi="Century Gothic"/>
          <w:sz w:val="23"/>
          <w:szCs w:val="23"/>
        </w:rPr>
        <w:t>410</w:t>
      </w:r>
      <w:r w:rsidRPr="000A7C7A">
        <w:rPr>
          <w:rFonts w:ascii="Century Gothic" w:hAnsi="Century Gothic"/>
          <w:sz w:val="23"/>
          <w:szCs w:val="23"/>
        </w:rPr>
        <w:tab/>
      </w:r>
      <w:r w:rsidR="00F86D1D">
        <w:rPr>
          <w:rFonts w:ascii="Century Gothic" w:hAnsi="Century Gothic"/>
          <w:sz w:val="23"/>
          <w:szCs w:val="23"/>
        </w:rPr>
        <w:t xml:space="preserve">               </w:t>
      </w:r>
      <w:r w:rsidRPr="000A7C7A">
        <w:rPr>
          <w:rFonts w:ascii="Century Gothic" w:hAnsi="Century Gothic"/>
          <w:sz w:val="23"/>
          <w:szCs w:val="23"/>
        </w:rPr>
        <w:t>410</w:t>
      </w:r>
    </w:p>
    <w:p w14:paraId="2623973D" w14:textId="324AFD50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2009</w:t>
      </w:r>
      <w:r w:rsidRPr="000A7C7A">
        <w:rPr>
          <w:rFonts w:ascii="Century Gothic" w:hAnsi="Century Gothic"/>
          <w:sz w:val="23"/>
          <w:szCs w:val="23"/>
        </w:rPr>
        <w:tab/>
      </w:r>
      <w:r w:rsidR="00F86D1D">
        <w:rPr>
          <w:rFonts w:ascii="Century Gothic" w:hAnsi="Century Gothic"/>
          <w:sz w:val="23"/>
          <w:szCs w:val="23"/>
        </w:rPr>
        <w:t xml:space="preserve">       </w:t>
      </w:r>
      <w:r w:rsidRPr="000A7C7A">
        <w:rPr>
          <w:rFonts w:ascii="Century Gothic" w:hAnsi="Century Gothic"/>
          <w:sz w:val="23"/>
          <w:szCs w:val="23"/>
        </w:rPr>
        <w:t>419</w:t>
      </w:r>
      <w:r w:rsidRPr="000A7C7A">
        <w:rPr>
          <w:rFonts w:ascii="Century Gothic" w:hAnsi="Century Gothic"/>
          <w:sz w:val="23"/>
          <w:szCs w:val="23"/>
        </w:rPr>
        <w:tab/>
      </w:r>
      <w:r w:rsidR="00F86D1D">
        <w:rPr>
          <w:rFonts w:ascii="Century Gothic" w:hAnsi="Century Gothic"/>
          <w:sz w:val="23"/>
          <w:szCs w:val="23"/>
        </w:rPr>
        <w:t xml:space="preserve">               </w:t>
      </w:r>
      <w:r w:rsidRPr="000A7C7A">
        <w:rPr>
          <w:rFonts w:ascii="Century Gothic" w:hAnsi="Century Gothic"/>
          <w:sz w:val="23"/>
          <w:szCs w:val="23"/>
        </w:rPr>
        <w:t>425</w:t>
      </w:r>
      <w:r w:rsidRPr="000A7C7A">
        <w:rPr>
          <w:rFonts w:ascii="Century Gothic" w:hAnsi="Century Gothic"/>
          <w:sz w:val="23"/>
          <w:szCs w:val="23"/>
        </w:rPr>
        <w:tab/>
      </w:r>
      <w:r w:rsidR="00F86D1D">
        <w:rPr>
          <w:rFonts w:ascii="Century Gothic" w:hAnsi="Century Gothic"/>
          <w:sz w:val="23"/>
          <w:szCs w:val="23"/>
        </w:rPr>
        <w:t xml:space="preserve">               </w:t>
      </w:r>
      <w:r w:rsidRPr="000A7C7A">
        <w:rPr>
          <w:rFonts w:ascii="Century Gothic" w:hAnsi="Century Gothic"/>
          <w:sz w:val="23"/>
          <w:szCs w:val="23"/>
        </w:rPr>
        <w:t>416</w:t>
      </w:r>
    </w:p>
    <w:p w14:paraId="3E6DB94E" w14:textId="75869E1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lastRenderedPageBreak/>
        <w:t>2012</w:t>
      </w:r>
      <w:r w:rsidRPr="000A7C7A">
        <w:rPr>
          <w:rFonts w:ascii="Century Gothic" w:hAnsi="Century Gothic"/>
          <w:sz w:val="23"/>
          <w:szCs w:val="23"/>
        </w:rPr>
        <w:tab/>
      </w:r>
      <w:r w:rsidR="00F86D1D">
        <w:rPr>
          <w:rFonts w:ascii="Century Gothic" w:hAnsi="Century Gothic"/>
          <w:sz w:val="23"/>
          <w:szCs w:val="23"/>
        </w:rPr>
        <w:t xml:space="preserve">      </w:t>
      </w:r>
      <w:r w:rsidRPr="000A7C7A">
        <w:rPr>
          <w:rFonts w:ascii="Century Gothic" w:hAnsi="Century Gothic"/>
          <w:sz w:val="23"/>
          <w:szCs w:val="23"/>
        </w:rPr>
        <w:t>413</w:t>
      </w:r>
      <w:r w:rsidRPr="000A7C7A">
        <w:rPr>
          <w:rFonts w:ascii="Century Gothic" w:hAnsi="Century Gothic"/>
          <w:sz w:val="23"/>
          <w:szCs w:val="23"/>
        </w:rPr>
        <w:tab/>
      </w:r>
      <w:r w:rsidR="00F86D1D">
        <w:rPr>
          <w:rFonts w:ascii="Century Gothic" w:hAnsi="Century Gothic"/>
          <w:sz w:val="23"/>
          <w:szCs w:val="23"/>
        </w:rPr>
        <w:t xml:space="preserve">            </w:t>
      </w:r>
      <w:r w:rsidRPr="000A7C7A">
        <w:rPr>
          <w:rFonts w:ascii="Century Gothic" w:hAnsi="Century Gothic"/>
          <w:sz w:val="23"/>
          <w:szCs w:val="23"/>
        </w:rPr>
        <w:t>424</w:t>
      </w:r>
      <w:r w:rsidRPr="000A7C7A">
        <w:rPr>
          <w:rFonts w:ascii="Century Gothic" w:hAnsi="Century Gothic"/>
          <w:sz w:val="23"/>
          <w:szCs w:val="23"/>
        </w:rPr>
        <w:tab/>
      </w:r>
      <w:r w:rsidR="00F86D1D">
        <w:rPr>
          <w:rFonts w:ascii="Century Gothic" w:hAnsi="Century Gothic"/>
          <w:sz w:val="23"/>
          <w:szCs w:val="23"/>
        </w:rPr>
        <w:t xml:space="preserve">               </w:t>
      </w:r>
      <w:r w:rsidRPr="000A7C7A">
        <w:rPr>
          <w:rFonts w:ascii="Century Gothic" w:hAnsi="Century Gothic"/>
          <w:sz w:val="23"/>
          <w:szCs w:val="23"/>
        </w:rPr>
        <w:t>415</w:t>
      </w:r>
    </w:p>
    <w:p w14:paraId="126ABD61" w14:textId="62EE338B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2015</w:t>
      </w:r>
      <w:r w:rsidRPr="000A7C7A">
        <w:rPr>
          <w:rFonts w:ascii="Century Gothic" w:hAnsi="Century Gothic"/>
          <w:sz w:val="23"/>
          <w:szCs w:val="23"/>
        </w:rPr>
        <w:tab/>
      </w:r>
      <w:r w:rsidR="001A01EA">
        <w:rPr>
          <w:rFonts w:ascii="Century Gothic" w:hAnsi="Century Gothic"/>
          <w:sz w:val="23"/>
          <w:szCs w:val="23"/>
        </w:rPr>
        <w:t xml:space="preserve">      </w:t>
      </w:r>
      <w:r w:rsidRPr="000A7C7A">
        <w:rPr>
          <w:rFonts w:ascii="Century Gothic" w:hAnsi="Century Gothic"/>
          <w:sz w:val="23"/>
          <w:szCs w:val="23"/>
        </w:rPr>
        <w:t>408</w:t>
      </w:r>
      <w:r w:rsidRPr="000A7C7A">
        <w:rPr>
          <w:rFonts w:ascii="Century Gothic" w:hAnsi="Century Gothic"/>
          <w:sz w:val="23"/>
          <w:szCs w:val="23"/>
        </w:rPr>
        <w:tab/>
      </w:r>
      <w:r w:rsidR="001A01EA">
        <w:rPr>
          <w:rFonts w:ascii="Century Gothic" w:hAnsi="Century Gothic"/>
          <w:sz w:val="23"/>
          <w:szCs w:val="23"/>
        </w:rPr>
        <w:t xml:space="preserve">            </w:t>
      </w:r>
      <w:r w:rsidRPr="000A7C7A">
        <w:rPr>
          <w:rFonts w:ascii="Century Gothic" w:hAnsi="Century Gothic"/>
          <w:sz w:val="23"/>
          <w:szCs w:val="23"/>
        </w:rPr>
        <w:t>423</w:t>
      </w:r>
      <w:r w:rsidRPr="000A7C7A">
        <w:rPr>
          <w:rFonts w:ascii="Century Gothic" w:hAnsi="Century Gothic"/>
          <w:sz w:val="23"/>
          <w:szCs w:val="23"/>
        </w:rPr>
        <w:tab/>
      </w:r>
      <w:r w:rsidR="001A01EA">
        <w:rPr>
          <w:rFonts w:ascii="Century Gothic" w:hAnsi="Century Gothic"/>
          <w:sz w:val="23"/>
          <w:szCs w:val="23"/>
        </w:rPr>
        <w:t xml:space="preserve">               </w:t>
      </w:r>
      <w:r w:rsidRPr="000A7C7A">
        <w:rPr>
          <w:rFonts w:ascii="Century Gothic" w:hAnsi="Century Gothic"/>
          <w:sz w:val="23"/>
          <w:szCs w:val="23"/>
        </w:rPr>
        <w:t>416</w:t>
      </w:r>
    </w:p>
    <w:p w14:paraId="23EFF620" w14:textId="14C8E44F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2018</w:t>
      </w:r>
      <w:r w:rsidRPr="000A7C7A">
        <w:rPr>
          <w:rFonts w:ascii="Century Gothic" w:hAnsi="Century Gothic"/>
          <w:sz w:val="23"/>
          <w:szCs w:val="23"/>
        </w:rPr>
        <w:tab/>
      </w:r>
      <w:r w:rsidR="001A01EA">
        <w:rPr>
          <w:rFonts w:ascii="Century Gothic" w:hAnsi="Century Gothic"/>
          <w:sz w:val="23"/>
          <w:szCs w:val="23"/>
        </w:rPr>
        <w:t xml:space="preserve">      </w:t>
      </w:r>
      <w:r w:rsidRPr="000A7C7A">
        <w:rPr>
          <w:rFonts w:ascii="Century Gothic" w:hAnsi="Century Gothic"/>
          <w:sz w:val="23"/>
          <w:szCs w:val="23"/>
        </w:rPr>
        <w:t>409</w:t>
      </w:r>
      <w:r w:rsidRPr="000A7C7A">
        <w:rPr>
          <w:rFonts w:ascii="Century Gothic" w:hAnsi="Century Gothic"/>
          <w:sz w:val="23"/>
          <w:szCs w:val="23"/>
        </w:rPr>
        <w:tab/>
      </w:r>
      <w:r w:rsidR="001A01EA">
        <w:rPr>
          <w:rFonts w:ascii="Century Gothic" w:hAnsi="Century Gothic"/>
          <w:sz w:val="23"/>
          <w:szCs w:val="23"/>
        </w:rPr>
        <w:t xml:space="preserve">            </w:t>
      </w:r>
      <w:r w:rsidRPr="000A7C7A">
        <w:rPr>
          <w:rFonts w:ascii="Century Gothic" w:hAnsi="Century Gothic"/>
          <w:sz w:val="23"/>
          <w:szCs w:val="23"/>
        </w:rPr>
        <w:t>420</w:t>
      </w:r>
      <w:r w:rsidR="001A01EA">
        <w:rPr>
          <w:rFonts w:ascii="Century Gothic" w:hAnsi="Century Gothic"/>
          <w:sz w:val="23"/>
          <w:szCs w:val="23"/>
        </w:rPr>
        <w:t xml:space="preserve">                   </w:t>
      </w:r>
      <w:r w:rsidRPr="000A7C7A">
        <w:rPr>
          <w:rFonts w:ascii="Century Gothic" w:hAnsi="Century Gothic"/>
          <w:sz w:val="23"/>
          <w:szCs w:val="23"/>
        </w:rPr>
        <w:t>419</w:t>
      </w:r>
    </w:p>
    <w:p w14:paraId="47C1F2D4" w14:textId="298347B2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2022</w:t>
      </w:r>
      <w:r w:rsidRPr="000A7C7A">
        <w:rPr>
          <w:rFonts w:ascii="Century Gothic" w:hAnsi="Century Gothic"/>
          <w:sz w:val="23"/>
          <w:szCs w:val="23"/>
        </w:rPr>
        <w:tab/>
      </w:r>
      <w:r w:rsidR="001A01EA">
        <w:rPr>
          <w:rFonts w:ascii="Century Gothic" w:hAnsi="Century Gothic"/>
          <w:sz w:val="23"/>
          <w:szCs w:val="23"/>
        </w:rPr>
        <w:t xml:space="preserve">      </w:t>
      </w:r>
      <w:r w:rsidRPr="000A7C7A">
        <w:rPr>
          <w:rFonts w:ascii="Century Gothic" w:hAnsi="Century Gothic"/>
          <w:sz w:val="23"/>
          <w:szCs w:val="23"/>
        </w:rPr>
        <w:t>395</w:t>
      </w:r>
      <w:r w:rsidR="001A01EA">
        <w:rPr>
          <w:rFonts w:ascii="Century Gothic" w:hAnsi="Century Gothic"/>
          <w:sz w:val="23"/>
          <w:szCs w:val="23"/>
        </w:rPr>
        <w:t xml:space="preserve">                      </w:t>
      </w:r>
      <w:r w:rsidRPr="000A7C7A">
        <w:rPr>
          <w:rFonts w:ascii="Century Gothic" w:hAnsi="Century Gothic"/>
          <w:sz w:val="23"/>
          <w:szCs w:val="23"/>
        </w:rPr>
        <w:t>415</w:t>
      </w:r>
      <w:r w:rsidRPr="000A7C7A">
        <w:rPr>
          <w:rFonts w:ascii="Century Gothic" w:hAnsi="Century Gothic"/>
          <w:sz w:val="23"/>
          <w:szCs w:val="23"/>
        </w:rPr>
        <w:tab/>
      </w:r>
      <w:r w:rsidR="001A01EA">
        <w:rPr>
          <w:rFonts w:ascii="Century Gothic" w:hAnsi="Century Gothic"/>
          <w:sz w:val="23"/>
          <w:szCs w:val="23"/>
        </w:rPr>
        <w:t xml:space="preserve">               </w:t>
      </w:r>
      <w:r w:rsidRPr="000A7C7A">
        <w:rPr>
          <w:rFonts w:ascii="Century Gothic" w:hAnsi="Century Gothic"/>
          <w:sz w:val="23"/>
          <w:szCs w:val="23"/>
        </w:rPr>
        <w:t>410</w:t>
      </w:r>
    </w:p>
    <w:p w14:paraId="768D9A9C" w14:textId="21789A6A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2025</w:t>
      </w:r>
      <w:r w:rsidRPr="000A7C7A">
        <w:rPr>
          <w:rFonts w:ascii="Century Gothic" w:hAnsi="Century Gothic"/>
          <w:sz w:val="23"/>
          <w:szCs w:val="23"/>
        </w:rPr>
        <w:tab/>
      </w:r>
      <w:r w:rsidR="001A01EA">
        <w:rPr>
          <w:rFonts w:ascii="Century Gothic" w:hAnsi="Century Gothic"/>
          <w:sz w:val="23"/>
          <w:szCs w:val="23"/>
        </w:rPr>
        <w:t xml:space="preserve">      </w:t>
      </w:r>
      <w:r w:rsidRPr="000A7C7A">
        <w:rPr>
          <w:rFonts w:ascii="Century Gothic" w:hAnsi="Century Gothic"/>
          <w:sz w:val="23"/>
          <w:szCs w:val="23"/>
        </w:rPr>
        <w:t>388</w:t>
      </w:r>
      <w:r w:rsidR="001A01EA">
        <w:rPr>
          <w:rFonts w:ascii="Century Gothic" w:hAnsi="Century Gothic"/>
          <w:sz w:val="23"/>
          <w:szCs w:val="23"/>
        </w:rPr>
        <w:t xml:space="preserve">                      </w:t>
      </w:r>
      <w:r w:rsidRPr="000A7C7A">
        <w:rPr>
          <w:rFonts w:ascii="Century Gothic" w:hAnsi="Century Gothic"/>
          <w:sz w:val="23"/>
          <w:szCs w:val="23"/>
        </w:rPr>
        <w:t>408</w:t>
      </w:r>
      <w:r w:rsidRPr="000A7C7A">
        <w:rPr>
          <w:rFonts w:ascii="Century Gothic" w:hAnsi="Century Gothic"/>
          <w:sz w:val="23"/>
          <w:szCs w:val="23"/>
        </w:rPr>
        <w:tab/>
      </w:r>
      <w:r w:rsidR="001A01EA">
        <w:rPr>
          <w:rFonts w:ascii="Century Gothic" w:hAnsi="Century Gothic"/>
          <w:sz w:val="23"/>
          <w:szCs w:val="23"/>
        </w:rPr>
        <w:t xml:space="preserve">               </w:t>
      </w:r>
      <w:r w:rsidRPr="000A7C7A">
        <w:rPr>
          <w:rFonts w:ascii="Century Gothic" w:hAnsi="Century Gothic"/>
          <w:sz w:val="23"/>
          <w:szCs w:val="23"/>
        </w:rPr>
        <w:t>414</w:t>
      </w:r>
    </w:p>
    <w:p w14:paraId="6293B7FC" w14:textId="77777777" w:rsidR="000A7C7A" w:rsidRPr="004C2DEA" w:rsidRDefault="000A7C7A" w:rsidP="000A7C7A">
      <w:pPr>
        <w:spacing w:after="0" w:line="360" w:lineRule="auto"/>
        <w:jc w:val="both"/>
        <w:rPr>
          <w:rFonts w:ascii="Century Gothic" w:hAnsi="Century Gothic"/>
          <w:sz w:val="16"/>
          <w:szCs w:val="16"/>
        </w:rPr>
      </w:pPr>
      <w:r w:rsidRPr="004C2DEA">
        <w:rPr>
          <w:rFonts w:ascii="Century Gothic" w:hAnsi="Century Gothic"/>
          <w:sz w:val="16"/>
          <w:szCs w:val="16"/>
        </w:rPr>
        <w:t>Fuente: OCDE, bases y reportes PISA.</w:t>
      </w:r>
    </w:p>
    <w:p w14:paraId="58061FCD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5575119B" w14:textId="7ECE110E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Los datos permiten observar que el máximo resultado de México en matemáticas fue de 419 puntos en 2009, mientras que en 2025 se obtuvo un resultado de 388 puntos.</w:t>
      </w:r>
      <w:r w:rsidR="004C2DEA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Esto representa una diferencia de 31 puntos menos respecto de aquel resultado.</w:t>
      </w:r>
    </w:p>
    <w:p w14:paraId="0731560E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078699EB" w14:textId="265249C4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En lectura, México pasó de 425 puntos en 2009 a 408 en 2025, una diferencia de 17 puntos.</w:t>
      </w:r>
      <w:r w:rsidR="004C2DEA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En ciencias, pasó de 416 a 414 puntos, una diferencia de 2 puntos.</w:t>
      </w:r>
    </w:p>
    <w:p w14:paraId="51CB80AC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1B2AB512" w14:textId="7D0F3CAD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Es particularmente importante destacar que la caída no se presenta únicamente frente a un resultado aislado.</w:t>
      </w:r>
      <w:r w:rsidR="003E75E3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La propia OCDE señala que, en matemáticas y lectura, los resultados recientes de México se encuentran por debajo de los observados entre 2009 y 2018. En ciencias, en cambio, el comportamiento histórico ha sido mucho más estable.</w:t>
      </w:r>
    </w:p>
    <w:p w14:paraId="50713EEB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2EE962DD" w14:textId="502F1CB9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Existe otro elemento que hace especialmente relevante la comparación.</w:t>
      </w:r>
      <w:r w:rsidR="004C2DEA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 xml:space="preserve">En noviembre de 2007, el gobierno del </w:t>
      </w:r>
      <w:proofErr w:type="gramStart"/>
      <w:r w:rsidRPr="000A7C7A">
        <w:rPr>
          <w:rFonts w:ascii="Century Gothic" w:hAnsi="Century Gothic"/>
          <w:sz w:val="23"/>
          <w:szCs w:val="23"/>
        </w:rPr>
        <w:t>Presidente</w:t>
      </w:r>
      <w:proofErr w:type="gramEnd"/>
      <w:r w:rsidRPr="000A7C7A">
        <w:rPr>
          <w:rFonts w:ascii="Century Gothic" w:hAnsi="Century Gothic"/>
          <w:sz w:val="23"/>
          <w:szCs w:val="23"/>
        </w:rPr>
        <w:t xml:space="preserve"> Felipe Calderón estableció como una de sus principales metas educativas alcanzar para 2012 un promedio nacional combinado de 435 puntos en lectura y matemáticas.</w:t>
      </w:r>
    </w:p>
    <w:p w14:paraId="4A8288E8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0CCB1735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La OCDE señaló en su análisis de México que los avances logrados desde que se estableció esa meta habían sido significativos y que México parecía estar encaminado a cumplirla.</w:t>
      </w:r>
    </w:p>
    <w:p w14:paraId="66460772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5B676FD3" w14:textId="61262B9E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lastRenderedPageBreak/>
        <w:t>Los resultados de PISA 2009 mostraban una evolución positiva</w:t>
      </w:r>
      <w:r w:rsidR="004C2DEA">
        <w:rPr>
          <w:rFonts w:ascii="Century Gothic" w:hAnsi="Century Gothic"/>
          <w:sz w:val="23"/>
          <w:szCs w:val="23"/>
        </w:rPr>
        <w:t xml:space="preserve">, </w:t>
      </w:r>
      <w:r w:rsidRPr="000A7C7A">
        <w:rPr>
          <w:rFonts w:ascii="Century Gothic" w:hAnsi="Century Gothic"/>
          <w:sz w:val="23"/>
          <w:szCs w:val="23"/>
        </w:rPr>
        <w:t>Matemáticas</w:t>
      </w:r>
      <w:r w:rsidR="004C2DEA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de 406 puntos en 2006 a 419 en 2009.</w:t>
      </w:r>
      <w:r w:rsidR="004C2DEA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Lectura de 410 a 425 puntos</w:t>
      </w:r>
      <w:r w:rsidR="004C2DEA">
        <w:rPr>
          <w:rFonts w:ascii="Century Gothic" w:hAnsi="Century Gothic"/>
          <w:sz w:val="23"/>
          <w:szCs w:val="23"/>
        </w:rPr>
        <w:t xml:space="preserve"> y </w:t>
      </w:r>
      <w:r w:rsidRPr="000A7C7A">
        <w:rPr>
          <w:rFonts w:ascii="Century Gothic" w:hAnsi="Century Gothic"/>
          <w:sz w:val="23"/>
          <w:szCs w:val="23"/>
        </w:rPr>
        <w:t>Ciencias de 410 a 416 puntos.</w:t>
      </w:r>
      <w:r w:rsidR="004C2DEA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Es decir, en apenas tres años se registró una mejora de 13 puntos en matemáticas, 15 en lectura y 6 en ciencias.</w:t>
      </w:r>
    </w:p>
    <w:p w14:paraId="2A39D648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4C4B05BE" w14:textId="79ABAFFB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Esto no significa que el sistema educativo mexicano fuera perfecto durante aquel periodo</w:t>
      </w:r>
      <w:r w:rsidR="003E75E3">
        <w:rPr>
          <w:rFonts w:ascii="Century Gothic" w:hAnsi="Century Gothic"/>
          <w:sz w:val="23"/>
          <w:szCs w:val="23"/>
        </w:rPr>
        <w:t>, p</w:t>
      </w:r>
      <w:r w:rsidRPr="000A7C7A">
        <w:rPr>
          <w:rFonts w:ascii="Century Gothic" w:hAnsi="Century Gothic"/>
          <w:sz w:val="23"/>
          <w:szCs w:val="23"/>
        </w:rPr>
        <w:t>ero sí demuestra algo políticamente relevante</w:t>
      </w:r>
      <w:r w:rsidR="003E75E3">
        <w:rPr>
          <w:rFonts w:ascii="Century Gothic" w:hAnsi="Century Gothic"/>
          <w:sz w:val="23"/>
          <w:szCs w:val="23"/>
        </w:rPr>
        <w:t xml:space="preserve">, que </w:t>
      </w:r>
      <w:r w:rsidRPr="000A7C7A">
        <w:rPr>
          <w:rFonts w:ascii="Century Gothic" w:hAnsi="Century Gothic"/>
          <w:sz w:val="23"/>
          <w:szCs w:val="23"/>
        </w:rPr>
        <w:t>existían metas nacionales explícitas de desempeño y una política pública que utilizaba los resultados de PISA como instrumento para medir avances.</w:t>
      </w:r>
    </w:p>
    <w:p w14:paraId="7528316C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7EB0D29C" w14:textId="2604E38F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Por ello, resulta legítimo preguntar por qué, después de aquellos resultados, México no consiguió mantener una trayectoria sostenida de mejora</w:t>
      </w:r>
      <w:r w:rsidR="003E75E3">
        <w:rPr>
          <w:rFonts w:ascii="Century Gothic" w:hAnsi="Century Gothic"/>
          <w:sz w:val="23"/>
          <w:szCs w:val="23"/>
        </w:rPr>
        <w:t>, ya que l</w:t>
      </w:r>
      <w:r w:rsidRPr="000A7C7A">
        <w:rPr>
          <w:rFonts w:ascii="Century Gothic" w:hAnsi="Century Gothic"/>
          <w:sz w:val="23"/>
          <w:szCs w:val="23"/>
        </w:rPr>
        <w:t xml:space="preserve">os resultados de PISA 2025 muestran que </w:t>
      </w:r>
      <w:r w:rsidR="003E75E3">
        <w:rPr>
          <w:rFonts w:ascii="Century Gothic" w:hAnsi="Century Gothic"/>
          <w:sz w:val="23"/>
          <w:szCs w:val="23"/>
        </w:rPr>
        <w:t xml:space="preserve">el sistema educativo en </w:t>
      </w:r>
      <w:r w:rsidRPr="000A7C7A">
        <w:rPr>
          <w:rFonts w:ascii="Century Gothic" w:hAnsi="Century Gothic"/>
          <w:sz w:val="23"/>
          <w:szCs w:val="23"/>
        </w:rPr>
        <w:t xml:space="preserve">México </w:t>
      </w:r>
      <w:r w:rsidR="003E75E3">
        <w:rPr>
          <w:rFonts w:ascii="Century Gothic" w:hAnsi="Century Gothic"/>
          <w:sz w:val="23"/>
          <w:szCs w:val="23"/>
        </w:rPr>
        <w:t>enfrenta una crisis</w:t>
      </w:r>
      <w:r w:rsidRPr="000A7C7A">
        <w:rPr>
          <w:rFonts w:ascii="Century Gothic" w:hAnsi="Century Gothic"/>
          <w:sz w:val="23"/>
          <w:szCs w:val="23"/>
        </w:rPr>
        <w:t>.</w:t>
      </w:r>
    </w:p>
    <w:p w14:paraId="608C9FEF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4DA43548" w14:textId="7A84115A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En matemáticas, solamente 30% de los estudiantes mexicanos alcanzó al menos el nivel 2 de competencia, frente a 65% en promedio en la OCDE.</w:t>
      </w:r>
      <w:r w:rsidR="003E75E3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En lectura, alrededor de 50% de los estudiantes mexicanos alcanzó el nivel 2 o superior, frente a 69% en la OCDE.</w:t>
      </w:r>
      <w:r w:rsidR="003E75E3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En ciencias, aproximadamente 50% alcanzó al menos el nivel 2, frente a 74% en la OCDE.</w:t>
      </w:r>
    </w:p>
    <w:p w14:paraId="2F9CE55F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7818879C" w14:textId="71FD143E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Esto significa que aproximadamente 7 de cada 10 estudiantes mexicanos no alcanzan el nivel básico de competencia matemática establecido por PISA.</w:t>
      </w:r>
      <w:r w:rsidR="003E75E3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En lectura y ciencias, aproximadamente la mitad de los estudiantes tampoco alcanza ese nivel básico</w:t>
      </w:r>
      <w:r w:rsidR="003E75E3">
        <w:rPr>
          <w:rFonts w:ascii="Century Gothic" w:hAnsi="Century Gothic"/>
          <w:sz w:val="23"/>
          <w:szCs w:val="23"/>
        </w:rPr>
        <w:t>. Por lo que l</w:t>
      </w:r>
      <w:r w:rsidRPr="000A7C7A">
        <w:rPr>
          <w:rFonts w:ascii="Century Gothic" w:hAnsi="Century Gothic"/>
          <w:sz w:val="23"/>
          <w:szCs w:val="23"/>
        </w:rPr>
        <w:t>a dimensión del problema exige una respuesta institucional.</w:t>
      </w:r>
    </w:p>
    <w:p w14:paraId="601755EB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02BE5F80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La comparación internacional tampoco resulta favorable para México.</w:t>
      </w:r>
    </w:p>
    <w:p w14:paraId="45474250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En PISA 2025:</w:t>
      </w:r>
    </w:p>
    <w:p w14:paraId="6412E3A7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Área</w:t>
      </w:r>
      <w:r w:rsidRPr="000A7C7A">
        <w:rPr>
          <w:rFonts w:ascii="Century Gothic" w:hAnsi="Century Gothic"/>
          <w:sz w:val="23"/>
          <w:szCs w:val="23"/>
        </w:rPr>
        <w:tab/>
        <w:t>México</w:t>
      </w:r>
      <w:r w:rsidRPr="000A7C7A">
        <w:rPr>
          <w:rFonts w:ascii="Century Gothic" w:hAnsi="Century Gothic"/>
          <w:sz w:val="23"/>
          <w:szCs w:val="23"/>
        </w:rPr>
        <w:tab/>
        <w:t>OCDE</w:t>
      </w:r>
      <w:r w:rsidRPr="000A7C7A">
        <w:rPr>
          <w:rFonts w:ascii="Century Gothic" w:hAnsi="Century Gothic"/>
          <w:sz w:val="23"/>
          <w:szCs w:val="23"/>
        </w:rPr>
        <w:tab/>
        <w:t>Diferencia</w:t>
      </w:r>
    </w:p>
    <w:p w14:paraId="43B475A1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Matemáticas</w:t>
      </w:r>
      <w:r w:rsidRPr="000A7C7A">
        <w:rPr>
          <w:rFonts w:ascii="Century Gothic" w:hAnsi="Century Gothic"/>
          <w:sz w:val="23"/>
          <w:szCs w:val="23"/>
        </w:rPr>
        <w:tab/>
        <w:t>388</w:t>
      </w:r>
      <w:r w:rsidRPr="000A7C7A">
        <w:rPr>
          <w:rFonts w:ascii="Century Gothic" w:hAnsi="Century Gothic"/>
          <w:sz w:val="23"/>
          <w:szCs w:val="23"/>
        </w:rPr>
        <w:tab/>
        <w:t>463</w:t>
      </w:r>
      <w:r w:rsidRPr="000A7C7A">
        <w:rPr>
          <w:rFonts w:ascii="Century Gothic" w:hAnsi="Century Gothic"/>
          <w:sz w:val="23"/>
          <w:szCs w:val="23"/>
        </w:rPr>
        <w:tab/>
        <w:t>-75</w:t>
      </w:r>
    </w:p>
    <w:p w14:paraId="7D1173E8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lastRenderedPageBreak/>
        <w:t>Lectura</w:t>
      </w:r>
      <w:r w:rsidRPr="000A7C7A">
        <w:rPr>
          <w:rFonts w:ascii="Century Gothic" w:hAnsi="Century Gothic"/>
          <w:sz w:val="23"/>
          <w:szCs w:val="23"/>
        </w:rPr>
        <w:tab/>
        <w:t>408</w:t>
      </w:r>
      <w:r w:rsidRPr="000A7C7A">
        <w:rPr>
          <w:rFonts w:ascii="Century Gothic" w:hAnsi="Century Gothic"/>
          <w:sz w:val="23"/>
          <w:szCs w:val="23"/>
        </w:rPr>
        <w:tab/>
        <w:t>461</w:t>
      </w:r>
      <w:r w:rsidRPr="000A7C7A">
        <w:rPr>
          <w:rFonts w:ascii="Century Gothic" w:hAnsi="Century Gothic"/>
          <w:sz w:val="23"/>
          <w:szCs w:val="23"/>
        </w:rPr>
        <w:tab/>
        <w:t>-53</w:t>
      </w:r>
    </w:p>
    <w:p w14:paraId="219883FE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Ciencias</w:t>
      </w:r>
      <w:r w:rsidRPr="000A7C7A">
        <w:rPr>
          <w:rFonts w:ascii="Century Gothic" w:hAnsi="Century Gothic"/>
          <w:sz w:val="23"/>
          <w:szCs w:val="23"/>
        </w:rPr>
        <w:tab/>
        <w:t>414</w:t>
      </w:r>
      <w:r w:rsidRPr="000A7C7A">
        <w:rPr>
          <w:rFonts w:ascii="Century Gothic" w:hAnsi="Century Gothic"/>
          <w:sz w:val="23"/>
          <w:szCs w:val="23"/>
        </w:rPr>
        <w:tab/>
        <w:t>482</w:t>
      </w:r>
      <w:r w:rsidRPr="000A7C7A">
        <w:rPr>
          <w:rFonts w:ascii="Century Gothic" w:hAnsi="Century Gothic"/>
          <w:sz w:val="23"/>
          <w:szCs w:val="23"/>
        </w:rPr>
        <w:tab/>
        <w:t>-68</w:t>
      </w:r>
    </w:p>
    <w:p w14:paraId="730C72B9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6387AF4E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En otras palabras, México se encuentra 75 puntos por debajo del promedio de la OCDE en matemáticas, 53 en lectura y 68 en ciencias.</w:t>
      </w:r>
    </w:p>
    <w:p w14:paraId="675D3B38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6C6A96F0" w14:textId="2CB1DB4F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Estas brechas no pueden ser consideradas normales o irrelevantes</w:t>
      </w:r>
      <w:r w:rsidR="003E75E3">
        <w:rPr>
          <w:rFonts w:ascii="Century Gothic" w:hAnsi="Century Gothic"/>
          <w:sz w:val="23"/>
          <w:szCs w:val="23"/>
        </w:rPr>
        <w:t xml:space="preserve"> dado que r</w:t>
      </w:r>
      <w:r w:rsidRPr="000A7C7A">
        <w:rPr>
          <w:rFonts w:ascii="Century Gothic" w:hAnsi="Century Gothic"/>
          <w:sz w:val="23"/>
          <w:szCs w:val="23"/>
        </w:rPr>
        <w:t>epresentan diferencias importantes en las competencias que los estudiantes desarrollan para resolver problemas, comprender información, analizar evidencia y utilizar conocimientos científicos.</w:t>
      </w:r>
    </w:p>
    <w:p w14:paraId="502D5625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69C72CB8" w14:textId="2DCC2944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La presente propuesta no pretende responsabilizar individualmente a las maestras y maestros</w:t>
      </w:r>
      <w:r w:rsidR="003E75E3">
        <w:rPr>
          <w:rFonts w:ascii="Century Gothic" w:hAnsi="Century Gothic"/>
          <w:sz w:val="23"/>
          <w:szCs w:val="23"/>
        </w:rPr>
        <w:t>, s</w:t>
      </w:r>
      <w:r w:rsidRPr="000A7C7A">
        <w:rPr>
          <w:rFonts w:ascii="Century Gothic" w:hAnsi="Century Gothic"/>
          <w:sz w:val="23"/>
          <w:szCs w:val="23"/>
        </w:rPr>
        <w:t>ería injusto y técnicamente incorrecto</w:t>
      </w:r>
      <w:r w:rsidR="003E75E3">
        <w:rPr>
          <w:rFonts w:ascii="Century Gothic" w:hAnsi="Century Gothic"/>
          <w:sz w:val="23"/>
          <w:szCs w:val="23"/>
        </w:rPr>
        <w:t>, l</w:t>
      </w:r>
      <w:r w:rsidRPr="000A7C7A">
        <w:rPr>
          <w:rFonts w:ascii="Century Gothic" w:hAnsi="Century Gothic"/>
          <w:sz w:val="23"/>
          <w:szCs w:val="23"/>
        </w:rPr>
        <w:t>os docentes enfrentan directamente las consecuencias de las decisiones tomadas a nivel institucional.</w:t>
      </w:r>
    </w:p>
    <w:p w14:paraId="190B8648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7CC1D9E9" w14:textId="500072D6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La discusión debe dirigirse a quienes tienen las facultades constitucionales y legales para diseñar y conducir la política educativa nacional</w:t>
      </w:r>
      <w:r w:rsidR="003E75E3">
        <w:rPr>
          <w:rFonts w:ascii="Century Gothic" w:hAnsi="Century Gothic"/>
          <w:sz w:val="23"/>
          <w:szCs w:val="23"/>
        </w:rPr>
        <w:t xml:space="preserve"> derivado de l</w:t>
      </w:r>
      <w:r w:rsidRPr="000A7C7A">
        <w:rPr>
          <w:rFonts w:ascii="Century Gothic" w:hAnsi="Century Gothic"/>
          <w:sz w:val="23"/>
          <w:szCs w:val="23"/>
        </w:rPr>
        <w:t>a Ley General de Educación vigente, cuya última reforma publicada es de enero de 2026, establece en su artículo 113 que corresponden de manera exclusiva a la autoridad educativa federal, entre otras atribuciones</w:t>
      </w:r>
      <w:r w:rsidR="003E75E3">
        <w:rPr>
          <w:rFonts w:ascii="Century Gothic" w:hAnsi="Century Gothic"/>
          <w:sz w:val="23"/>
          <w:szCs w:val="23"/>
        </w:rPr>
        <w:t xml:space="preserve"> de </w:t>
      </w:r>
      <w:r w:rsidRPr="000A7C7A">
        <w:rPr>
          <w:rFonts w:ascii="Century Gothic" w:hAnsi="Century Gothic"/>
          <w:sz w:val="23"/>
          <w:szCs w:val="23"/>
        </w:rPr>
        <w:t>realizar la planeación y programación globales del Sistema Educativo Nacional;</w:t>
      </w:r>
      <w:r w:rsidR="003E75E3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determinar para toda la República los principios rectores y objetivos de la educación;</w:t>
      </w:r>
      <w:r w:rsidR="003E75E3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establecer los planes y programas de estudio de educación básica;</w:t>
      </w:r>
      <w:r w:rsidR="00402300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regular el sistema integral de formación, capacitación y actualización docente; y</w:t>
      </w:r>
      <w:r w:rsidR="003E75E3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coordinar diversos componentes del sistema educativo nacional.</w:t>
      </w:r>
    </w:p>
    <w:p w14:paraId="33D1AD1E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30AF6DA9" w14:textId="63022969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Por tanto, la Secretaría de Educación Pública no es un actor periférico</w:t>
      </w:r>
      <w:r w:rsidR="004C2DEA">
        <w:rPr>
          <w:rFonts w:ascii="Century Gothic" w:hAnsi="Century Gothic"/>
          <w:sz w:val="23"/>
          <w:szCs w:val="23"/>
        </w:rPr>
        <w:t xml:space="preserve"> puesto que t</w:t>
      </w:r>
      <w:r w:rsidRPr="000A7C7A">
        <w:rPr>
          <w:rFonts w:ascii="Century Gothic" w:hAnsi="Century Gothic"/>
          <w:sz w:val="23"/>
          <w:szCs w:val="23"/>
        </w:rPr>
        <w:t>iene atribuciones centrales para determinar qué se enseña, cómo se organiza el sistema, cuáles son sus objetivos nacionales y cómo se estructura la formación de quienes participan en él.</w:t>
      </w:r>
      <w:r w:rsidR="004C2DEA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 xml:space="preserve">Por esa razón, también debe asumir la responsabilidad </w:t>
      </w:r>
      <w:r w:rsidRPr="000A7C7A">
        <w:rPr>
          <w:rFonts w:ascii="Century Gothic" w:hAnsi="Century Gothic"/>
          <w:sz w:val="23"/>
          <w:szCs w:val="23"/>
        </w:rPr>
        <w:lastRenderedPageBreak/>
        <w:t>institucional de evaluar si esas decisiones están produciendo los resultados esperados.</w:t>
      </w:r>
    </w:p>
    <w:p w14:paraId="550EB0BA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43C36846" w14:textId="5D940128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Es cierto que la pandemia de COVID-19 produjo una afectación extraordinaria en los sistemas educativos</w:t>
      </w:r>
      <w:r w:rsidR="003E75E3">
        <w:rPr>
          <w:rFonts w:ascii="Century Gothic" w:hAnsi="Century Gothic"/>
          <w:sz w:val="23"/>
          <w:szCs w:val="23"/>
        </w:rPr>
        <w:t>, pero t</w:t>
      </w:r>
      <w:r w:rsidRPr="000A7C7A">
        <w:rPr>
          <w:rFonts w:ascii="Century Gothic" w:hAnsi="Century Gothic"/>
          <w:sz w:val="23"/>
          <w:szCs w:val="23"/>
        </w:rPr>
        <w:t>ambién es cierto que PISA 2025 muestra una caída internacional considerable: la propia OCDE reporta que el promedio de los países miembros alcanzó sus niveles históricos más bajos en matemáticas y lectura.</w:t>
      </w:r>
    </w:p>
    <w:p w14:paraId="3A8421AB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1E98C683" w14:textId="38D1557C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Pero este argumento no puede utilizarse para cerrar la discusión</w:t>
      </w:r>
      <w:r w:rsidR="00CB158E">
        <w:rPr>
          <w:rFonts w:ascii="Century Gothic" w:hAnsi="Century Gothic"/>
          <w:sz w:val="23"/>
          <w:szCs w:val="23"/>
        </w:rPr>
        <w:t>, p</w:t>
      </w:r>
      <w:r w:rsidRPr="000A7C7A">
        <w:rPr>
          <w:rFonts w:ascii="Century Gothic" w:hAnsi="Century Gothic"/>
          <w:sz w:val="23"/>
          <w:szCs w:val="23"/>
        </w:rPr>
        <w:t>recisamente porque la pandemia afectó a todos los sistemas educativos, corresponde analizar qué sistemas lograron recuperarse mejor y cuáles continúan rezagados.</w:t>
      </w:r>
    </w:p>
    <w:p w14:paraId="660464B5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04837DFA" w14:textId="49C530E0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La OCDE señala que, entre 2022 y 2025, México perdió 7 puntos en matemáticas y 7 en lectura, mientras que ciencias aumentó 4 puntos sin que el cambio fuera estadísticamente significativo.</w:t>
      </w:r>
      <w:r w:rsidR="004C2DEA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Por ello, la autoridad educativa federal debe explicar cuáles fueron las políticas implementadas para recuperar los aprendizajes y por qué matemáticas y lectura continúan presentando resultados inferiores a los obtenidos en periodos anteriores.</w:t>
      </w:r>
    </w:p>
    <w:p w14:paraId="4384A342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70FA3745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Durante los gobiernos de Morena se ha impulsado una transformación profunda del sistema educativo mediante la denominada Nueva Escuela Mexicana, nuevos planes y programas de estudio y una nueva orientación curricular.</w:t>
      </w:r>
    </w:p>
    <w:p w14:paraId="4A275557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49DC3A31" w14:textId="7ADDDC98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Una política pública de esta magnitud debe evaluarse por sus resultados</w:t>
      </w:r>
      <w:r w:rsidR="00CB158E">
        <w:rPr>
          <w:rFonts w:ascii="Century Gothic" w:hAnsi="Century Gothic"/>
          <w:sz w:val="23"/>
          <w:szCs w:val="23"/>
        </w:rPr>
        <w:t>, n</w:t>
      </w:r>
      <w:r w:rsidRPr="000A7C7A">
        <w:rPr>
          <w:rFonts w:ascii="Century Gothic" w:hAnsi="Century Gothic"/>
          <w:sz w:val="23"/>
          <w:szCs w:val="23"/>
        </w:rPr>
        <w:t>o basta con señalar que existe un nuevo modelo educativo</w:t>
      </w:r>
      <w:r w:rsidR="00CB158E">
        <w:rPr>
          <w:rFonts w:ascii="Century Gothic" w:hAnsi="Century Gothic"/>
          <w:sz w:val="23"/>
          <w:szCs w:val="23"/>
        </w:rPr>
        <w:t xml:space="preserve">, con </w:t>
      </w:r>
      <w:r w:rsidRPr="000A7C7A">
        <w:rPr>
          <w:rFonts w:ascii="Century Gothic" w:hAnsi="Century Gothic"/>
          <w:sz w:val="23"/>
          <w:szCs w:val="23"/>
        </w:rPr>
        <w:t>cambiar planes de estudio</w:t>
      </w:r>
      <w:r w:rsidR="00CB158E">
        <w:rPr>
          <w:rFonts w:ascii="Century Gothic" w:hAnsi="Century Gothic"/>
          <w:sz w:val="23"/>
          <w:szCs w:val="23"/>
        </w:rPr>
        <w:t xml:space="preserve"> y c</w:t>
      </w:r>
      <w:r w:rsidRPr="000A7C7A">
        <w:rPr>
          <w:rFonts w:ascii="Century Gothic" w:hAnsi="Century Gothic"/>
          <w:sz w:val="23"/>
          <w:szCs w:val="23"/>
        </w:rPr>
        <w:t>on modificar materiales educativos.</w:t>
      </w:r>
    </w:p>
    <w:p w14:paraId="20B13EC6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0AA506EB" w14:textId="25CAE71B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La pregunta fundamental es:</w:t>
      </w:r>
      <w:r w:rsidR="00CB158E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¿Los estudiantes están aprendiendo más?</w:t>
      </w:r>
      <w:r w:rsidR="00CB158E">
        <w:rPr>
          <w:rFonts w:ascii="Century Gothic" w:hAnsi="Century Gothic"/>
          <w:sz w:val="23"/>
          <w:szCs w:val="23"/>
        </w:rPr>
        <w:t xml:space="preserve"> Indudablemente la respuesta es NO, ya que </w:t>
      </w:r>
      <w:r w:rsidRPr="000A7C7A">
        <w:rPr>
          <w:rFonts w:ascii="Century Gothic" w:hAnsi="Century Gothic"/>
          <w:sz w:val="23"/>
          <w:szCs w:val="23"/>
        </w:rPr>
        <w:t xml:space="preserve">los resultados de PISA 2025 obligan a </w:t>
      </w:r>
      <w:r w:rsidRPr="000A7C7A">
        <w:rPr>
          <w:rFonts w:ascii="Century Gothic" w:hAnsi="Century Gothic"/>
          <w:sz w:val="23"/>
          <w:szCs w:val="23"/>
        </w:rPr>
        <w:lastRenderedPageBreak/>
        <w:t>reconocer que, al menos en matemáticas y lectura, los resultados no muestran la recuperación que el país necesita.</w:t>
      </w:r>
    </w:p>
    <w:p w14:paraId="78071938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5A6F1582" w14:textId="49FE3535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Por ello, la Secretaría de Educación Pública debe presentar un diagnóstico serio sobre el impacto de las políticas educativas implementadas durante los últimos años</w:t>
      </w:r>
      <w:r w:rsidR="00CB158E">
        <w:rPr>
          <w:rFonts w:ascii="Century Gothic" w:hAnsi="Century Gothic"/>
          <w:sz w:val="23"/>
          <w:szCs w:val="23"/>
        </w:rPr>
        <w:t xml:space="preserve">. </w:t>
      </w:r>
      <w:r w:rsidRPr="000A7C7A">
        <w:rPr>
          <w:rFonts w:ascii="Century Gothic" w:hAnsi="Century Gothic"/>
          <w:sz w:val="23"/>
          <w:szCs w:val="23"/>
        </w:rPr>
        <w:t>Gobernar la educación significa tener capacidad para diagnosticar, intervenir, medir resultados y corregir aquello que no está funcionando.</w:t>
      </w:r>
    </w:p>
    <w:p w14:paraId="729901C0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0AE658FD" w14:textId="569E7626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La evaluación no debe utilizarse para castigar a estudiantes o docentes.</w:t>
      </w:r>
      <w:r w:rsidR="00CB158E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Debe utilizarse para saber qué funciona y qué debe corregirse.</w:t>
      </w:r>
      <w:r w:rsidR="00CB158E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PISA constituye una de las herramientas que permiten observar el desempeño de México frente a otros países y frente a sí mismo.</w:t>
      </w:r>
    </w:p>
    <w:p w14:paraId="41F0A8CB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48884724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Los datos son suficientemente claros:</w:t>
      </w:r>
    </w:p>
    <w:p w14:paraId="1C72FE18" w14:textId="3F17820E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2009:</w:t>
      </w:r>
      <w:r w:rsidR="00CB158E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419 matemáticas | 425 lectura | 416 ciencias.</w:t>
      </w:r>
    </w:p>
    <w:p w14:paraId="7E21EE9C" w14:textId="0BCAFCD2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2025:</w:t>
      </w:r>
      <w:r w:rsidR="00CB158E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388 matemáticas | 408 lectura | 414 ciencias.</w:t>
      </w:r>
    </w:p>
    <w:p w14:paraId="76CBD453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049D6586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La diferencia es:</w:t>
      </w:r>
    </w:p>
    <w:p w14:paraId="00CE10D9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-31 puntos en matemáticas.</w:t>
      </w:r>
    </w:p>
    <w:p w14:paraId="7C68FB1E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-17 puntos en lectura.</w:t>
      </w:r>
    </w:p>
    <w:p w14:paraId="6276A722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-2 puntos en ciencias.</w:t>
      </w:r>
    </w:p>
    <w:p w14:paraId="7CF6A4AE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29413C56" w14:textId="500578DA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En matemáticas, la situación es especialmente grave porque México pasó de 419 puntos en 2009 a 388 en 2025.</w:t>
      </w:r>
      <w:r w:rsidR="00CB158E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Y mientras México obtiene 388 puntos, el promedio de la OCDE es de 463.</w:t>
      </w:r>
      <w:r w:rsidR="00CB158E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La brecha es de 75 puntos.</w:t>
      </w:r>
    </w:p>
    <w:p w14:paraId="46B466FD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34E3B134" w14:textId="7356CEFD" w:rsidR="000A7C7A" w:rsidRPr="000A7C7A" w:rsidRDefault="00CB158E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>Estos</w:t>
      </w:r>
      <w:r w:rsidR="000A7C7A" w:rsidRPr="000A7C7A">
        <w:rPr>
          <w:rFonts w:ascii="Century Gothic" w:hAnsi="Century Gothic"/>
          <w:sz w:val="23"/>
          <w:szCs w:val="23"/>
        </w:rPr>
        <w:t xml:space="preserve"> resultados de PISA no deben convertirse en una disputa partidista</w:t>
      </w:r>
      <w:r>
        <w:rPr>
          <w:rFonts w:ascii="Century Gothic" w:hAnsi="Century Gothic"/>
          <w:sz w:val="23"/>
          <w:szCs w:val="23"/>
        </w:rPr>
        <w:t>, p</w:t>
      </w:r>
      <w:r w:rsidR="000A7C7A" w:rsidRPr="000A7C7A">
        <w:rPr>
          <w:rFonts w:ascii="Century Gothic" w:hAnsi="Century Gothic"/>
          <w:sz w:val="23"/>
          <w:szCs w:val="23"/>
        </w:rPr>
        <w:t>ero tampoco pueden ser ignorados por razones políticas</w:t>
      </w:r>
      <w:r>
        <w:rPr>
          <w:rFonts w:ascii="Century Gothic" w:hAnsi="Century Gothic"/>
          <w:sz w:val="23"/>
          <w:szCs w:val="23"/>
        </w:rPr>
        <w:t xml:space="preserve">, ya que </w:t>
      </w:r>
      <w:r w:rsidR="000A7C7A" w:rsidRPr="000A7C7A">
        <w:rPr>
          <w:rFonts w:ascii="Century Gothic" w:hAnsi="Century Gothic"/>
          <w:sz w:val="23"/>
          <w:szCs w:val="23"/>
        </w:rPr>
        <w:t>no permiten sostener que la política educativa mexicana haya alcanzado los niveles de aprendizaje que el país necesita.</w:t>
      </w:r>
    </w:p>
    <w:p w14:paraId="1E11DDA7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6314CE2B" w14:textId="785049CD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>México no puede conformarse con administrar el rezago educativo</w:t>
      </w:r>
      <w:r w:rsidR="00CB158E">
        <w:rPr>
          <w:rFonts w:ascii="Century Gothic" w:hAnsi="Century Gothic"/>
          <w:sz w:val="23"/>
          <w:szCs w:val="23"/>
        </w:rPr>
        <w:t>, n</w:t>
      </w:r>
      <w:r w:rsidRPr="000A7C7A">
        <w:rPr>
          <w:rFonts w:ascii="Century Gothic" w:hAnsi="Century Gothic"/>
          <w:sz w:val="23"/>
          <w:szCs w:val="23"/>
        </w:rPr>
        <w:t>ecesita una política nacional que tenga objetivos claros, indicadores verificables y resultados medibles.</w:t>
      </w:r>
    </w:p>
    <w:p w14:paraId="30363744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6BF74B9C" w14:textId="1B7C0673" w:rsid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0A7C7A">
        <w:rPr>
          <w:rFonts w:ascii="Century Gothic" w:hAnsi="Century Gothic"/>
          <w:sz w:val="23"/>
          <w:szCs w:val="23"/>
        </w:rPr>
        <w:t xml:space="preserve">Por lo anteriormente expuesto, </w:t>
      </w:r>
      <w:r w:rsidR="004C2DEA" w:rsidRPr="007D4CEE">
        <w:rPr>
          <w:rFonts w:ascii="Century Gothic" w:hAnsi="Century Gothic"/>
          <w:sz w:val="23"/>
          <w:szCs w:val="23"/>
        </w:rPr>
        <w:t>quienes suscribimos estamos convencidos</w:t>
      </w:r>
      <w:r w:rsidR="004C2DEA">
        <w:rPr>
          <w:rFonts w:ascii="Century Gothic" w:hAnsi="Century Gothic"/>
          <w:sz w:val="23"/>
          <w:szCs w:val="23"/>
        </w:rPr>
        <w:t xml:space="preserve"> que</w:t>
      </w:r>
      <w:r w:rsidR="004C2DEA" w:rsidRPr="007D4CEE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resulta necesario que este Congreso exhorte a la Secretaría de Educación Pública del Gobierno Federal a realizar una evaluación integral de la política educativa nacional y a presentar una estrategia de recuperación y mejora de los aprendizajes con metas concretas, medibles y verificables.</w:t>
      </w:r>
      <w:r w:rsidR="00674C4B">
        <w:rPr>
          <w:rFonts w:ascii="Century Gothic" w:hAnsi="Century Gothic"/>
          <w:sz w:val="23"/>
          <w:szCs w:val="23"/>
        </w:rPr>
        <w:t xml:space="preserve"> </w:t>
      </w:r>
      <w:r w:rsidRPr="000A7C7A">
        <w:rPr>
          <w:rFonts w:ascii="Century Gothic" w:hAnsi="Century Gothic"/>
          <w:sz w:val="23"/>
          <w:szCs w:val="23"/>
        </w:rPr>
        <w:t>La educación no puede esperar. Los resultados tampoco</w:t>
      </w:r>
      <w:r w:rsidR="004C2DEA">
        <w:rPr>
          <w:rFonts w:ascii="Century Gothic" w:hAnsi="Century Gothic"/>
          <w:sz w:val="23"/>
          <w:szCs w:val="23"/>
        </w:rPr>
        <w:t xml:space="preserve">, por ello </w:t>
      </w:r>
      <w:r w:rsidR="004C2DEA" w:rsidRPr="007D4CEE">
        <w:rPr>
          <w:rFonts w:ascii="Century Gothic" w:hAnsi="Century Gothic"/>
          <w:sz w:val="23"/>
          <w:szCs w:val="23"/>
        </w:rPr>
        <w:t>ponemos a consideración de esta Honorable Asamblea Legislativa el siguiente proyecto de:</w:t>
      </w:r>
    </w:p>
    <w:p w14:paraId="27512707" w14:textId="6F52F9A1" w:rsidR="000A7C7A" w:rsidRDefault="000A7C7A" w:rsidP="00895284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0CA36254" w14:textId="77777777" w:rsidR="00F84725" w:rsidRPr="007D4CEE" w:rsidRDefault="00F84725" w:rsidP="00F84725">
      <w:pPr>
        <w:spacing w:after="0" w:line="360" w:lineRule="auto"/>
        <w:jc w:val="center"/>
        <w:rPr>
          <w:rFonts w:ascii="Century Gothic" w:hAnsi="Century Gothic"/>
          <w:b/>
          <w:bCs/>
          <w:sz w:val="23"/>
          <w:szCs w:val="23"/>
        </w:rPr>
      </w:pPr>
      <w:r w:rsidRPr="007D4CEE">
        <w:rPr>
          <w:rFonts w:ascii="Century Gothic" w:hAnsi="Century Gothic"/>
          <w:b/>
          <w:bCs/>
          <w:sz w:val="23"/>
          <w:szCs w:val="23"/>
        </w:rPr>
        <w:t>ACUERDO:</w:t>
      </w:r>
    </w:p>
    <w:p w14:paraId="72FFF85E" w14:textId="77777777" w:rsidR="00F84725" w:rsidRPr="007D4CEE" w:rsidRDefault="00F84725" w:rsidP="00F84725">
      <w:pPr>
        <w:spacing w:after="0" w:line="360" w:lineRule="auto"/>
        <w:jc w:val="both"/>
        <w:rPr>
          <w:rFonts w:ascii="Century Gothic" w:hAnsi="Century Gothic"/>
          <w:b/>
          <w:bCs/>
          <w:sz w:val="23"/>
          <w:szCs w:val="23"/>
        </w:rPr>
      </w:pPr>
    </w:p>
    <w:p w14:paraId="590CC86A" w14:textId="4A95DC8E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674C4B">
        <w:rPr>
          <w:rFonts w:ascii="Century Gothic" w:hAnsi="Century Gothic"/>
          <w:b/>
          <w:bCs/>
          <w:sz w:val="23"/>
          <w:szCs w:val="23"/>
        </w:rPr>
        <w:t>PRIMERO.</w:t>
      </w:r>
      <w:r w:rsidR="00674C4B">
        <w:rPr>
          <w:rFonts w:ascii="Century Gothic" w:hAnsi="Century Gothic"/>
          <w:b/>
          <w:bCs/>
          <w:sz w:val="23"/>
          <w:szCs w:val="23"/>
        </w:rPr>
        <w:t>-</w:t>
      </w:r>
      <w:r w:rsidRPr="000A7C7A">
        <w:rPr>
          <w:rFonts w:ascii="Century Gothic" w:hAnsi="Century Gothic"/>
          <w:sz w:val="23"/>
          <w:szCs w:val="23"/>
        </w:rPr>
        <w:t xml:space="preserve"> La Sexagésima </w:t>
      </w:r>
      <w:r w:rsidR="00674C4B">
        <w:rPr>
          <w:rFonts w:ascii="Century Gothic" w:hAnsi="Century Gothic"/>
          <w:sz w:val="23"/>
          <w:szCs w:val="23"/>
        </w:rPr>
        <w:t xml:space="preserve">Octava </w:t>
      </w:r>
      <w:r w:rsidRPr="000A7C7A">
        <w:rPr>
          <w:rFonts w:ascii="Century Gothic" w:hAnsi="Century Gothic"/>
          <w:sz w:val="23"/>
          <w:szCs w:val="23"/>
        </w:rPr>
        <w:t>Legislatura del H. Congreso del Estado de Chihuahua</w:t>
      </w:r>
      <w:r w:rsidR="00674C4B">
        <w:rPr>
          <w:rFonts w:ascii="Century Gothic" w:hAnsi="Century Gothic"/>
          <w:sz w:val="23"/>
          <w:szCs w:val="23"/>
        </w:rPr>
        <w:t>,</w:t>
      </w:r>
      <w:r w:rsidRPr="000A7C7A">
        <w:rPr>
          <w:rFonts w:ascii="Century Gothic" w:hAnsi="Century Gothic"/>
          <w:sz w:val="23"/>
          <w:szCs w:val="23"/>
        </w:rPr>
        <w:t xml:space="preserve"> exhorta respetuosamente a la Secretaría de Educación Pública del Gobierno Federal, para que, en el ámbito de sus atribuciones, realice una evaluación integral de las políticas, estrategias, programas, planes y acciones implementadas durante las últimas administraciones federales para mejorar los aprendizajes de las niñas, niños y adolescentes, tomando como referencia los resultados históricos de México en el Programa para la Evaluación Internacional de los Estudiantes (PISA) de la Organización para la Cooperación y el Desarrollo Económicos (OCDE).</w:t>
      </w:r>
    </w:p>
    <w:p w14:paraId="5A71791A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4E3FB82E" w14:textId="723B22B4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proofErr w:type="gramStart"/>
      <w:r w:rsidRPr="00674C4B">
        <w:rPr>
          <w:rFonts w:ascii="Century Gothic" w:hAnsi="Century Gothic"/>
          <w:b/>
          <w:bCs/>
          <w:sz w:val="23"/>
          <w:szCs w:val="23"/>
        </w:rPr>
        <w:t>SEGUNDO.</w:t>
      </w:r>
      <w:r w:rsidR="00674C4B">
        <w:rPr>
          <w:rFonts w:ascii="Century Gothic" w:hAnsi="Century Gothic"/>
          <w:b/>
          <w:bCs/>
          <w:sz w:val="23"/>
          <w:szCs w:val="23"/>
        </w:rPr>
        <w:t>-</w:t>
      </w:r>
      <w:proofErr w:type="gramEnd"/>
      <w:r w:rsidRPr="000A7C7A">
        <w:rPr>
          <w:rFonts w:ascii="Century Gothic" w:hAnsi="Century Gothic"/>
          <w:sz w:val="23"/>
          <w:szCs w:val="23"/>
        </w:rPr>
        <w:t xml:space="preserve"> Se exhorta a la Secretaría de Educación Pública para que, con base en los resultados de PISA 2025, publicados por la OCDE en septiembre de 2026, así como en las evaluaciones nacionales disponibles, elabore y haga público un diagnóstico sobre las causas del bajo desempeño de México en matemáticas, lectura y ciencias, </w:t>
      </w:r>
      <w:r w:rsidRPr="000A7C7A">
        <w:rPr>
          <w:rFonts w:ascii="Century Gothic" w:hAnsi="Century Gothic"/>
          <w:sz w:val="23"/>
          <w:szCs w:val="23"/>
        </w:rPr>
        <w:lastRenderedPageBreak/>
        <w:t>identificando las políticas públicas implementadas, sus resultados, sus áreas de oportunidad y las medidas correctivas que deberán adoptarse.</w:t>
      </w:r>
    </w:p>
    <w:p w14:paraId="7D899F77" w14:textId="77777777" w:rsidR="000A7C7A" w:rsidRP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12C0EBBF" w14:textId="29A2E595" w:rsidR="000A7C7A" w:rsidRDefault="000A7C7A" w:rsidP="000A7C7A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674C4B">
        <w:rPr>
          <w:rFonts w:ascii="Century Gothic" w:hAnsi="Century Gothic"/>
          <w:b/>
          <w:bCs/>
          <w:sz w:val="23"/>
          <w:szCs w:val="23"/>
        </w:rPr>
        <w:t>TERCERO.</w:t>
      </w:r>
      <w:r w:rsidR="00674C4B">
        <w:rPr>
          <w:rFonts w:ascii="Century Gothic" w:hAnsi="Century Gothic"/>
          <w:b/>
          <w:bCs/>
          <w:sz w:val="23"/>
          <w:szCs w:val="23"/>
        </w:rPr>
        <w:t>-</w:t>
      </w:r>
      <w:r w:rsidRPr="000A7C7A">
        <w:rPr>
          <w:rFonts w:ascii="Century Gothic" w:hAnsi="Century Gothic"/>
          <w:sz w:val="23"/>
          <w:szCs w:val="23"/>
        </w:rPr>
        <w:t xml:space="preserve"> Se exhorta a la Secretaría de Educación Pública a establecer una estrategia nacional de recuperación y mejora de los aprendizajes, con metas cuantificables, indicadores de desempeño, responsables institucionales, plazos de cumplimiento y mecanismos de evaluación y rendición de cuentas, particularmente en matemáticas, comprensión lectora y ciencias</w:t>
      </w:r>
      <w:r w:rsidR="00674C4B">
        <w:rPr>
          <w:rFonts w:ascii="Century Gothic" w:hAnsi="Century Gothic"/>
          <w:sz w:val="23"/>
          <w:szCs w:val="23"/>
        </w:rPr>
        <w:t xml:space="preserve">, e </w:t>
      </w:r>
      <w:r w:rsidRPr="000A7C7A">
        <w:rPr>
          <w:rFonts w:ascii="Century Gothic" w:hAnsi="Century Gothic"/>
          <w:sz w:val="23"/>
          <w:szCs w:val="23"/>
        </w:rPr>
        <w:t>informe públicamente las acciones que emprenderá para revertir el deterioro observado en los resultados de México en PISA, así como las medidas destinadas a incrementar el porcentaje de estudiantes que alcancen al menos el nivel básico de competencia establecido por PISA.</w:t>
      </w:r>
    </w:p>
    <w:p w14:paraId="1A36FBB9" w14:textId="77777777" w:rsidR="000A7C7A" w:rsidRDefault="000A7C7A" w:rsidP="00895284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1230DEC4" w14:textId="77777777" w:rsidR="00895284" w:rsidRPr="007D4CEE" w:rsidRDefault="00895284" w:rsidP="00F84725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7078E764" w14:textId="2550660A" w:rsidR="00F84725" w:rsidRPr="007D4CEE" w:rsidRDefault="00F84725" w:rsidP="00F84725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proofErr w:type="gramStart"/>
      <w:r w:rsidRPr="007D4CEE">
        <w:rPr>
          <w:rFonts w:ascii="Century Gothic" w:hAnsi="Century Gothic"/>
          <w:b/>
          <w:bCs/>
          <w:sz w:val="23"/>
          <w:szCs w:val="23"/>
        </w:rPr>
        <w:t>ECONÓMICO.-</w:t>
      </w:r>
      <w:proofErr w:type="gramEnd"/>
      <w:r w:rsidRPr="007D4CEE">
        <w:rPr>
          <w:rFonts w:ascii="Century Gothic" w:hAnsi="Century Gothic"/>
          <w:sz w:val="23"/>
          <w:szCs w:val="23"/>
        </w:rPr>
        <w:t xml:space="preserve"> Aprobado que sea, túrnese a la Secretaría de Asuntos Legislativos y Jurídicos para </w:t>
      </w:r>
      <w:r w:rsidR="001E1557">
        <w:rPr>
          <w:rFonts w:ascii="Century Gothic" w:hAnsi="Century Gothic"/>
          <w:sz w:val="23"/>
          <w:szCs w:val="23"/>
        </w:rPr>
        <w:t>los efectos corr</w:t>
      </w:r>
      <w:r w:rsidRPr="007D4CEE">
        <w:rPr>
          <w:rFonts w:ascii="Century Gothic" w:hAnsi="Century Gothic"/>
          <w:sz w:val="23"/>
          <w:szCs w:val="23"/>
        </w:rPr>
        <w:t>espondiente</w:t>
      </w:r>
      <w:r w:rsidR="001E1557">
        <w:rPr>
          <w:rFonts w:ascii="Century Gothic" w:hAnsi="Century Gothic"/>
          <w:sz w:val="23"/>
          <w:szCs w:val="23"/>
        </w:rPr>
        <w:t>s</w:t>
      </w:r>
      <w:r w:rsidRPr="007D4CEE">
        <w:rPr>
          <w:rFonts w:ascii="Century Gothic" w:hAnsi="Century Gothic"/>
          <w:sz w:val="23"/>
          <w:szCs w:val="23"/>
        </w:rPr>
        <w:t xml:space="preserve">. </w:t>
      </w:r>
    </w:p>
    <w:p w14:paraId="6951CB81" w14:textId="77777777" w:rsidR="00F84725" w:rsidRPr="007D4CEE" w:rsidRDefault="00F84725" w:rsidP="00F84725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01F90E86" w14:textId="73470E9F" w:rsidR="00F84725" w:rsidRPr="007D4CEE" w:rsidRDefault="00F84725" w:rsidP="00F84725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7D4CEE">
        <w:rPr>
          <w:rFonts w:ascii="Century Gothic" w:hAnsi="Century Gothic"/>
          <w:b/>
          <w:bCs/>
          <w:sz w:val="23"/>
          <w:szCs w:val="23"/>
        </w:rPr>
        <w:t>DADO</w:t>
      </w:r>
      <w:r w:rsidRPr="007D4CEE">
        <w:rPr>
          <w:rFonts w:ascii="Century Gothic" w:hAnsi="Century Gothic"/>
          <w:sz w:val="23"/>
          <w:szCs w:val="23"/>
        </w:rPr>
        <w:t xml:space="preserve"> en el Salón de Sesiones del Poder Legislativo, en la ciudad de Chihuahua, a los </w:t>
      </w:r>
      <w:r w:rsidR="004C4B8E">
        <w:rPr>
          <w:rFonts w:ascii="Century Gothic" w:hAnsi="Century Gothic"/>
          <w:sz w:val="23"/>
          <w:szCs w:val="23"/>
        </w:rPr>
        <w:t>10</w:t>
      </w:r>
      <w:r w:rsidRPr="007D4CEE">
        <w:rPr>
          <w:rFonts w:ascii="Century Gothic" w:hAnsi="Century Gothic"/>
          <w:sz w:val="23"/>
          <w:szCs w:val="23"/>
        </w:rPr>
        <w:t xml:space="preserve"> días del mes de </w:t>
      </w:r>
      <w:r w:rsidR="004C4B8E">
        <w:rPr>
          <w:rFonts w:ascii="Century Gothic" w:hAnsi="Century Gothic"/>
          <w:sz w:val="23"/>
          <w:szCs w:val="23"/>
        </w:rPr>
        <w:t>septiembre</w:t>
      </w:r>
      <w:r w:rsidRPr="007D4CEE">
        <w:rPr>
          <w:rFonts w:ascii="Century Gothic" w:hAnsi="Century Gothic"/>
          <w:sz w:val="23"/>
          <w:szCs w:val="23"/>
        </w:rPr>
        <w:t xml:space="preserve"> de 2026.</w:t>
      </w:r>
    </w:p>
    <w:p w14:paraId="4AAEEB6B" w14:textId="77777777" w:rsidR="00F84725" w:rsidRPr="007D4CEE" w:rsidRDefault="00F84725" w:rsidP="00F84725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59ABCFEE" w14:textId="77777777" w:rsidR="00F84725" w:rsidRPr="007D4CEE" w:rsidRDefault="00F84725" w:rsidP="00F84725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2F54BE92" w14:textId="77777777" w:rsidR="00F84725" w:rsidRDefault="00F84725" w:rsidP="00F84725">
      <w:pPr>
        <w:spacing w:after="0" w:line="360" w:lineRule="auto"/>
        <w:jc w:val="center"/>
        <w:rPr>
          <w:rFonts w:ascii="Century Gothic" w:hAnsi="Century Gothic"/>
          <w:b/>
          <w:bCs/>
          <w:sz w:val="23"/>
          <w:szCs w:val="23"/>
        </w:rPr>
      </w:pPr>
      <w:r w:rsidRPr="007D4CEE">
        <w:rPr>
          <w:rFonts w:ascii="Century Gothic" w:hAnsi="Century Gothic"/>
          <w:b/>
          <w:bCs/>
          <w:sz w:val="23"/>
          <w:szCs w:val="23"/>
        </w:rPr>
        <w:t>A T E N T A M E N T E</w:t>
      </w:r>
    </w:p>
    <w:p w14:paraId="611FAA19" w14:textId="77777777" w:rsidR="00F84725" w:rsidRPr="007D4CEE" w:rsidRDefault="00F84725" w:rsidP="00F84725">
      <w:pPr>
        <w:spacing w:after="0" w:line="360" w:lineRule="auto"/>
        <w:jc w:val="center"/>
        <w:rPr>
          <w:rFonts w:ascii="Century Gothic" w:hAnsi="Century Gothic"/>
          <w:b/>
          <w:bCs/>
          <w:sz w:val="23"/>
          <w:szCs w:val="23"/>
        </w:rPr>
      </w:pPr>
    </w:p>
    <w:p w14:paraId="16CD70BA" w14:textId="77777777" w:rsidR="00F84725" w:rsidRPr="007D4CEE" w:rsidRDefault="00F84725" w:rsidP="00F84725">
      <w:pPr>
        <w:spacing w:after="0" w:line="360" w:lineRule="auto"/>
        <w:jc w:val="center"/>
        <w:rPr>
          <w:rFonts w:ascii="Century Gothic" w:hAnsi="Century Gothic"/>
          <w:b/>
          <w:bCs/>
          <w:sz w:val="23"/>
          <w:szCs w:val="23"/>
        </w:rPr>
      </w:pPr>
      <w:r w:rsidRPr="007D4CEE">
        <w:rPr>
          <w:rFonts w:ascii="Century Gothic" w:hAnsi="Century Gothic"/>
          <w:b/>
          <w:bCs/>
          <w:sz w:val="23"/>
          <w:szCs w:val="23"/>
        </w:rPr>
        <w:t>GRUPO PARLAMENTARIO DEL PARTIDO ACCIÓN NACIONAL</w:t>
      </w:r>
    </w:p>
    <w:p w14:paraId="626A5BC5" w14:textId="77777777" w:rsidR="00F84725" w:rsidRPr="007D4CEE" w:rsidRDefault="00F84725" w:rsidP="00F84725">
      <w:pPr>
        <w:spacing w:after="0" w:line="360" w:lineRule="auto"/>
        <w:jc w:val="both"/>
        <w:rPr>
          <w:rFonts w:ascii="Century Gothic" w:hAnsi="Century Gothic"/>
          <w:b/>
          <w:bCs/>
          <w:sz w:val="23"/>
          <w:szCs w:val="23"/>
        </w:rPr>
      </w:pPr>
    </w:p>
    <w:p w14:paraId="254F8A5B" w14:textId="77777777" w:rsidR="00F84725" w:rsidRPr="007D4CEE" w:rsidRDefault="00F84725" w:rsidP="00F84725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tbl>
      <w:tblPr>
        <w:tblW w:w="88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96"/>
        <w:gridCol w:w="4542"/>
      </w:tblGrid>
      <w:tr w:rsidR="00F84725" w:rsidRPr="007D4CEE" w14:paraId="30552C00" w14:textId="77777777" w:rsidTr="0049775E">
        <w:trPr>
          <w:trHeight w:val="929"/>
        </w:trPr>
        <w:tc>
          <w:tcPr>
            <w:tcW w:w="4296" w:type="dxa"/>
          </w:tcPr>
          <w:p w14:paraId="777B8D36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</w:p>
          <w:p w14:paraId="59E54DBF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________________________________</w:t>
            </w:r>
          </w:p>
          <w:p w14:paraId="4CE47F6A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DIP. JOSÉ ALFREDO CHÁVEZ MADRID</w:t>
            </w:r>
          </w:p>
          <w:p w14:paraId="74F8D5FA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s-MX"/>
              </w:rPr>
            </w:pPr>
          </w:p>
        </w:tc>
        <w:tc>
          <w:tcPr>
            <w:tcW w:w="4542" w:type="dxa"/>
          </w:tcPr>
          <w:p w14:paraId="0935DB2C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</w:p>
          <w:p w14:paraId="7225EA7E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________________________________</w:t>
            </w:r>
          </w:p>
          <w:p w14:paraId="7CA3BB4B" w14:textId="40F753DB" w:rsidR="00F84725" w:rsidRPr="007D4CEE" w:rsidRDefault="00FD0C0D" w:rsidP="00FD0C0D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s-MX"/>
              </w:rPr>
            </w:pPr>
            <w:r w:rsidRPr="00FD0C0D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 xml:space="preserve">DIP. JAIME TORRES AMAYA </w:t>
            </w:r>
          </w:p>
        </w:tc>
      </w:tr>
      <w:tr w:rsidR="00F84725" w:rsidRPr="007D4CEE" w14:paraId="78B604C3" w14:textId="77777777" w:rsidTr="0049775E">
        <w:tc>
          <w:tcPr>
            <w:tcW w:w="4296" w:type="dxa"/>
          </w:tcPr>
          <w:p w14:paraId="4E85CA4D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</w:p>
          <w:p w14:paraId="7DAEBEB1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</w:p>
          <w:p w14:paraId="33D67A85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3"/>
                <w:szCs w:val="23"/>
                <w:lang w:eastAsia="es-MX"/>
              </w:rPr>
            </w:pPr>
          </w:p>
          <w:p w14:paraId="462721A6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________________________________</w:t>
            </w:r>
          </w:p>
          <w:p w14:paraId="6642B545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DIP. ARTURO ZUBIA</w:t>
            </w:r>
          </w:p>
          <w:p w14:paraId="2830FB59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FERNÁNDEZ</w:t>
            </w:r>
          </w:p>
          <w:p w14:paraId="7A2752A8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s-MX"/>
              </w:rPr>
            </w:pPr>
          </w:p>
        </w:tc>
        <w:tc>
          <w:tcPr>
            <w:tcW w:w="4542" w:type="dxa"/>
          </w:tcPr>
          <w:p w14:paraId="519AE241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</w:p>
          <w:p w14:paraId="3DE6AEC1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3"/>
                <w:szCs w:val="23"/>
                <w:lang w:eastAsia="es-MX"/>
              </w:rPr>
            </w:pPr>
          </w:p>
          <w:p w14:paraId="55CB0578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3"/>
                <w:szCs w:val="23"/>
                <w:lang w:eastAsia="es-MX"/>
              </w:rPr>
            </w:pPr>
          </w:p>
          <w:p w14:paraId="689DA0E3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_________________________________</w:t>
            </w:r>
          </w:p>
          <w:p w14:paraId="02320B92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DIP. CARLOS ALFREDO OLSON SAN VICENTE</w:t>
            </w:r>
          </w:p>
          <w:p w14:paraId="54F2911E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s-MX"/>
              </w:rPr>
            </w:pPr>
          </w:p>
        </w:tc>
      </w:tr>
      <w:tr w:rsidR="00F84725" w:rsidRPr="007D4CEE" w14:paraId="50E2249D" w14:textId="77777777" w:rsidTr="0049775E">
        <w:tc>
          <w:tcPr>
            <w:tcW w:w="4296" w:type="dxa"/>
          </w:tcPr>
          <w:p w14:paraId="79E1AE03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</w:p>
          <w:p w14:paraId="61DDAEFC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</w:p>
          <w:p w14:paraId="108EEA2B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________________________________</w:t>
            </w:r>
          </w:p>
          <w:p w14:paraId="55BA2752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DIP. EDNA XÓCHITL CONTRERAS</w:t>
            </w:r>
          </w:p>
          <w:p w14:paraId="61835B5D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HERRERA</w:t>
            </w:r>
          </w:p>
          <w:p w14:paraId="0754F22E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s-MX"/>
              </w:rPr>
            </w:pPr>
          </w:p>
        </w:tc>
        <w:tc>
          <w:tcPr>
            <w:tcW w:w="4542" w:type="dxa"/>
          </w:tcPr>
          <w:p w14:paraId="60DB77B2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</w:p>
          <w:p w14:paraId="5E8BCF37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</w:p>
          <w:p w14:paraId="34994BDF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__________________________________</w:t>
            </w:r>
          </w:p>
          <w:p w14:paraId="78006A26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DIP. JOCELINE VEGA VARGAS</w:t>
            </w:r>
          </w:p>
          <w:p w14:paraId="42F5203A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s-MX"/>
              </w:rPr>
            </w:pPr>
          </w:p>
        </w:tc>
      </w:tr>
      <w:tr w:rsidR="00F84725" w:rsidRPr="007D4CEE" w14:paraId="78407D43" w14:textId="77777777" w:rsidTr="0049775E">
        <w:tc>
          <w:tcPr>
            <w:tcW w:w="4296" w:type="dxa"/>
          </w:tcPr>
          <w:p w14:paraId="0EA3892F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</w:p>
          <w:p w14:paraId="32D28400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</w:p>
          <w:p w14:paraId="511EC91E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__________________________________</w:t>
            </w:r>
          </w:p>
          <w:p w14:paraId="25166AED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DIP. ROBERTO MARCELINO CARREÓN HUITRÓN</w:t>
            </w:r>
          </w:p>
          <w:p w14:paraId="6810D692" w14:textId="77777777" w:rsidR="00F84725" w:rsidRPr="007D4CEE" w:rsidRDefault="00F84725" w:rsidP="0049775E">
            <w:pPr>
              <w:tabs>
                <w:tab w:val="left" w:pos="32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s-MX"/>
              </w:rPr>
            </w:pPr>
          </w:p>
        </w:tc>
        <w:tc>
          <w:tcPr>
            <w:tcW w:w="4542" w:type="dxa"/>
          </w:tcPr>
          <w:p w14:paraId="69047C06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</w:p>
          <w:p w14:paraId="6C16DBFA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</w:p>
          <w:p w14:paraId="4401F1F1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__________________________________</w:t>
            </w:r>
          </w:p>
          <w:p w14:paraId="19AB8897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DIP. YESENIA GUADALUPE REYES CALZADÍAS</w:t>
            </w:r>
          </w:p>
          <w:p w14:paraId="64A3BAC1" w14:textId="77777777" w:rsidR="00F84725" w:rsidRPr="007D4CEE" w:rsidRDefault="00F84725" w:rsidP="0049775E">
            <w:pPr>
              <w:tabs>
                <w:tab w:val="left" w:pos="6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s-MX"/>
              </w:rPr>
            </w:pPr>
          </w:p>
        </w:tc>
      </w:tr>
      <w:tr w:rsidR="00F84725" w:rsidRPr="007D4CEE" w14:paraId="29471EFA" w14:textId="77777777" w:rsidTr="0049775E">
        <w:tc>
          <w:tcPr>
            <w:tcW w:w="4296" w:type="dxa"/>
          </w:tcPr>
          <w:p w14:paraId="5D127CE8" w14:textId="77777777" w:rsidR="00F84725" w:rsidRPr="007D4CEE" w:rsidRDefault="00F84725" w:rsidP="0049775E">
            <w:pPr>
              <w:tabs>
                <w:tab w:val="left" w:pos="6120"/>
              </w:tabs>
              <w:spacing w:after="0" w:line="36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</w:p>
          <w:p w14:paraId="294EBD01" w14:textId="77777777" w:rsidR="00F84725" w:rsidRPr="007D4CEE" w:rsidRDefault="00F84725" w:rsidP="0049775E">
            <w:pPr>
              <w:tabs>
                <w:tab w:val="left" w:pos="6120"/>
              </w:tabs>
              <w:spacing w:after="0" w:line="36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</w:p>
          <w:p w14:paraId="4CB59858" w14:textId="77777777" w:rsidR="00F84725" w:rsidRPr="007D4CEE" w:rsidRDefault="00F84725" w:rsidP="0049775E">
            <w:pPr>
              <w:tabs>
                <w:tab w:val="left" w:pos="6120"/>
              </w:tabs>
              <w:spacing w:after="0" w:line="36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__________________________________</w:t>
            </w:r>
          </w:p>
          <w:p w14:paraId="6DA23EA9" w14:textId="77777777" w:rsidR="00F84725" w:rsidRPr="007D4CEE" w:rsidRDefault="00F84725" w:rsidP="0049775E">
            <w:pPr>
              <w:tabs>
                <w:tab w:val="left" w:pos="6120"/>
              </w:tabs>
              <w:spacing w:after="0" w:line="36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DIP. CARLA YAMILETH RIVAS MARTÍNEZ</w:t>
            </w:r>
          </w:p>
        </w:tc>
        <w:tc>
          <w:tcPr>
            <w:tcW w:w="4542" w:type="dxa"/>
          </w:tcPr>
          <w:p w14:paraId="044AB94F" w14:textId="77777777" w:rsidR="00F84725" w:rsidRPr="007D4CEE" w:rsidRDefault="00F84725" w:rsidP="0049775E">
            <w:pPr>
              <w:tabs>
                <w:tab w:val="left" w:pos="6120"/>
              </w:tabs>
              <w:spacing w:after="0" w:line="36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</w:p>
          <w:p w14:paraId="41B3ABFE" w14:textId="77777777" w:rsidR="00F84725" w:rsidRPr="007D4CEE" w:rsidRDefault="00F84725" w:rsidP="0049775E">
            <w:pPr>
              <w:tabs>
                <w:tab w:val="left" w:pos="6120"/>
              </w:tabs>
              <w:spacing w:after="0" w:line="36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</w:p>
          <w:p w14:paraId="24DA1421" w14:textId="77777777" w:rsidR="00F84725" w:rsidRPr="007D4CEE" w:rsidRDefault="00F84725" w:rsidP="0049775E">
            <w:pPr>
              <w:tabs>
                <w:tab w:val="left" w:pos="6120"/>
              </w:tabs>
              <w:spacing w:after="0" w:line="36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__________________________________</w:t>
            </w:r>
          </w:p>
          <w:p w14:paraId="5D42FC32" w14:textId="77777777" w:rsidR="00F84725" w:rsidRPr="007D4CEE" w:rsidRDefault="00F84725" w:rsidP="0049775E">
            <w:pPr>
              <w:tabs>
                <w:tab w:val="left" w:pos="6120"/>
              </w:tabs>
              <w:spacing w:after="0" w:line="36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DIP. NANCY JANETH F</w:t>
            </w:r>
            <w:r w:rsidRPr="007D4CEE">
              <w:rPr>
                <w:rFonts w:ascii="Century Gothic" w:eastAsia="Century Gothic" w:hAnsi="Century Gothic" w:cs="Century Gothic"/>
                <w:b/>
                <w:bCs/>
                <w:sz w:val="23"/>
                <w:szCs w:val="23"/>
                <w:lang w:eastAsia="es-MX"/>
              </w:rPr>
              <w:t xml:space="preserve">RIAS </w:t>
            </w:r>
            <w:proofErr w:type="spellStart"/>
            <w:r w:rsidRPr="007D4CEE">
              <w:rPr>
                <w:rFonts w:ascii="Century Gothic" w:eastAsia="Century Gothic" w:hAnsi="Century Gothic" w:cs="Century Gothic"/>
                <w:b/>
                <w:bCs/>
                <w:sz w:val="23"/>
                <w:szCs w:val="23"/>
                <w:lang w:eastAsia="es-MX"/>
              </w:rPr>
              <w:t>FRIAS</w:t>
            </w:r>
            <w:proofErr w:type="spellEnd"/>
          </w:p>
          <w:p w14:paraId="6DD1EB92" w14:textId="77777777" w:rsidR="00F84725" w:rsidRPr="007D4CEE" w:rsidRDefault="00F84725" w:rsidP="0049775E">
            <w:pPr>
              <w:tabs>
                <w:tab w:val="left" w:pos="6120"/>
              </w:tabs>
              <w:spacing w:line="36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</w:p>
        </w:tc>
      </w:tr>
      <w:tr w:rsidR="00F84725" w:rsidRPr="007D4CEE" w14:paraId="03D7B156" w14:textId="77777777" w:rsidTr="0049775E">
        <w:tc>
          <w:tcPr>
            <w:tcW w:w="4296" w:type="dxa"/>
          </w:tcPr>
          <w:p w14:paraId="287C15B1" w14:textId="77777777" w:rsidR="00F84725" w:rsidRPr="007D4CEE" w:rsidRDefault="00F84725" w:rsidP="0049775E">
            <w:pPr>
              <w:tabs>
                <w:tab w:val="left" w:pos="6120"/>
              </w:tabs>
              <w:spacing w:after="0" w:line="36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</w:p>
          <w:p w14:paraId="3B58FBF8" w14:textId="77777777" w:rsidR="00F84725" w:rsidRPr="007D4CEE" w:rsidRDefault="00F84725" w:rsidP="0049775E">
            <w:pPr>
              <w:tabs>
                <w:tab w:val="left" w:pos="6120"/>
              </w:tabs>
              <w:spacing w:after="0" w:line="36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</w:p>
          <w:p w14:paraId="5FC73CAC" w14:textId="77777777" w:rsidR="00F84725" w:rsidRPr="007D4CEE" w:rsidRDefault="00F84725" w:rsidP="0049775E">
            <w:pPr>
              <w:tabs>
                <w:tab w:val="left" w:pos="6120"/>
              </w:tabs>
              <w:spacing w:after="0" w:line="36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__________________________________</w:t>
            </w:r>
          </w:p>
          <w:p w14:paraId="796F7BAE" w14:textId="77777777" w:rsidR="00F84725" w:rsidRPr="007D4CEE" w:rsidRDefault="00F84725" w:rsidP="0049775E">
            <w:pPr>
              <w:tabs>
                <w:tab w:val="left" w:pos="6120"/>
              </w:tabs>
              <w:spacing w:after="0" w:line="360" w:lineRule="auto"/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color w:val="000000"/>
                <w:sz w:val="23"/>
                <w:szCs w:val="23"/>
                <w:lang w:eastAsia="es-MX"/>
              </w:rPr>
              <w:t>DIP. SAÚL MIRELES CORRAL</w:t>
            </w:r>
          </w:p>
          <w:p w14:paraId="44E8C350" w14:textId="77777777" w:rsidR="00F84725" w:rsidRPr="007D4CEE" w:rsidRDefault="00F84725" w:rsidP="0049775E">
            <w:pPr>
              <w:tabs>
                <w:tab w:val="left" w:pos="612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s-MX"/>
              </w:rPr>
            </w:pPr>
          </w:p>
        </w:tc>
        <w:tc>
          <w:tcPr>
            <w:tcW w:w="4542" w:type="dxa"/>
          </w:tcPr>
          <w:p w14:paraId="3099ACB4" w14:textId="0957600F" w:rsidR="00F84725" w:rsidRDefault="00F84725" w:rsidP="0049775E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3"/>
                <w:szCs w:val="23"/>
                <w:lang w:eastAsia="es-MX"/>
              </w:rPr>
            </w:pPr>
          </w:p>
          <w:p w14:paraId="12834AAA" w14:textId="77777777" w:rsidR="00F84725" w:rsidRPr="007D4CEE" w:rsidRDefault="00F84725" w:rsidP="0049775E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3"/>
                <w:szCs w:val="23"/>
                <w:lang w:eastAsia="es-MX"/>
              </w:rPr>
            </w:pPr>
          </w:p>
          <w:p w14:paraId="51D403FE" w14:textId="77777777" w:rsidR="00F84725" w:rsidRPr="007D4CEE" w:rsidRDefault="00F84725" w:rsidP="0049775E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3"/>
                <w:szCs w:val="23"/>
                <w:lang w:eastAsia="es-MX"/>
              </w:rPr>
            </w:pPr>
          </w:p>
          <w:p w14:paraId="4DAA15DE" w14:textId="77777777" w:rsidR="00F84725" w:rsidRPr="007D4CEE" w:rsidRDefault="00F84725" w:rsidP="0049775E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bCs/>
                <w:sz w:val="23"/>
                <w:szCs w:val="23"/>
                <w:lang w:eastAsia="es-MX"/>
              </w:rPr>
            </w:pPr>
            <w:r w:rsidRPr="007D4CEE">
              <w:rPr>
                <w:rFonts w:ascii="Century Gothic" w:eastAsia="Century Gothic" w:hAnsi="Century Gothic" w:cs="Century Gothic"/>
                <w:b/>
                <w:bCs/>
                <w:sz w:val="23"/>
                <w:szCs w:val="23"/>
                <w:lang w:eastAsia="es-MX"/>
              </w:rPr>
              <w:t xml:space="preserve">    ________________________________</w:t>
            </w:r>
          </w:p>
          <w:p w14:paraId="0AF5695C" w14:textId="01BF638E" w:rsidR="00F84725" w:rsidRPr="007D4CEE" w:rsidRDefault="00FD0C0D" w:rsidP="00FD0C0D">
            <w:pPr>
              <w:tabs>
                <w:tab w:val="left" w:pos="612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s-MX"/>
              </w:rPr>
            </w:pPr>
            <w:r w:rsidRPr="00FD0C0D">
              <w:rPr>
                <w:rFonts w:ascii="Century Gothic" w:eastAsia="Century Gothic" w:hAnsi="Century Gothic" w:cs="Century Gothic"/>
                <w:b/>
                <w:bCs/>
                <w:sz w:val="23"/>
                <w:szCs w:val="23"/>
                <w:lang w:eastAsia="es-MX"/>
              </w:rPr>
              <w:t>DIP. JORGE CARLOS</w:t>
            </w:r>
            <w:r>
              <w:rPr>
                <w:rFonts w:ascii="Century Gothic" w:eastAsia="Century Gothic" w:hAnsi="Century Gothic" w:cs="Century Gothic"/>
                <w:b/>
                <w:bCs/>
                <w:sz w:val="23"/>
                <w:szCs w:val="23"/>
                <w:lang w:eastAsia="es-MX"/>
              </w:rPr>
              <w:t xml:space="preserve"> </w:t>
            </w:r>
            <w:r w:rsidRPr="00FD0C0D">
              <w:rPr>
                <w:rFonts w:ascii="Century Gothic" w:eastAsia="Century Gothic" w:hAnsi="Century Gothic" w:cs="Century Gothic"/>
                <w:b/>
                <w:bCs/>
                <w:sz w:val="23"/>
                <w:szCs w:val="23"/>
                <w:lang w:eastAsia="es-MX"/>
              </w:rPr>
              <w:t>SOTO PRIETO</w:t>
            </w:r>
          </w:p>
        </w:tc>
      </w:tr>
    </w:tbl>
    <w:p w14:paraId="04BAEB97" w14:textId="77777777" w:rsidR="00F84725" w:rsidRPr="007D4CEE" w:rsidRDefault="00F84725" w:rsidP="00F84725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</w:p>
    <w:p w14:paraId="11ECADF1" w14:textId="77777777" w:rsidR="00F84725" w:rsidRPr="007D4CEE" w:rsidRDefault="00F84725" w:rsidP="00F84725">
      <w:pPr>
        <w:spacing w:after="0" w:line="360" w:lineRule="auto"/>
        <w:jc w:val="both"/>
        <w:rPr>
          <w:rFonts w:ascii="Century Gothic" w:eastAsia="Century Gothic" w:hAnsi="Century Gothic" w:cs="Century Gothic"/>
          <w:b/>
          <w:bCs/>
          <w:sz w:val="23"/>
          <w:szCs w:val="23"/>
          <w:highlight w:val="white"/>
          <w:lang w:eastAsia="es-MX"/>
        </w:rPr>
      </w:pPr>
    </w:p>
    <w:p w14:paraId="3FD99EDD" w14:textId="77777777" w:rsidR="00F84725" w:rsidRPr="007D4CEE" w:rsidRDefault="00F84725" w:rsidP="00F84725">
      <w:pPr>
        <w:spacing w:after="0" w:line="360" w:lineRule="auto"/>
        <w:jc w:val="both"/>
        <w:rPr>
          <w:rFonts w:ascii="Century Gothic" w:eastAsia="Century Gothic" w:hAnsi="Century Gothic" w:cs="Century Gothic"/>
          <w:b/>
          <w:bCs/>
          <w:sz w:val="23"/>
          <w:szCs w:val="23"/>
          <w:highlight w:val="white"/>
          <w:lang w:eastAsia="es-MX"/>
        </w:rPr>
      </w:pPr>
      <w:r w:rsidRPr="007D4CEE">
        <w:rPr>
          <w:rFonts w:ascii="Century Gothic" w:eastAsia="Century Gothic" w:hAnsi="Century Gothic" w:cs="Century Gothic"/>
          <w:b/>
          <w:bCs/>
          <w:sz w:val="23"/>
          <w:szCs w:val="23"/>
          <w:highlight w:val="white"/>
          <w:lang w:eastAsia="es-MX"/>
        </w:rPr>
        <w:t xml:space="preserve">  __________________________________</w:t>
      </w:r>
    </w:p>
    <w:p w14:paraId="1AB0537D" w14:textId="77777777" w:rsidR="00F84725" w:rsidRPr="007D4CEE" w:rsidRDefault="00F84725" w:rsidP="00F84725">
      <w:pPr>
        <w:spacing w:after="0" w:line="360" w:lineRule="auto"/>
        <w:jc w:val="both"/>
        <w:rPr>
          <w:rFonts w:ascii="Century Gothic" w:hAnsi="Century Gothic"/>
          <w:sz w:val="23"/>
          <w:szCs w:val="23"/>
        </w:rPr>
      </w:pPr>
      <w:r w:rsidRPr="007D4CEE">
        <w:rPr>
          <w:rFonts w:ascii="Century Gothic" w:eastAsia="Century Gothic" w:hAnsi="Century Gothic" w:cs="Century Gothic"/>
          <w:b/>
          <w:bCs/>
          <w:sz w:val="23"/>
          <w:szCs w:val="23"/>
          <w:highlight w:val="white"/>
          <w:lang w:eastAsia="es-MX"/>
        </w:rPr>
        <w:t xml:space="preserve">          DIP. ISMAEL PÉREZ PAVÍA</w:t>
      </w:r>
    </w:p>
    <w:p w14:paraId="060721E7" w14:textId="77777777" w:rsidR="00F84725" w:rsidRDefault="00F84725" w:rsidP="00516DA8">
      <w:pPr>
        <w:ind w:left="-567"/>
        <w:jc w:val="both"/>
        <w:rPr>
          <w:rFonts w:ascii="Century Gothic" w:hAnsi="Century Gothic" w:cs="Arial"/>
          <w:sz w:val="24"/>
          <w:szCs w:val="24"/>
        </w:rPr>
      </w:pPr>
    </w:p>
    <w:sectPr w:rsidR="00F84725" w:rsidSect="00880C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30498" w14:textId="77777777" w:rsidR="00E504CC" w:rsidRDefault="00E504CC" w:rsidP="007F665E">
      <w:pPr>
        <w:spacing w:after="0" w:line="240" w:lineRule="auto"/>
      </w:pPr>
      <w:r>
        <w:separator/>
      </w:r>
    </w:p>
  </w:endnote>
  <w:endnote w:type="continuationSeparator" w:id="0">
    <w:p w14:paraId="3B9A7E47" w14:textId="77777777" w:rsidR="00E504CC" w:rsidRDefault="00E504CC" w:rsidP="007F6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C9DE5" w14:textId="77777777" w:rsidR="00AB6DB1" w:rsidRDefault="00AB6DB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D64E7" w14:textId="77777777" w:rsidR="00AB6DB1" w:rsidRDefault="00AB6DB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0C3E7" w14:textId="77777777" w:rsidR="00AB6DB1" w:rsidRDefault="00AB6DB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B5CC3" w14:textId="77777777" w:rsidR="00E504CC" w:rsidRDefault="00E504CC" w:rsidP="007F665E">
      <w:pPr>
        <w:spacing w:after="0" w:line="240" w:lineRule="auto"/>
      </w:pPr>
      <w:r>
        <w:separator/>
      </w:r>
    </w:p>
  </w:footnote>
  <w:footnote w:type="continuationSeparator" w:id="0">
    <w:p w14:paraId="1F2CEB25" w14:textId="77777777" w:rsidR="00E504CC" w:rsidRDefault="00E504CC" w:rsidP="007F6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F49CD" w14:textId="77777777" w:rsidR="00AB6DB1" w:rsidRDefault="00AB6DB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CEA3A" w14:textId="6FA229AB" w:rsidR="007F665E" w:rsidRDefault="007F665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046EAEB8" wp14:editId="18365776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772400" cy="1005840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DE35A" w14:textId="77777777" w:rsidR="00AB6DB1" w:rsidRDefault="00AB6DB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22F98"/>
    <w:multiLevelType w:val="hybridMultilevel"/>
    <w:tmpl w:val="1430FA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27FF6"/>
    <w:multiLevelType w:val="hybridMultilevel"/>
    <w:tmpl w:val="A8B0EC3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65E"/>
    <w:rsid w:val="000061D2"/>
    <w:rsid w:val="00034AF4"/>
    <w:rsid w:val="0003783E"/>
    <w:rsid w:val="000A7C7A"/>
    <w:rsid w:val="000B55FF"/>
    <w:rsid w:val="000E1395"/>
    <w:rsid w:val="000F0E33"/>
    <w:rsid w:val="001911AA"/>
    <w:rsid w:val="001A01EA"/>
    <w:rsid w:val="001E1557"/>
    <w:rsid w:val="001E5423"/>
    <w:rsid w:val="00291896"/>
    <w:rsid w:val="003131E2"/>
    <w:rsid w:val="003148B1"/>
    <w:rsid w:val="00326670"/>
    <w:rsid w:val="00374BB6"/>
    <w:rsid w:val="003B1FD3"/>
    <w:rsid w:val="003D3DCB"/>
    <w:rsid w:val="003E75E3"/>
    <w:rsid w:val="00402300"/>
    <w:rsid w:val="00444C92"/>
    <w:rsid w:val="00474CF3"/>
    <w:rsid w:val="00480B2B"/>
    <w:rsid w:val="004865CF"/>
    <w:rsid w:val="004C1D83"/>
    <w:rsid w:val="004C2DEA"/>
    <w:rsid w:val="004C4B8E"/>
    <w:rsid w:val="004C60C5"/>
    <w:rsid w:val="004D5B3F"/>
    <w:rsid w:val="004F4807"/>
    <w:rsid w:val="00513809"/>
    <w:rsid w:val="00516DA8"/>
    <w:rsid w:val="00561A86"/>
    <w:rsid w:val="0059206D"/>
    <w:rsid w:val="005E0DF5"/>
    <w:rsid w:val="005F7DB5"/>
    <w:rsid w:val="00652673"/>
    <w:rsid w:val="00674C4B"/>
    <w:rsid w:val="006A339C"/>
    <w:rsid w:val="006A4ED0"/>
    <w:rsid w:val="0070484A"/>
    <w:rsid w:val="00740750"/>
    <w:rsid w:val="00746FD9"/>
    <w:rsid w:val="007659A7"/>
    <w:rsid w:val="007926CD"/>
    <w:rsid w:val="007B3841"/>
    <w:rsid w:val="007F665E"/>
    <w:rsid w:val="00880C31"/>
    <w:rsid w:val="008818DB"/>
    <w:rsid w:val="00895284"/>
    <w:rsid w:val="008F5B89"/>
    <w:rsid w:val="008F6A06"/>
    <w:rsid w:val="00953B98"/>
    <w:rsid w:val="009715A5"/>
    <w:rsid w:val="009E639C"/>
    <w:rsid w:val="00A02F09"/>
    <w:rsid w:val="00A10783"/>
    <w:rsid w:val="00A4474A"/>
    <w:rsid w:val="00AB6DB1"/>
    <w:rsid w:val="00AE3F63"/>
    <w:rsid w:val="00AF3AF7"/>
    <w:rsid w:val="00B60E80"/>
    <w:rsid w:val="00BA6F58"/>
    <w:rsid w:val="00C17A1B"/>
    <w:rsid w:val="00C52159"/>
    <w:rsid w:val="00C837C3"/>
    <w:rsid w:val="00CA2DB1"/>
    <w:rsid w:val="00CB158E"/>
    <w:rsid w:val="00CE5C19"/>
    <w:rsid w:val="00D03976"/>
    <w:rsid w:val="00D65DAA"/>
    <w:rsid w:val="00D762A3"/>
    <w:rsid w:val="00DB3F45"/>
    <w:rsid w:val="00DF6FB7"/>
    <w:rsid w:val="00DF7F16"/>
    <w:rsid w:val="00E504CC"/>
    <w:rsid w:val="00EA4121"/>
    <w:rsid w:val="00EB012D"/>
    <w:rsid w:val="00F24AB0"/>
    <w:rsid w:val="00F84725"/>
    <w:rsid w:val="00F85652"/>
    <w:rsid w:val="00F86D1D"/>
    <w:rsid w:val="00FD0C0D"/>
    <w:rsid w:val="00FF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7C0FDB3"/>
  <w15:chartTrackingRefBased/>
  <w15:docId w15:val="{59FD878D-A16A-48D6-AA90-522BE2C7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72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66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665E"/>
  </w:style>
  <w:style w:type="paragraph" w:styleId="Piedepgina">
    <w:name w:val="footer"/>
    <w:basedOn w:val="Normal"/>
    <w:link w:val="PiedepginaCar"/>
    <w:uiPriority w:val="99"/>
    <w:unhideWhenUsed/>
    <w:rsid w:val="007F66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665E"/>
  </w:style>
  <w:style w:type="paragraph" w:styleId="Prrafodelista">
    <w:name w:val="List Paragraph"/>
    <w:basedOn w:val="Normal"/>
    <w:uiPriority w:val="34"/>
    <w:qFormat/>
    <w:rsid w:val="00F84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2268</Words>
  <Characters>12477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Alejandro Tarango Chavira</dc:creator>
  <cp:keywords/>
  <dc:description/>
  <cp:lastModifiedBy>Andrea Daniela Flores Chacon</cp:lastModifiedBy>
  <cp:revision>2</cp:revision>
  <cp:lastPrinted>2026-05-28T14:40:00Z</cp:lastPrinted>
  <dcterms:created xsi:type="dcterms:W3CDTF">2026-09-09T20:51:00Z</dcterms:created>
  <dcterms:modified xsi:type="dcterms:W3CDTF">2026-09-09T20:51:00Z</dcterms:modified>
</cp:coreProperties>
</file>