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0D84C" w14:textId="77777777" w:rsidR="00364D62" w:rsidRDefault="00364D62" w:rsidP="00364D62">
      <w:pPr>
        <w:spacing w:after="0" w:line="360" w:lineRule="auto"/>
        <w:jc w:val="both"/>
        <w:rPr>
          <w:rFonts w:ascii="Century Gothic" w:eastAsia="Century Gothic" w:hAnsi="Century Gothic" w:cs="Century Gothic"/>
          <w:b/>
          <w:sz w:val="24"/>
          <w:szCs w:val="24"/>
        </w:rPr>
      </w:pPr>
    </w:p>
    <w:p w14:paraId="277FFF1A" w14:textId="29FAA7B7" w:rsidR="00364D62" w:rsidRPr="000B103A" w:rsidRDefault="00364D62" w:rsidP="00364D62">
      <w:pPr>
        <w:spacing w:after="0" w:line="360" w:lineRule="auto"/>
        <w:jc w:val="both"/>
        <w:rPr>
          <w:rFonts w:ascii="Century Gothic" w:eastAsia="Century Gothic" w:hAnsi="Century Gothic" w:cs="Century Gothic"/>
          <w:sz w:val="24"/>
          <w:szCs w:val="24"/>
        </w:rPr>
      </w:pPr>
      <w:r w:rsidRPr="000B103A">
        <w:rPr>
          <w:rFonts w:ascii="Century Gothic" w:eastAsia="Century Gothic" w:hAnsi="Century Gothic" w:cs="Century Gothic"/>
          <w:b/>
          <w:sz w:val="24"/>
          <w:szCs w:val="24"/>
        </w:rPr>
        <w:t>H. CONGRESO DEL ESTADO DE CHIHUAHUA</w:t>
      </w:r>
    </w:p>
    <w:p w14:paraId="746A5C83" w14:textId="77777777" w:rsidR="00364D62" w:rsidRPr="000B103A" w:rsidRDefault="00364D62" w:rsidP="00364D62">
      <w:pPr>
        <w:spacing w:after="0" w:line="360" w:lineRule="auto"/>
        <w:jc w:val="both"/>
        <w:rPr>
          <w:rFonts w:ascii="Century Gothic" w:eastAsia="Century Gothic" w:hAnsi="Century Gothic" w:cs="Century Gothic"/>
          <w:sz w:val="24"/>
          <w:szCs w:val="24"/>
        </w:rPr>
      </w:pPr>
      <w:r w:rsidRPr="000B103A">
        <w:rPr>
          <w:rFonts w:ascii="Century Gothic" w:eastAsia="Century Gothic" w:hAnsi="Century Gothic" w:cs="Century Gothic"/>
          <w:b/>
          <w:sz w:val="24"/>
          <w:szCs w:val="24"/>
        </w:rPr>
        <w:t>P R E S E N T E.-</w:t>
      </w:r>
    </w:p>
    <w:p w14:paraId="2F6C0627" w14:textId="77777777" w:rsidR="00364D62" w:rsidRPr="000B103A" w:rsidRDefault="00364D62" w:rsidP="00364D62">
      <w:pPr>
        <w:spacing w:line="360" w:lineRule="auto"/>
        <w:jc w:val="both"/>
        <w:rPr>
          <w:rFonts w:ascii="Century Gothic" w:eastAsia="Century Gothic" w:hAnsi="Century Gothic" w:cs="Century Gothic"/>
          <w:sz w:val="24"/>
          <w:szCs w:val="24"/>
        </w:rPr>
      </w:pPr>
    </w:p>
    <w:p w14:paraId="5E34C3AF" w14:textId="5881AAF1" w:rsidR="00364D62" w:rsidRPr="000B103A" w:rsidRDefault="00364D62" w:rsidP="00364D62">
      <w:pPr>
        <w:spacing w:line="360" w:lineRule="auto"/>
        <w:jc w:val="both"/>
        <w:rPr>
          <w:rFonts w:ascii="Century Gothic" w:eastAsia="Arial Unicode MS" w:hAnsi="Century Gothic" w:cs="Arial"/>
          <w:color w:val="000000"/>
          <w:sz w:val="24"/>
          <w:szCs w:val="24"/>
          <w:bdr w:val="none" w:sz="0" w:space="0" w:color="auto" w:frame="1"/>
          <w:lang w:val="es-ES_tradnl" w:eastAsia="es-MX"/>
          <w14:textOutline w14:w="12700" w14:cap="flat" w14:cmpd="sng" w14:algn="ctr">
            <w14:noFill/>
            <w14:prstDash w14:val="solid"/>
            <w14:miter w14:lim="100000"/>
          </w14:textOutline>
        </w:rPr>
      </w:pPr>
      <w:r w:rsidRPr="000B103A">
        <w:rPr>
          <w:rFonts w:ascii="Century Gothic" w:eastAsia="Century Gothic" w:hAnsi="Century Gothic" w:cs="Century Gothic"/>
          <w:sz w:val="24"/>
          <w:szCs w:val="24"/>
        </w:rPr>
        <w:t>La suscrita,</w:t>
      </w:r>
      <w:r w:rsidRPr="000B103A">
        <w:rPr>
          <w:rFonts w:ascii="Century Gothic" w:eastAsia="Century Gothic" w:hAnsi="Century Gothic" w:cs="Century Gothic"/>
          <w:b/>
          <w:sz w:val="24"/>
          <w:szCs w:val="24"/>
        </w:rPr>
        <w:t xml:space="preserve"> Yesenia Guadalupe Reyes </w:t>
      </w:r>
      <w:proofErr w:type="spellStart"/>
      <w:r w:rsidRPr="000B103A">
        <w:rPr>
          <w:rFonts w:ascii="Century Gothic" w:eastAsia="Century Gothic" w:hAnsi="Century Gothic" w:cs="Century Gothic"/>
          <w:b/>
          <w:sz w:val="24"/>
          <w:szCs w:val="24"/>
        </w:rPr>
        <w:t>Calzadías</w:t>
      </w:r>
      <w:proofErr w:type="spellEnd"/>
      <w:r w:rsidRPr="000B103A">
        <w:rPr>
          <w:rFonts w:ascii="Century Gothic" w:eastAsia="Century Gothic" w:hAnsi="Century Gothic" w:cs="Century Gothic"/>
          <w:sz w:val="24"/>
          <w:szCs w:val="24"/>
        </w:rPr>
        <w:t xml:space="preserve"> </w:t>
      </w:r>
      <w:r w:rsidRPr="000B103A">
        <w:rPr>
          <w:rFonts w:ascii="Century Gothic" w:eastAsia="Arial Unicode MS" w:hAnsi="Century Gothic" w:cs="Arial"/>
          <w:color w:val="000000"/>
          <w:sz w:val="24"/>
          <w:szCs w:val="24"/>
          <w:bdr w:val="none" w:sz="0" w:space="0" w:color="auto" w:frame="1"/>
          <w:lang w:val="es-ES_tradnl" w:eastAsia="es-MX"/>
          <w14:textOutline w14:w="12700" w14:cap="flat" w14:cmpd="sng" w14:algn="ctr">
            <w14:noFill/>
            <w14:prstDash w14:val="solid"/>
            <w14:miter w14:lim="100000"/>
          </w14:textOutline>
        </w:rPr>
        <w:t xml:space="preserve">en mi carácter de Diputada de la Sexagésima Octava Legislatura del H. Congreso del Estado, integrante del Grupo Parlamentario del Partido Acción Nacional y, en su representación, con fundamento en lo dispuesto en los artículos 64, fracción II de la Constitución Política de los Estados Unidos Mexicanos, y 167, fracción I de la Ley Orgánica del Poder Legislativo del Estado de Chihuahua, y 75 y 76 del Reglamento Interior y de Prácticas Parlamentarias del Poder Legislativo; acudo ante esta Honorable Representación, a fin de proponer </w:t>
      </w:r>
      <w:r w:rsidRPr="000B103A">
        <w:rPr>
          <w:rFonts w:ascii="Century Gothic" w:eastAsia="Arial Unicode MS" w:hAnsi="Century Gothic" w:cs="Arial"/>
          <w:b/>
          <w:bCs/>
          <w:i/>
          <w:iCs/>
          <w:color w:val="000000"/>
          <w:sz w:val="24"/>
          <w:szCs w:val="24"/>
          <w:bdr w:val="none" w:sz="0" w:space="0" w:color="auto" w:frame="1"/>
          <w:lang w:val="es-ES_tradnl" w:eastAsia="es-MX"/>
          <w14:textOutline w14:w="12700" w14:cap="flat" w14:cmpd="sng" w14:algn="ctr">
            <w14:noFill/>
            <w14:prstDash w14:val="solid"/>
            <w14:miter w14:lim="100000"/>
          </w14:textOutline>
        </w:rPr>
        <w:t>INICIATIVA CON CARÁCTER DE DECRET</w:t>
      </w:r>
      <w:r w:rsidR="00646D6D">
        <w:rPr>
          <w:rFonts w:ascii="Century Gothic" w:eastAsia="Arial Unicode MS" w:hAnsi="Century Gothic" w:cs="Arial"/>
          <w:b/>
          <w:bCs/>
          <w:i/>
          <w:iCs/>
          <w:color w:val="000000"/>
          <w:sz w:val="24"/>
          <w:szCs w:val="24"/>
          <w:bdr w:val="none" w:sz="0" w:space="0" w:color="auto" w:frame="1"/>
          <w:lang w:val="es-ES_tradnl" w:eastAsia="es-MX"/>
          <w14:textOutline w14:w="12700" w14:cap="flat" w14:cmpd="sng" w14:algn="ctr">
            <w14:noFill/>
            <w14:prstDash w14:val="solid"/>
            <w14:miter w14:lim="100000"/>
          </w14:textOutline>
        </w:rPr>
        <w:t>O</w:t>
      </w:r>
      <w:r w:rsidR="006949BA">
        <w:rPr>
          <w:rFonts w:ascii="Century Gothic" w:eastAsia="Arial Unicode MS" w:hAnsi="Century Gothic" w:cs="Arial"/>
          <w:b/>
          <w:bCs/>
          <w:i/>
          <w:iCs/>
          <w:color w:val="000000"/>
          <w:sz w:val="24"/>
          <w:szCs w:val="24"/>
          <w:bdr w:val="none" w:sz="0" w:space="0" w:color="auto" w:frame="1"/>
          <w:lang w:val="es-ES_tradnl" w:eastAsia="es-MX"/>
          <w14:textOutline w14:w="12700" w14:cap="flat" w14:cmpd="sng" w14:algn="ctr">
            <w14:noFill/>
            <w14:prstDash w14:val="solid"/>
            <w14:miter w14:lim="100000"/>
          </w14:textOutline>
        </w:rPr>
        <w:t xml:space="preserve"> ANTE EL H. CONGRESO DE LA UNIÓN PARA REFORMAR LA LEY DEL IMPUESTO SOBRE LA RENTA EN MATERIA DE DEDUCCIONES POR COMPRA DE MEDICAMENTOS</w:t>
      </w:r>
      <w:r w:rsidRPr="000B103A">
        <w:rPr>
          <w:rFonts w:ascii="Century Gothic" w:eastAsia="Arial Unicode MS" w:hAnsi="Century Gothic" w:cs="Arial"/>
          <w:b/>
          <w:bCs/>
          <w:i/>
          <w:iCs/>
          <w:color w:val="000000"/>
          <w:sz w:val="24"/>
          <w:szCs w:val="24"/>
          <w:bdr w:val="none" w:sz="0" w:space="0" w:color="auto" w:frame="1"/>
          <w:lang w:val="es-ES_tradnl" w:eastAsia="es-MX"/>
          <w14:textOutline w14:w="12700" w14:cap="flat" w14:cmpd="sng" w14:algn="ctr">
            <w14:noFill/>
            <w14:prstDash w14:val="solid"/>
            <w14:miter w14:lim="100000"/>
          </w14:textOutline>
        </w:rPr>
        <w:t>,</w:t>
      </w:r>
      <w:r w:rsidRPr="000B103A">
        <w:rPr>
          <w:rFonts w:ascii="Century Gothic" w:eastAsia="Arial Unicode MS" w:hAnsi="Century Gothic" w:cs="Arial"/>
          <w:color w:val="000000"/>
          <w:sz w:val="24"/>
          <w:szCs w:val="24"/>
          <w:bdr w:val="none" w:sz="0" w:space="0" w:color="auto" w:frame="1"/>
          <w:lang w:val="es-ES_tradnl" w:eastAsia="es-MX"/>
          <w14:textOutline w14:w="12700" w14:cap="flat" w14:cmpd="sng" w14:algn="ctr">
            <w14:noFill/>
            <w14:prstDash w14:val="solid"/>
            <w14:miter w14:lim="100000"/>
          </w14:textOutline>
        </w:rPr>
        <w:t xml:space="preserve"> lo anterior al tenor de la siguiente:</w:t>
      </w:r>
    </w:p>
    <w:p w14:paraId="2943EF49" w14:textId="77777777" w:rsidR="00364D62" w:rsidRPr="000B103A" w:rsidRDefault="00364D62" w:rsidP="00364D62">
      <w:pPr>
        <w:spacing w:line="360" w:lineRule="auto"/>
        <w:jc w:val="both"/>
        <w:rPr>
          <w:rFonts w:ascii="Century Gothic" w:eastAsia="Arial Unicode MS" w:hAnsi="Century Gothic" w:cs="Arial"/>
          <w:color w:val="000000"/>
          <w:sz w:val="24"/>
          <w:szCs w:val="24"/>
          <w:bdr w:val="none" w:sz="0" w:space="0" w:color="auto" w:frame="1"/>
          <w:lang w:val="es-ES_tradnl" w:eastAsia="es-MX"/>
          <w14:textOutline w14:w="12700" w14:cap="flat" w14:cmpd="sng" w14:algn="ctr">
            <w14:noFill/>
            <w14:prstDash w14:val="solid"/>
            <w14:miter w14:lim="100000"/>
          </w14:textOutline>
        </w:rPr>
      </w:pPr>
    </w:p>
    <w:p w14:paraId="2E3F8DC6" w14:textId="6CB8BDD3" w:rsidR="00364D62" w:rsidRDefault="00364D62" w:rsidP="00364D62">
      <w:pPr>
        <w:spacing w:line="360" w:lineRule="auto"/>
        <w:jc w:val="center"/>
        <w:rPr>
          <w:rFonts w:ascii="Century Gothic" w:hAnsi="Century Gothic"/>
          <w:b/>
          <w:bCs/>
          <w:sz w:val="24"/>
          <w:szCs w:val="24"/>
        </w:rPr>
      </w:pPr>
      <w:r w:rsidRPr="000B103A">
        <w:rPr>
          <w:rFonts w:ascii="Century Gothic" w:hAnsi="Century Gothic"/>
          <w:b/>
          <w:bCs/>
          <w:sz w:val="24"/>
          <w:szCs w:val="24"/>
        </w:rPr>
        <w:t>EXPOSICIÓN DE MOTIVOS</w:t>
      </w:r>
    </w:p>
    <w:p w14:paraId="0FA63661" w14:textId="1A43AA32" w:rsidR="00094D2F" w:rsidRPr="00094D2F" w:rsidRDefault="00094D2F" w:rsidP="00A244DB">
      <w:pPr>
        <w:spacing w:line="360" w:lineRule="auto"/>
        <w:ind w:firstLine="709"/>
        <w:jc w:val="both"/>
        <w:rPr>
          <w:rFonts w:ascii="Century Gothic" w:hAnsi="Century Gothic"/>
          <w:sz w:val="24"/>
          <w:szCs w:val="24"/>
        </w:rPr>
      </w:pPr>
      <w:r w:rsidRPr="00094D2F">
        <w:rPr>
          <w:rFonts w:ascii="Century Gothic" w:hAnsi="Century Gothic"/>
          <w:sz w:val="24"/>
          <w:szCs w:val="24"/>
        </w:rPr>
        <w:t xml:space="preserve">El derecho a la protección de la salud, consagrado en el artículo </w:t>
      </w:r>
      <w:r>
        <w:rPr>
          <w:rFonts w:ascii="Century Gothic" w:hAnsi="Century Gothic"/>
          <w:sz w:val="24"/>
          <w:szCs w:val="24"/>
        </w:rPr>
        <w:t>cuarto</w:t>
      </w:r>
      <w:r w:rsidRPr="00094D2F">
        <w:rPr>
          <w:rFonts w:ascii="Century Gothic" w:hAnsi="Century Gothic"/>
          <w:sz w:val="24"/>
          <w:szCs w:val="24"/>
        </w:rPr>
        <w:t xml:space="preserve"> de la Constitución Política de los Estados Unidos Mexicanos, exige que el Estado garantice el acceso oportuno, efectivo y equitativo a los insumos médicos indispensables para el bienestar de la población. Sin embargo, la realidad operativa del sistema público de salud presenta retos estructurales de desabasto que obligan a millones de familias a absorber costos imprevistos para dar continuidad a sus tratamientos.</w:t>
      </w:r>
    </w:p>
    <w:p w14:paraId="7680D41E" w14:textId="77777777" w:rsidR="00094D2F" w:rsidRPr="00094D2F" w:rsidRDefault="00094D2F" w:rsidP="00A244DB">
      <w:pPr>
        <w:spacing w:line="360" w:lineRule="auto"/>
        <w:ind w:firstLine="709"/>
        <w:jc w:val="both"/>
        <w:rPr>
          <w:rFonts w:ascii="Century Gothic" w:hAnsi="Century Gothic"/>
          <w:sz w:val="24"/>
          <w:szCs w:val="24"/>
        </w:rPr>
      </w:pPr>
    </w:p>
    <w:p w14:paraId="47567B88" w14:textId="0E04AA32" w:rsidR="00094D2F" w:rsidRPr="00094D2F" w:rsidRDefault="00094D2F" w:rsidP="00A244DB">
      <w:pPr>
        <w:spacing w:line="360" w:lineRule="auto"/>
        <w:ind w:firstLine="709"/>
        <w:jc w:val="both"/>
        <w:rPr>
          <w:rFonts w:ascii="Century Gothic" w:hAnsi="Century Gothic"/>
          <w:sz w:val="24"/>
          <w:szCs w:val="24"/>
        </w:rPr>
      </w:pPr>
      <w:r w:rsidRPr="00094D2F">
        <w:rPr>
          <w:rFonts w:ascii="Century Gothic" w:hAnsi="Century Gothic"/>
          <w:sz w:val="24"/>
          <w:szCs w:val="24"/>
        </w:rPr>
        <w:lastRenderedPageBreak/>
        <w:t>En la actualidad, el marco fiscal vigente vulnera el principio de equidad contributiva y desconoce la dinámica real del gasto familiar en salud. Conforme al artículo 151, fracción I, de la Ley del Impuesto Sobre la Renta</w:t>
      </w:r>
      <w:r w:rsidR="00F0522B">
        <w:rPr>
          <w:rStyle w:val="Refdenotaalpie"/>
          <w:rFonts w:ascii="Century Gothic" w:hAnsi="Century Gothic"/>
          <w:sz w:val="24"/>
          <w:szCs w:val="24"/>
        </w:rPr>
        <w:footnoteReference w:id="1"/>
      </w:r>
      <w:r>
        <w:rPr>
          <w:rFonts w:ascii="Century Gothic" w:hAnsi="Century Gothic"/>
          <w:sz w:val="24"/>
          <w:szCs w:val="24"/>
        </w:rPr>
        <w:t xml:space="preserve">, </w:t>
      </w:r>
      <w:r w:rsidRPr="00094D2F">
        <w:rPr>
          <w:rFonts w:ascii="Century Gothic" w:hAnsi="Century Gothic"/>
          <w:sz w:val="24"/>
          <w:szCs w:val="24"/>
        </w:rPr>
        <w:t xml:space="preserve">en correlación con el artículo 264 </w:t>
      </w:r>
      <w:r>
        <w:rPr>
          <w:rFonts w:ascii="Century Gothic" w:hAnsi="Century Gothic"/>
          <w:sz w:val="24"/>
          <w:szCs w:val="24"/>
        </w:rPr>
        <w:t>de su respectivo Reglamento</w:t>
      </w:r>
      <w:r w:rsidRPr="00094D2F">
        <w:rPr>
          <w:rFonts w:ascii="Century Gothic" w:hAnsi="Century Gothic"/>
          <w:sz w:val="24"/>
          <w:szCs w:val="24"/>
        </w:rPr>
        <w:t xml:space="preserve">, </w:t>
      </w:r>
      <w:r w:rsidR="00981EE2">
        <w:rPr>
          <w:rFonts w:ascii="Century Gothic" w:hAnsi="Century Gothic"/>
          <w:sz w:val="24"/>
          <w:szCs w:val="24"/>
        </w:rPr>
        <w:t xml:space="preserve">señala que </w:t>
      </w:r>
      <w:r w:rsidRPr="00094D2F">
        <w:rPr>
          <w:rFonts w:ascii="Century Gothic" w:hAnsi="Century Gothic"/>
          <w:sz w:val="24"/>
          <w:szCs w:val="24"/>
        </w:rPr>
        <w:t>la adquisición de medicamentos únicamente es deducible como gasto personal cuando se encuentra facturada dentro de un internamiento u hospitalización privada. Las medicinas adquiridas de forma ambulatoria en farmacias quedan excluidas de esta prerrogativa fiscal, aun cuando cuentan con la debida prescripción médica y comprobante fiscal digital.</w:t>
      </w:r>
    </w:p>
    <w:p w14:paraId="5BCDFB54" w14:textId="77777777" w:rsidR="00094D2F" w:rsidRPr="00094D2F" w:rsidRDefault="00094D2F" w:rsidP="00A244DB">
      <w:pPr>
        <w:spacing w:line="360" w:lineRule="auto"/>
        <w:ind w:firstLine="709"/>
        <w:jc w:val="both"/>
        <w:rPr>
          <w:rFonts w:ascii="Century Gothic" w:hAnsi="Century Gothic"/>
          <w:sz w:val="24"/>
          <w:szCs w:val="24"/>
        </w:rPr>
      </w:pPr>
    </w:p>
    <w:p w14:paraId="065739C6" w14:textId="6B9DA43F" w:rsidR="00364D62" w:rsidRDefault="00094D2F" w:rsidP="00A244DB">
      <w:pPr>
        <w:spacing w:line="360" w:lineRule="auto"/>
        <w:ind w:firstLine="709"/>
        <w:jc w:val="both"/>
        <w:rPr>
          <w:rFonts w:ascii="Century Gothic" w:hAnsi="Century Gothic"/>
          <w:sz w:val="24"/>
          <w:szCs w:val="24"/>
        </w:rPr>
      </w:pPr>
      <w:r w:rsidRPr="00094D2F">
        <w:rPr>
          <w:rFonts w:ascii="Century Gothic" w:hAnsi="Century Gothic"/>
          <w:sz w:val="24"/>
          <w:szCs w:val="24"/>
        </w:rPr>
        <w:t>Esta distorsión normativa castiga a los contribuyentes que, ante la imposibilidad de surtir sus recetas en las instituciones públicas de seguridad social o de sufragar una estancia hospitalaria privada, deben adquirir sus fármacos en el comercio minorista.</w:t>
      </w:r>
    </w:p>
    <w:p w14:paraId="19B2EF10" w14:textId="0089FB21" w:rsidR="00094D2F" w:rsidRDefault="00094D2F" w:rsidP="00A244DB">
      <w:pPr>
        <w:spacing w:line="360" w:lineRule="auto"/>
        <w:ind w:firstLine="709"/>
        <w:jc w:val="both"/>
        <w:rPr>
          <w:rFonts w:ascii="Century Gothic" w:hAnsi="Century Gothic"/>
          <w:sz w:val="24"/>
          <w:szCs w:val="24"/>
        </w:rPr>
      </w:pPr>
    </w:p>
    <w:p w14:paraId="4873CAF3" w14:textId="31388E9C" w:rsidR="00094D2F" w:rsidRDefault="00094D2F" w:rsidP="00A244DB">
      <w:pPr>
        <w:spacing w:line="360" w:lineRule="auto"/>
        <w:ind w:firstLine="709"/>
        <w:jc w:val="both"/>
        <w:rPr>
          <w:rFonts w:ascii="Century Gothic" w:hAnsi="Century Gothic"/>
          <w:sz w:val="24"/>
          <w:szCs w:val="24"/>
        </w:rPr>
      </w:pPr>
      <w:r w:rsidRPr="00094D2F">
        <w:rPr>
          <w:rFonts w:ascii="Century Gothic" w:hAnsi="Century Gothic"/>
          <w:sz w:val="24"/>
          <w:szCs w:val="24"/>
        </w:rPr>
        <w:t>De acuerdo con análisis del Centro de Investigación Económica y Presupuestaria (CIEP)</w:t>
      </w:r>
      <w:r>
        <w:rPr>
          <w:rFonts w:ascii="Century Gothic" w:hAnsi="Century Gothic"/>
          <w:sz w:val="24"/>
          <w:szCs w:val="24"/>
        </w:rPr>
        <w:t>,</w:t>
      </w:r>
      <w:r w:rsidRPr="00094D2F">
        <w:rPr>
          <w:rFonts w:ascii="Century Gothic" w:hAnsi="Century Gothic"/>
          <w:sz w:val="24"/>
          <w:szCs w:val="24"/>
        </w:rPr>
        <w:t xml:space="preserve"> basados en la Encuesta Nacional de Ingresos y Gastos de los Hogares</w:t>
      </w:r>
      <w:r>
        <w:rPr>
          <w:rFonts w:ascii="Century Gothic" w:hAnsi="Century Gothic"/>
          <w:sz w:val="24"/>
          <w:szCs w:val="24"/>
        </w:rPr>
        <w:t>, la cual se realiza cada 2 años por el Instituto Nacional de Estadística y Geografía</w:t>
      </w:r>
      <w:r w:rsidRPr="00094D2F">
        <w:rPr>
          <w:rFonts w:ascii="Century Gothic" w:hAnsi="Century Gothic"/>
          <w:sz w:val="24"/>
          <w:szCs w:val="24"/>
        </w:rPr>
        <w:t>, la compra de medicamentos representa el 38% del gasto total en salud que realizan los hogares mexicanos, cifra que se eleva drásticamente hasta el 50% en los hogares pertenecientes a los deciles de menores ingresos</w:t>
      </w:r>
      <w:r w:rsidR="00F0522B">
        <w:rPr>
          <w:rStyle w:val="Refdenotaalpie"/>
          <w:rFonts w:ascii="Century Gothic" w:hAnsi="Century Gothic"/>
          <w:sz w:val="24"/>
          <w:szCs w:val="24"/>
        </w:rPr>
        <w:footnoteReference w:id="2"/>
      </w:r>
      <w:r w:rsidR="00F0522B">
        <w:rPr>
          <w:rFonts w:ascii="Century Gothic" w:hAnsi="Century Gothic"/>
          <w:sz w:val="24"/>
          <w:szCs w:val="24"/>
        </w:rPr>
        <w:t>.</w:t>
      </w:r>
    </w:p>
    <w:p w14:paraId="61C3BE9A" w14:textId="77777777" w:rsidR="00F0522B" w:rsidRDefault="00F0522B" w:rsidP="00A244DB">
      <w:pPr>
        <w:spacing w:line="360" w:lineRule="auto"/>
        <w:ind w:firstLine="709"/>
        <w:jc w:val="both"/>
        <w:rPr>
          <w:rFonts w:ascii="Century Gothic" w:hAnsi="Century Gothic"/>
          <w:sz w:val="24"/>
          <w:szCs w:val="24"/>
        </w:rPr>
      </w:pPr>
    </w:p>
    <w:p w14:paraId="49776C0D" w14:textId="3C7072EE" w:rsidR="00F0522B" w:rsidRDefault="00F0522B" w:rsidP="00A244DB">
      <w:pPr>
        <w:spacing w:line="360" w:lineRule="auto"/>
        <w:ind w:firstLine="709"/>
        <w:jc w:val="both"/>
        <w:rPr>
          <w:rFonts w:ascii="Century Gothic" w:hAnsi="Century Gothic"/>
          <w:sz w:val="24"/>
          <w:szCs w:val="24"/>
        </w:rPr>
      </w:pPr>
      <w:r w:rsidRPr="00F0522B">
        <w:rPr>
          <w:rFonts w:ascii="Century Gothic" w:hAnsi="Century Gothic"/>
          <w:sz w:val="24"/>
          <w:szCs w:val="24"/>
        </w:rPr>
        <w:t xml:space="preserve">Para las familias de escasos recursos, destinar la mayor parte de su ingreso disponible a la </w:t>
      </w:r>
      <w:r w:rsidRPr="00F0522B">
        <w:rPr>
          <w:rFonts w:ascii="Century Gothic" w:hAnsi="Century Gothic"/>
          <w:b/>
          <w:bCs/>
          <w:sz w:val="24"/>
          <w:szCs w:val="24"/>
        </w:rPr>
        <w:t>compra de medicinas no es una elección voluntaria, sino una necesidad de supervivencia originada por el desabasto institucional</w:t>
      </w:r>
      <w:r w:rsidRPr="00F0522B">
        <w:rPr>
          <w:rFonts w:ascii="Century Gothic" w:hAnsi="Century Gothic"/>
          <w:sz w:val="24"/>
          <w:szCs w:val="24"/>
        </w:rPr>
        <w:t xml:space="preserve">. Permitir la </w:t>
      </w:r>
      <w:r>
        <w:rPr>
          <w:rFonts w:ascii="Century Gothic" w:hAnsi="Century Gothic"/>
          <w:sz w:val="24"/>
          <w:szCs w:val="24"/>
        </w:rPr>
        <w:t>deducción</w:t>
      </w:r>
      <w:r w:rsidRPr="00F0522B">
        <w:rPr>
          <w:rFonts w:ascii="Century Gothic" w:hAnsi="Century Gothic"/>
          <w:sz w:val="24"/>
          <w:szCs w:val="24"/>
        </w:rPr>
        <w:t xml:space="preserve"> de estos insumos otorga un alivio financiero directo, </w:t>
      </w:r>
      <w:r>
        <w:rPr>
          <w:rFonts w:ascii="Century Gothic" w:hAnsi="Century Gothic"/>
          <w:sz w:val="24"/>
          <w:szCs w:val="24"/>
        </w:rPr>
        <w:t>permitiendo la</w:t>
      </w:r>
      <w:r w:rsidRPr="00F0522B">
        <w:rPr>
          <w:rFonts w:ascii="Century Gothic" w:hAnsi="Century Gothic"/>
          <w:sz w:val="24"/>
          <w:szCs w:val="24"/>
        </w:rPr>
        <w:t xml:space="preserve"> liquidez a las familias trabajadoras a través del saldo a favor en la declaración anual y reduciendo el riesgo de que caigan en esquemas de gasto catastrófico o empobrecedor por motivos de salud.</w:t>
      </w:r>
    </w:p>
    <w:p w14:paraId="40F5D8F2" w14:textId="77777777" w:rsidR="00A244DB" w:rsidRDefault="00A244DB" w:rsidP="00A244DB">
      <w:pPr>
        <w:spacing w:line="360" w:lineRule="auto"/>
        <w:ind w:firstLine="709"/>
        <w:jc w:val="both"/>
        <w:rPr>
          <w:rFonts w:ascii="Century Gothic" w:hAnsi="Century Gothic"/>
          <w:sz w:val="24"/>
          <w:szCs w:val="24"/>
        </w:rPr>
      </w:pPr>
    </w:p>
    <w:p w14:paraId="42B37497" w14:textId="32909681" w:rsidR="00F0522B" w:rsidRDefault="00F0522B" w:rsidP="00A244DB">
      <w:pPr>
        <w:spacing w:line="360" w:lineRule="auto"/>
        <w:ind w:firstLine="709"/>
        <w:jc w:val="both"/>
        <w:rPr>
          <w:rFonts w:ascii="Century Gothic" w:hAnsi="Century Gothic"/>
          <w:sz w:val="24"/>
          <w:szCs w:val="24"/>
        </w:rPr>
      </w:pPr>
      <w:r w:rsidRPr="00F0522B">
        <w:rPr>
          <w:rFonts w:ascii="Century Gothic" w:hAnsi="Century Gothic"/>
          <w:sz w:val="24"/>
          <w:szCs w:val="24"/>
        </w:rPr>
        <w:t xml:space="preserve">La presente iniciativa busca corregir esta asimetría mediante la modificación de la </w:t>
      </w:r>
      <w:r>
        <w:rPr>
          <w:rFonts w:ascii="Century Gothic" w:hAnsi="Century Gothic"/>
          <w:sz w:val="24"/>
          <w:szCs w:val="24"/>
        </w:rPr>
        <w:t>Ley</w:t>
      </w:r>
      <w:r w:rsidRPr="00F0522B">
        <w:rPr>
          <w:rFonts w:ascii="Century Gothic" w:hAnsi="Century Gothic"/>
          <w:sz w:val="24"/>
          <w:szCs w:val="24"/>
        </w:rPr>
        <w:t>, permitiendo que la compra de medicamentos en farmacias sea deducible de impuestos para las personas físicas en su declaración anual, siempre que cuenten con receta médica expedida por un profesional de la salud con cédula y el pago se realice mediante medios bancarizados.</w:t>
      </w:r>
    </w:p>
    <w:p w14:paraId="6FEA9D7D" w14:textId="77777777" w:rsidR="00A244DB" w:rsidRDefault="00A244DB" w:rsidP="00A244DB">
      <w:pPr>
        <w:spacing w:line="360" w:lineRule="auto"/>
        <w:ind w:firstLine="709"/>
        <w:jc w:val="both"/>
        <w:rPr>
          <w:rFonts w:ascii="Century Gothic" w:hAnsi="Century Gothic"/>
          <w:sz w:val="24"/>
          <w:szCs w:val="24"/>
        </w:rPr>
      </w:pPr>
    </w:p>
    <w:p w14:paraId="3EAFCA70" w14:textId="16A8C152" w:rsidR="00F0522B" w:rsidRDefault="00F0522B" w:rsidP="00A244DB">
      <w:pPr>
        <w:spacing w:line="360" w:lineRule="auto"/>
        <w:ind w:firstLine="709"/>
        <w:jc w:val="both"/>
        <w:rPr>
          <w:rFonts w:ascii="Century Gothic" w:hAnsi="Century Gothic"/>
          <w:sz w:val="24"/>
          <w:szCs w:val="24"/>
        </w:rPr>
      </w:pPr>
      <w:r w:rsidRPr="00F0522B">
        <w:rPr>
          <w:rFonts w:ascii="Century Gothic" w:hAnsi="Century Gothic"/>
          <w:sz w:val="24"/>
          <w:szCs w:val="24"/>
        </w:rPr>
        <w:t>Lejos de representar una merma perjudicial para las finanzas públicas, la medida proyecta un impacto fiscal controlado y progresivo con beneficios colaterales en la recaudación federal</w:t>
      </w:r>
      <w:r>
        <w:rPr>
          <w:rFonts w:ascii="Century Gothic" w:hAnsi="Century Gothic"/>
          <w:sz w:val="24"/>
          <w:szCs w:val="24"/>
        </w:rPr>
        <w:t>, pues l</w:t>
      </w:r>
      <w:r w:rsidRPr="00F0522B">
        <w:rPr>
          <w:rFonts w:ascii="Century Gothic" w:hAnsi="Century Gothic"/>
          <w:sz w:val="24"/>
          <w:szCs w:val="24"/>
        </w:rPr>
        <w:t>a reforma propuesta no elimina el límite general de las deducciones personales fijado en el artículo 151 de la L</w:t>
      </w:r>
      <w:r>
        <w:rPr>
          <w:rFonts w:ascii="Century Gothic" w:hAnsi="Century Gothic"/>
          <w:sz w:val="24"/>
          <w:szCs w:val="24"/>
        </w:rPr>
        <w:t>ey</w:t>
      </w:r>
      <w:r w:rsidRPr="00F0522B">
        <w:rPr>
          <w:rFonts w:ascii="Century Gothic" w:hAnsi="Century Gothic"/>
          <w:sz w:val="24"/>
          <w:szCs w:val="24"/>
        </w:rPr>
        <w:t xml:space="preserve"> (5 Unidades de Medida y Actualización - UMA anuales o el 15% del total de los ingresos del contribuyente). Por lo tanto, el impacto presupuestario para la Federación se mantendrá estrictamente acotado dentro del techo fiscal ya previsto por la ley.</w:t>
      </w:r>
    </w:p>
    <w:p w14:paraId="630D1278" w14:textId="77777777" w:rsidR="00A244DB" w:rsidRDefault="00A244DB" w:rsidP="00A244DB">
      <w:pPr>
        <w:spacing w:line="360" w:lineRule="auto"/>
        <w:ind w:firstLine="709"/>
        <w:jc w:val="both"/>
        <w:rPr>
          <w:rFonts w:ascii="Century Gothic" w:hAnsi="Century Gothic"/>
          <w:sz w:val="24"/>
          <w:szCs w:val="24"/>
        </w:rPr>
      </w:pPr>
    </w:p>
    <w:p w14:paraId="112767C2" w14:textId="078A81D4" w:rsidR="00F0522B" w:rsidRDefault="00F0522B" w:rsidP="00A244DB">
      <w:pPr>
        <w:spacing w:line="360" w:lineRule="auto"/>
        <w:ind w:firstLine="709"/>
        <w:jc w:val="both"/>
        <w:rPr>
          <w:rFonts w:ascii="Century Gothic" w:hAnsi="Century Gothic"/>
          <w:sz w:val="24"/>
          <w:szCs w:val="24"/>
        </w:rPr>
      </w:pPr>
      <w:r>
        <w:rPr>
          <w:rFonts w:ascii="Century Gothic" w:hAnsi="Century Gothic"/>
          <w:sz w:val="24"/>
          <w:szCs w:val="24"/>
        </w:rPr>
        <w:lastRenderedPageBreak/>
        <w:t xml:space="preserve">Además, </w:t>
      </w:r>
      <w:r w:rsidRPr="00F0522B">
        <w:rPr>
          <w:rFonts w:ascii="Century Gothic" w:hAnsi="Century Gothic"/>
          <w:sz w:val="24"/>
          <w:szCs w:val="24"/>
        </w:rPr>
        <w:t xml:space="preserve">al exigir la emisión de </w:t>
      </w:r>
      <w:r>
        <w:rPr>
          <w:rFonts w:ascii="Century Gothic" w:hAnsi="Century Gothic"/>
          <w:sz w:val="24"/>
          <w:szCs w:val="24"/>
        </w:rPr>
        <w:t>factura</w:t>
      </w:r>
      <w:r w:rsidRPr="00F0522B">
        <w:rPr>
          <w:rFonts w:ascii="Century Gothic" w:hAnsi="Century Gothic"/>
          <w:sz w:val="24"/>
          <w:szCs w:val="24"/>
        </w:rPr>
        <w:t xml:space="preserve"> y el pago por medios electrónicos (tarjeta de débito/crédito, transferencia o cheque nominativo), la medida incentivará la formalización del sector farmacéutico minorista, combatiendo el comercio informal de medicamentos y aumentando la fiscalización sobre las ventas en establecimientos no regulados.</w:t>
      </w:r>
    </w:p>
    <w:p w14:paraId="67A35BA2" w14:textId="77777777" w:rsidR="00A244DB" w:rsidRDefault="00A244DB" w:rsidP="00A244DB">
      <w:pPr>
        <w:spacing w:line="360" w:lineRule="auto"/>
        <w:ind w:firstLine="709"/>
        <w:jc w:val="both"/>
        <w:rPr>
          <w:rFonts w:ascii="Century Gothic" w:hAnsi="Century Gothic"/>
          <w:sz w:val="24"/>
          <w:szCs w:val="24"/>
        </w:rPr>
      </w:pPr>
    </w:p>
    <w:p w14:paraId="1D4FDA16" w14:textId="582E4815" w:rsidR="00F0522B" w:rsidRPr="00094D2F" w:rsidRDefault="00F0522B" w:rsidP="00A244DB">
      <w:pPr>
        <w:spacing w:line="360" w:lineRule="auto"/>
        <w:ind w:firstLine="709"/>
        <w:jc w:val="both"/>
        <w:rPr>
          <w:rFonts w:ascii="Century Gothic" w:hAnsi="Century Gothic"/>
          <w:sz w:val="24"/>
          <w:szCs w:val="24"/>
        </w:rPr>
      </w:pPr>
      <w:r>
        <w:rPr>
          <w:rFonts w:ascii="Century Gothic" w:hAnsi="Century Gothic"/>
          <w:sz w:val="24"/>
          <w:szCs w:val="24"/>
        </w:rPr>
        <w:t>Aunado a lo anterior, p</w:t>
      </w:r>
      <w:r w:rsidRPr="00F0522B">
        <w:rPr>
          <w:rFonts w:ascii="Century Gothic" w:hAnsi="Century Gothic"/>
          <w:sz w:val="24"/>
          <w:szCs w:val="24"/>
        </w:rPr>
        <w:t xml:space="preserve">ermitir la deducción de fármacos </w:t>
      </w:r>
      <w:r w:rsidR="00981EE2">
        <w:rPr>
          <w:rFonts w:ascii="Century Gothic" w:hAnsi="Century Gothic"/>
          <w:sz w:val="24"/>
          <w:szCs w:val="24"/>
        </w:rPr>
        <w:t>como lo son aquellos para</w:t>
      </w:r>
      <w:r w:rsidRPr="00F0522B">
        <w:rPr>
          <w:rFonts w:ascii="Century Gothic" w:hAnsi="Century Gothic"/>
          <w:sz w:val="24"/>
          <w:szCs w:val="24"/>
        </w:rPr>
        <w:t xml:space="preserve"> el tratamiento de enfermedades crónico-degenerativas (diabetes, hipertensión, oncología) incentiva el apego al tratamiento, evitando complicaciones graves que posteriormente representan un costo operativo y presupuestario mucho más alto para el sistema de salud del Estad</w:t>
      </w:r>
      <w:r>
        <w:rPr>
          <w:rFonts w:ascii="Century Gothic" w:hAnsi="Century Gothic"/>
          <w:sz w:val="24"/>
          <w:szCs w:val="24"/>
        </w:rPr>
        <w:t>o, g</w:t>
      </w:r>
      <w:r w:rsidRPr="00F0522B">
        <w:rPr>
          <w:rFonts w:ascii="Century Gothic" w:hAnsi="Century Gothic"/>
          <w:sz w:val="24"/>
          <w:szCs w:val="24"/>
        </w:rPr>
        <w:t xml:space="preserve">arantizar </w:t>
      </w:r>
      <w:r>
        <w:rPr>
          <w:rFonts w:ascii="Century Gothic" w:hAnsi="Century Gothic"/>
          <w:sz w:val="24"/>
          <w:szCs w:val="24"/>
        </w:rPr>
        <w:t>su deducción</w:t>
      </w:r>
      <w:r w:rsidRPr="00F0522B">
        <w:rPr>
          <w:rFonts w:ascii="Century Gothic" w:hAnsi="Century Gothic"/>
          <w:sz w:val="24"/>
          <w:szCs w:val="24"/>
        </w:rPr>
        <w:t xml:space="preserve"> reconoce que la salud es un derecho continuo que no empieza ni termina en la cama de un hospital</w:t>
      </w:r>
      <w:r>
        <w:rPr>
          <w:rFonts w:ascii="Century Gothic" w:hAnsi="Century Gothic"/>
          <w:sz w:val="24"/>
          <w:szCs w:val="24"/>
        </w:rPr>
        <w:t>.</w:t>
      </w:r>
    </w:p>
    <w:p w14:paraId="407EC9F1" w14:textId="77777777" w:rsidR="00364D62" w:rsidRDefault="00364D62" w:rsidP="00364D62">
      <w:pPr>
        <w:spacing w:line="360" w:lineRule="auto"/>
        <w:ind w:firstLine="709"/>
        <w:jc w:val="both"/>
        <w:rPr>
          <w:rFonts w:ascii="Century Gothic" w:eastAsia="Arial Unicode MS" w:hAnsi="Century Gothic" w:cs="Arial"/>
          <w:color w:val="000000"/>
          <w:sz w:val="24"/>
          <w:szCs w:val="24"/>
          <w:bdr w:val="none" w:sz="0" w:space="0" w:color="auto" w:frame="1"/>
          <w:lang w:val="es-ES_tradnl" w:eastAsia="es-MX"/>
          <w14:textOutline w14:w="12700" w14:cap="flat" w14:cmpd="sng" w14:algn="ctr">
            <w14:noFill/>
            <w14:prstDash w14:val="solid"/>
            <w14:miter w14:lim="100000"/>
          </w14:textOutline>
        </w:rPr>
      </w:pPr>
    </w:p>
    <w:p w14:paraId="25C13EA6" w14:textId="393EFD0E" w:rsidR="00364D62" w:rsidRPr="00ED3E42" w:rsidRDefault="00364D62" w:rsidP="00364D62">
      <w:pPr>
        <w:spacing w:line="360" w:lineRule="auto"/>
        <w:ind w:firstLine="709"/>
        <w:jc w:val="both"/>
        <w:rPr>
          <w:rFonts w:ascii="Century Gothic" w:eastAsia="Arial Unicode MS" w:hAnsi="Century Gothic" w:cs="Arial"/>
          <w:color w:val="000000"/>
          <w:sz w:val="24"/>
          <w:szCs w:val="24"/>
          <w:bdr w:val="none" w:sz="0" w:space="0" w:color="auto" w:frame="1"/>
          <w:lang w:val="es-ES_tradnl" w:eastAsia="es-MX"/>
          <w14:textOutline w14:w="12700" w14:cap="flat" w14:cmpd="sng" w14:algn="ctr">
            <w14:noFill/>
            <w14:prstDash w14:val="solid"/>
            <w14:miter w14:lim="100000"/>
          </w14:textOutline>
        </w:rPr>
      </w:pPr>
      <w:r w:rsidRPr="001B63A6">
        <w:rPr>
          <w:rFonts w:ascii="Century Gothic" w:eastAsia="Arial Unicode MS" w:hAnsi="Century Gothic" w:cs="Arial"/>
          <w:color w:val="000000"/>
          <w:sz w:val="24"/>
          <w:szCs w:val="24"/>
          <w:bdr w:val="none" w:sz="0" w:space="0" w:color="auto" w:frame="1"/>
          <w:lang w:val="es-ES_tradnl" w:eastAsia="es-MX"/>
          <w14:textOutline w14:w="12700" w14:cap="flat" w14:cmpd="sng" w14:algn="ctr">
            <w14:noFill/>
            <w14:prstDash w14:val="solid"/>
            <w14:miter w14:lim="100000"/>
          </w14:textOutline>
        </w:rPr>
        <w:t xml:space="preserve">Por </w:t>
      </w:r>
      <w:r w:rsidRPr="00ED3E42">
        <w:rPr>
          <w:rFonts w:ascii="Century Gothic" w:eastAsia="Arial Unicode MS" w:hAnsi="Century Gothic" w:cs="Arial"/>
          <w:color w:val="000000"/>
          <w:sz w:val="24"/>
          <w:szCs w:val="24"/>
          <w:bdr w:val="none" w:sz="0" w:space="0" w:color="auto" w:frame="1"/>
          <w:lang w:val="es-ES_tradnl" w:eastAsia="es-MX"/>
          <w14:textOutline w14:w="12700" w14:cap="flat" w14:cmpd="sng" w14:algn="ctr">
            <w14:noFill/>
            <w14:prstDash w14:val="solid"/>
            <w14:miter w14:lim="100000"/>
          </w14:textOutline>
        </w:rPr>
        <w:t>lo anteriormente fundado y señalado, someto a consideración de esta Honorable Legislatura, el siguiente proyecto de:</w:t>
      </w:r>
    </w:p>
    <w:p w14:paraId="018D3C54" w14:textId="77777777" w:rsidR="00364D62" w:rsidRDefault="00364D62" w:rsidP="00364D62"/>
    <w:p w14:paraId="225003B6" w14:textId="769CED32" w:rsidR="00364D62" w:rsidRDefault="00364D62" w:rsidP="00364D62">
      <w:pPr>
        <w:spacing w:line="360" w:lineRule="auto"/>
        <w:jc w:val="center"/>
        <w:rPr>
          <w:rFonts w:ascii="Century Gothic" w:eastAsia="Arial Unicode MS" w:hAnsi="Century Gothic" w:cs="Arial"/>
          <w:b/>
          <w:bCs/>
          <w:color w:val="000000"/>
          <w:sz w:val="24"/>
          <w:szCs w:val="24"/>
          <w:bdr w:val="none" w:sz="0" w:space="0" w:color="auto" w:frame="1"/>
          <w:lang w:val="es-ES_tradnl" w:eastAsia="es-MX"/>
          <w14:textOutline w14:w="12700" w14:cap="flat" w14:cmpd="sng" w14:algn="ctr">
            <w14:noFill/>
            <w14:prstDash w14:val="solid"/>
            <w14:miter w14:lim="100000"/>
          </w14:textOutline>
        </w:rPr>
      </w:pPr>
      <w:r w:rsidRPr="00ED3E42">
        <w:rPr>
          <w:rFonts w:ascii="Century Gothic" w:eastAsia="Arial Unicode MS" w:hAnsi="Century Gothic" w:cs="Arial"/>
          <w:b/>
          <w:bCs/>
          <w:color w:val="000000"/>
          <w:sz w:val="24"/>
          <w:szCs w:val="24"/>
          <w:bdr w:val="none" w:sz="0" w:space="0" w:color="auto" w:frame="1"/>
          <w:lang w:val="es-ES_tradnl" w:eastAsia="es-MX"/>
          <w14:textOutline w14:w="12700" w14:cap="flat" w14:cmpd="sng" w14:algn="ctr">
            <w14:noFill/>
            <w14:prstDash w14:val="solid"/>
            <w14:miter w14:lim="100000"/>
          </w14:textOutline>
        </w:rPr>
        <w:t>DECRETO</w:t>
      </w:r>
    </w:p>
    <w:p w14:paraId="7D447E90" w14:textId="77777777" w:rsidR="00364D62" w:rsidRPr="00ED3E42" w:rsidRDefault="00364D62" w:rsidP="00364D62">
      <w:pPr>
        <w:spacing w:line="360" w:lineRule="auto"/>
        <w:jc w:val="center"/>
        <w:rPr>
          <w:rFonts w:ascii="Century Gothic" w:eastAsia="Arial Unicode MS" w:hAnsi="Century Gothic" w:cs="Arial"/>
          <w:b/>
          <w:bCs/>
          <w:color w:val="000000"/>
          <w:sz w:val="24"/>
          <w:szCs w:val="24"/>
          <w:bdr w:val="none" w:sz="0" w:space="0" w:color="auto" w:frame="1"/>
          <w:lang w:val="es-ES_tradnl" w:eastAsia="es-MX"/>
          <w14:textOutline w14:w="12700" w14:cap="flat" w14:cmpd="sng" w14:algn="ctr">
            <w14:noFill/>
            <w14:prstDash w14:val="solid"/>
            <w14:miter w14:lim="100000"/>
          </w14:textOutline>
        </w:rPr>
      </w:pPr>
    </w:p>
    <w:p w14:paraId="72AB2280" w14:textId="55880E3A" w:rsidR="00364D62" w:rsidRDefault="00364D62" w:rsidP="00364D62">
      <w:pPr>
        <w:spacing w:line="360" w:lineRule="auto"/>
        <w:jc w:val="both"/>
        <w:rPr>
          <w:rFonts w:ascii="Century Gothic" w:hAnsi="Century Gothic"/>
          <w:sz w:val="24"/>
          <w:szCs w:val="24"/>
        </w:rPr>
      </w:pPr>
      <w:r w:rsidRPr="00ED3E42">
        <w:rPr>
          <w:rFonts w:ascii="Century Gothic" w:hAnsi="Century Gothic"/>
          <w:b/>
          <w:bCs/>
          <w:sz w:val="24"/>
          <w:szCs w:val="24"/>
        </w:rPr>
        <w:t xml:space="preserve">ARTÍCULO ÚNICO. </w:t>
      </w:r>
      <w:r w:rsidRPr="00ED3E42">
        <w:rPr>
          <w:rFonts w:ascii="Century Gothic" w:hAnsi="Century Gothic"/>
          <w:sz w:val="24"/>
          <w:szCs w:val="24"/>
        </w:rPr>
        <w:t xml:space="preserve">Se </w:t>
      </w:r>
      <w:r w:rsidR="00646D6D">
        <w:rPr>
          <w:rFonts w:ascii="Century Gothic" w:hAnsi="Century Gothic"/>
          <w:b/>
          <w:bCs/>
          <w:sz w:val="24"/>
          <w:szCs w:val="24"/>
        </w:rPr>
        <w:t xml:space="preserve">REFORMA el artículo </w:t>
      </w:r>
      <w:r w:rsidR="006949BA">
        <w:rPr>
          <w:rFonts w:ascii="Century Gothic" w:hAnsi="Century Gothic"/>
          <w:b/>
          <w:bCs/>
          <w:sz w:val="24"/>
          <w:szCs w:val="24"/>
        </w:rPr>
        <w:t xml:space="preserve">151 </w:t>
      </w:r>
      <w:r w:rsidR="00535355">
        <w:rPr>
          <w:rFonts w:ascii="Century Gothic" w:hAnsi="Century Gothic"/>
          <w:b/>
          <w:bCs/>
          <w:sz w:val="24"/>
          <w:szCs w:val="24"/>
        </w:rPr>
        <w:t xml:space="preserve">fracción I </w:t>
      </w:r>
      <w:r w:rsidR="006949BA">
        <w:rPr>
          <w:rFonts w:ascii="Century Gothic" w:hAnsi="Century Gothic"/>
          <w:b/>
          <w:bCs/>
          <w:sz w:val="24"/>
          <w:szCs w:val="24"/>
        </w:rPr>
        <w:t xml:space="preserve">de la Ley del Impuesto Sobre la Renta </w:t>
      </w:r>
      <w:r w:rsidR="00646D6D">
        <w:rPr>
          <w:rFonts w:ascii="Century Gothic" w:hAnsi="Century Gothic"/>
          <w:b/>
          <w:bCs/>
          <w:sz w:val="24"/>
          <w:szCs w:val="24"/>
        </w:rPr>
        <w:t>para quedar</w:t>
      </w:r>
      <w:r w:rsidRPr="00ED3E42">
        <w:rPr>
          <w:rFonts w:ascii="Century Gothic" w:hAnsi="Century Gothic"/>
          <w:b/>
          <w:bCs/>
          <w:sz w:val="24"/>
          <w:szCs w:val="24"/>
        </w:rPr>
        <w:t xml:space="preserve"> </w:t>
      </w:r>
      <w:r w:rsidRPr="00364D62">
        <w:rPr>
          <w:rFonts w:ascii="Century Gothic" w:hAnsi="Century Gothic"/>
          <w:b/>
          <w:bCs/>
          <w:sz w:val="24"/>
          <w:szCs w:val="24"/>
        </w:rPr>
        <w:t>como sigue</w:t>
      </w:r>
      <w:r w:rsidRPr="00ED3E42">
        <w:rPr>
          <w:rFonts w:ascii="Century Gothic" w:hAnsi="Century Gothic"/>
          <w:sz w:val="24"/>
          <w:szCs w:val="24"/>
        </w:rPr>
        <w:t>:</w:t>
      </w:r>
    </w:p>
    <w:p w14:paraId="68210680" w14:textId="369040F1" w:rsidR="00535355" w:rsidRPr="00535355" w:rsidRDefault="00535355" w:rsidP="00535355">
      <w:pPr>
        <w:spacing w:line="360" w:lineRule="auto"/>
        <w:ind w:left="851" w:right="900"/>
        <w:jc w:val="both"/>
        <w:rPr>
          <w:rFonts w:ascii="Century Gothic" w:hAnsi="Century Gothic"/>
          <w:sz w:val="24"/>
          <w:szCs w:val="24"/>
        </w:rPr>
      </w:pPr>
      <w:r w:rsidRPr="00535355">
        <w:rPr>
          <w:rFonts w:ascii="Century Gothic" w:hAnsi="Century Gothic"/>
          <w:sz w:val="24"/>
          <w:szCs w:val="24"/>
        </w:rPr>
        <w:t>Artículo 151. Las personas físicas residentes en el país que obtengan ingresos de los señalados en</w:t>
      </w:r>
      <w:r>
        <w:rPr>
          <w:rFonts w:ascii="Century Gothic" w:hAnsi="Century Gothic"/>
          <w:sz w:val="24"/>
          <w:szCs w:val="24"/>
        </w:rPr>
        <w:t xml:space="preserve"> </w:t>
      </w:r>
      <w:r w:rsidRPr="00535355">
        <w:rPr>
          <w:rFonts w:ascii="Century Gothic" w:hAnsi="Century Gothic"/>
          <w:sz w:val="24"/>
          <w:szCs w:val="24"/>
        </w:rPr>
        <w:t xml:space="preserve">este Título, para calcular su impuesto anual, podrán hacer, además de las </w:t>
      </w:r>
      <w:r w:rsidRPr="00535355">
        <w:rPr>
          <w:rFonts w:ascii="Century Gothic" w:hAnsi="Century Gothic"/>
          <w:sz w:val="24"/>
          <w:szCs w:val="24"/>
        </w:rPr>
        <w:lastRenderedPageBreak/>
        <w:t>deducciones autorizadas en</w:t>
      </w:r>
      <w:r>
        <w:rPr>
          <w:rFonts w:ascii="Century Gothic" w:hAnsi="Century Gothic"/>
          <w:sz w:val="24"/>
          <w:szCs w:val="24"/>
        </w:rPr>
        <w:t xml:space="preserve"> </w:t>
      </w:r>
      <w:r w:rsidRPr="00535355">
        <w:rPr>
          <w:rFonts w:ascii="Century Gothic" w:hAnsi="Century Gothic"/>
          <w:sz w:val="24"/>
          <w:szCs w:val="24"/>
        </w:rPr>
        <w:t>cada Capítulo de esta Ley que les correspondan, las siguientes deducciones personales:</w:t>
      </w:r>
    </w:p>
    <w:p w14:paraId="733C4951" w14:textId="03C2781A" w:rsidR="00CC055F" w:rsidRDefault="00535355" w:rsidP="00CC055F">
      <w:pPr>
        <w:pStyle w:val="Prrafodelista"/>
        <w:numPr>
          <w:ilvl w:val="0"/>
          <w:numId w:val="1"/>
        </w:numPr>
        <w:spacing w:line="360" w:lineRule="auto"/>
        <w:ind w:right="900"/>
        <w:jc w:val="both"/>
        <w:rPr>
          <w:rFonts w:ascii="Century Gothic" w:hAnsi="Century Gothic"/>
          <w:sz w:val="24"/>
          <w:szCs w:val="24"/>
        </w:rPr>
      </w:pPr>
      <w:r w:rsidRPr="00535355">
        <w:rPr>
          <w:rFonts w:ascii="Century Gothic" w:hAnsi="Century Gothic"/>
          <w:sz w:val="24"/>
          <w:szCs w:val="24"/>
        </w:rPr>
        <w:t>Los pagos por honorarios médicos, dentales</w:t>
      </w:r>
      <w:r w:rsidR="00CC055F">
        <w:rPr>
          <w:rFonts w:ascii="Century Gothic" w:hAnsi="Century Gothic"/>
          <w:sz w:val="24"/>
          <w:szCs w:val="24"/>
        </w:rPr>
        <w:t xml:space="preserve">, </w:t>
      </w:r>
      <w:r w:rsidRPr="00535355">
        <w:rPr>
          <w:rFonts w:ascii="Century Gothic" w:hAnsi="Century Gothic"/>
          <w:sz w:val="24"/>
          <w:szCs w:val="24"/>
        </w:rPr>
        <w:t xml:space="preserve">y por servicios profesionales en materia de psicología y nutrición prestados por personas con título profesional legalmente expedido y registrado por las autoridades educativas competentes, </w:t>
      </w:r>
      <w:r w:rsidR="00CC055F" w:rsidRPr="00CC055F">
        <w:rPr>
          <w:rFonts w:ascii="Century Gothic" w:hAnsi="Century Gothic"/>
          <w:b/>
          <w:bCs/>
          <w:sz w:val="24"/>
          <w:szCs w:val="24"/>
        </w:rPr>
        <w:t>igualmente los pagos por medicamentos</w:t>
      </w:r>
      <w:r w:rsidR="00F0522B">
        <w:rPr>
          <w:rFonts w:ascii="Century Gothic" w:hAnsi="Century Gothic"/>
          <w:b/>
          <w:bCs/>
          <w:sz w:val="24"/>
          <w:szCs w:val="24"/>
        </w:rPr>
        <w:t xml:space="preserve"> prescritos por profesionales de la salud con cédula profesional, aun cuando no deriven de un internamiento hospitalario</w:t>
      </w:r>
      <w:r w:rsidR="00CC055F" w:rsidRPr="00CC055F">
        <w:rPr>
          <w:rFonts w:ascii="Century Gothic" w:hAnsi="Century Gothic"/>
          <w:b/>
          <w:bCs/>
          <w:sz w:val="24"/>
          <w:szCs w:val="24"/>
        </w:rPr>
        <w:t>,</w:t>
      </w:r>
      <w:r w:rsidR="00CC055F">
        <w:rPr>
          <w:rFonts w:ascii="Century Gothic" w:hAnsi="Century Gothic"/>
          <w:sz w:val="24"/>
          <w:szCs w:val="24"/>
        </w:rPr>
        <w:t xml:space="preserve"> </w:t>
      </w:r>
      <w:r w:rsidRPr="00535355">
        <w:rPr>
          <w:rFonts w:ascii="Century Gothic" w:hAnsi="Century Gothic"/>
          <w:sz w:val="24"/>
          <w:szCs w:val="24"/>
        </w:rPr>
        <w:t>así como los gastos hospitalarios, efectuados por el contribuyente para sí, para su cónyuge o para la persona con quien viva en concubinato y para sus ascendientes o descendientes en línea recta, siempre que dichas personas no perciban durante el año de calendario ingresos en cantidad igual o superior a la que resulte de calcular el salario mínimo general del área geográfica del contribuyente elevado al año, y se efectúen mediante cheque nominativo del contribuyente, transferencias electrónicas de fondos, desde cuentas abiertas a nombre del contribuyente en instituciones que componen el sistema financiero y las entidades que para tal efecto autorice el Banco de México o mediante tarjeta de crédito, de débito, o de servicios.</w:t>
      </w:r>
    </w:p>
    <w:p w14:paraId="7C1EAC55" w14:textId="77777777" w:rsidR="00CC055F" w:rsidRDefault="00CC055F" w:rsidP="00CC055F">
      <w:pPr>
        <w:pStyle w:val="Prrafodelista"/>
        <w:spacing w:line="360" w:lineRule="auto"/>
        <w:ind w:left="1571" w:right="900"/>
        <w:jc w:val="both"/>
        <w:rPr>
          <w:rFonts w:ascii="Century Gothic" w:hAnsi="Century Gothic"/>
          <w:sz w:val="24"/>
          <w:szCs w:val="24"/>
        </w:rPr>
      </w:pPr>
    </w:p>
    <w:p w14:paraId="275C5A23" w14:textId="1587BB8B" w:rsidR="00CC055F" w:rsidRDefault="00535355" w:rsidP="00CC055F">
      <w:pPr>
        <w:pStyle w:val="Prrafodelista"/>
        <w:spacing w:line="360" w:lineRule="auto"/>
        <w:ind w:left="1571" w:right="900"/>
        <w:jc w:val="both"/>
        <w:rPr>
          <w:rFonts w:ascii="Century Gothic" w:hAnsi="Century Gothic"/>
          <w:sz w:val="24"/>
          <w:szCs w:val="24"/>
        </w:rPr>
      </w:pPr>
      <w:r w:rsidRPr="00CC055F">
        <w:rPr>
          <w:rFonts w:ascii="Century Gothic" w:hAnsi="Century Gothic"/>
          <w:sz w:val="24"/>
          <w:szCs w:val="24"/>
        </w:rPr>
        <w:t xml:space="preserve">Las autoridades fiscales podrán liberar de la obligación de pagar las erogaciones a través de los medios </w:t>
      </w:r>
      <w:r w:rsidRPr="00CC055F">
        <w:rPr>
          <w:rFonts w:ascii="Century Gothic" w:hAnsi="Century Gothic"/>
          <w:sz w:val="24"/>
          <w:szCs w:val="24"/>
        </w:rPr>
        <w:lastRenderedPageBreak/>
        <w:t>establecidos en el párrafo anterior, cuando las mismas se efectúen en poblaciones o en zonas rurales sin servicios financieros.</w:t>
      </w:r>
    </w:p>
    <w:p w14:paraId="13328A4E" w14:textId="77777777" w:rsidR="00CC055F" w:rsidRDefault="00CC055F" w:rsidP="00CC055F">
      <w:pPr>
        <w:pStyle w:val="Prrafodelista"/>
        <w:spacing w:line="360" w:lineRule="auto"/>
        <w:ind w:left="1571" w:right="900"/>
        <w:jc w:val="both"/>
        <w:rPr>
          <w:rFonts w:ascii="Century Gothic" w:hAnsi="Century Gothic"/>
          <w:sz w:val="24"/>
          <w:szCs w:val="24"/>
        </w:rPr>
      </w:pPr>
    </w:p>
    <w:p w14:paraId="6FC858AD" w14:textId="0694FE1A" w:rsidR="00CC055F" w:rsidRDefault="00535355" w:rsidP="00CC055F">
      <w:pPr>
        <w:pStyle w:val="Prrafodelista"/>
        <w:spacing w:line="360" w:lineRule="auto"/>
        <w:ind w:left="1571" w:right="900"/>
        <w:jc w:val="both"/>
        <w:rPr>
          <w:rFonts w:ascii="Century Gothic" w:hAnsi="Century Gothic"/>
          <w:sz w:val="24"/>
          <w:szCs w:val="24"/>
        </w:rPr>
      </w:pPr>
      <w:r w:rsidRPr="00535355">
        <w:rPr>
          <w:rFonts w:ascii="Century Gothic" w:hAnsi="Century Gothic"/>
          <w:sz w:val="24"/>
          <w:szCs w:val="24"/>
        </w:rPr>
        <w:t>Para efectos del párrafo anterior, también serán deducibles los pagos efectuados por</w:t>
      </w:r>
      <w:r>
        <w:rPr>
          <w:rFonts w:ascii="Century Gothic" w:hAnsi="Century Gothic"/>
          <w:sz w:val="24"/>
          <w:szCs w:val="24"/>
        </w:rPr>
        <w:t xml:space="preserve"> </w:t>
      </w:r>
      <w:r w:rsidRPr="00535355">
        <w:rPr>
          <w:rFonts w:ascii="Century Gothic" w:hAnsi="Century Gothic"/>
          <w:sz w:val="24"/>
          <w:szCs w:val="24"/>
        </w:rPr>
        <w:t>honorarios médicos,</w:t>
      </w:r>
      <w:r>
        <w:rPr>
          <w:rFonts w:ascii="Century Gothic" w:hAnsi="Century Gothic"/>
          <w:sz w:val="24"/>
          <w:szCs w:val="24"/>
        </w:rPr>
        <w:t xml:space="preserve"> </w:t>
      </w:r>
      <w:r w:rsidRPr="00535355">
        <w:rPr>
          <w:rFonts w:ascii="Century Gothic" w:hAnsi="Century Gothic"/>
          <w:sz w:val="24"/>
          <w:szCs w:val="24"/>
        </w:rPr>
        <w:t>dentales o de enfermería, por análisis, estudios clínicos o prótesis,</w:t>
      </w:r>
      <w:r>
        <w:rPr>
          <w:rFonts w:ascii="Century Gothic" w:hAnsi="Century Gothic"/>
          <w:sz w:val="24"/>
          <w:szCs w:val="24"/>
        </w:rPr>
        <w:t xml:space="preserve"> </w:t>
      </w:r>
      <w:r w:rsidRPr="00535355">
        <w:rPr>
          <w:rFonts w:ascii="Century Gothic" w:hAnsi="Century Gothic"/>
          <w:sz w:val="24"/>
          <w:szCs w:val="24"/>
        </w:rPr>
        <w:t>gastos hospitalarios, compra o alquiler de aparatos para el establecimiento o rehabilitación del</w:t>
      </w:r>
      <w:r>
        <w:rPr>
          <w:rFonts w:ascii="Century Gothic" w:hAnsi="Century Gothic"/>
          <w:sz w:val="24"/>
          <w:szCs w:val="24"/>
        </w:rPr>
        <w:t xml:space="preserve"> </w:t>
      </w:r>
      <w:r w:rsidRPr="00535355">
        <w:rPr>
          <w:rFonts w:ascii="Century Gothic" w:hAnsi="Century Gothic"/>
          <w:sz w:val="24"/>
          <w:szCs w:val="24"/>
        </w:rPr>
        <w:t>paciente, derivados de las incapacidades a que se refiere el artículo 477 de la Ley Federal del</w:t>
      </w:r>
      <w:r>
        <w:rPr>
          <w:rFonts w:ascii="Century Gothic" w:hAnsi="Century Gothic"/>
          <w:sz w:val="24"/>
          <w:szCs w:val="24"/>
        </w:rPr>
        <w:t xml:space="preserve"> </w:t>
      </w:r>
      <w:r w:rsidRPr="00535355">
        <w:rPr>
          <w:rFonts w:ascii="Century Gothic" w:hAnsi="Century Gothic"/>
          <w:sz w:val="24"/>
          <w:szCs w:val="24"/>
        </w:rPr>
        <w:t>Trabajo, cuando se cuente con el certificado o la constancia de incapacidad correspondiente</w:t>
      </w:r>
      <w:r>
        <w:rPr>
          <w:rFonts w:ascii="Century Gothic" w:hAnsi="Century Gothic"/>
          <w:sz w:val="24"/>
          <w:szCs w:val="24"/>
        </w:rPr>
        <w:t xml:space="preserve"> </w:t>
      </w:r>
      <w:r w:rsidRPr="00535355">
        <w:rPr>
          <w:rFonts w:ascii="Century Gothic" w:hAnsi="Century Gothic"/>
          <w:sz w:val="24"/>
          <w:szCs w:val="24"/>
        </w:rPr>
        <w:t>expedida por las instituciones públicas del Sistema Nacional de Salud, o los que deriven de</w:t>
      </w:r>
      <w:r>
        <w:rPr>
          <w:rFonts w:ascii="Century Gothic" w:hAnsi="Century Gothic"/>
          <w:sz w:val="24"/>
          <w:szCs w:val="24"/>
        </w:rPr>
        <w:t xml:space="preserve"> </w:t>
      </w:r>
      <w:r w:rsidRPr="00535355">
        <w:rPr>
          <w:rFonts w:ascii="Century Gothic" w:hAnsi="Century Gothic"/>
          <w:sz w:val="24"/>
          <w:szCs w:val="24"/>
        </w:rPr>
        <w:t>una discapacidad en términos de lo dispuesto por la Ley General para la Inclusión de las</w:t>
      </w:r>
      <w:r>
        <w:rPr>
          <w:rFonts w:ascii="Century Gothic" w:hAnsi="Century Gothic"/>
          <w:sz w:val="24"/>
          <w:szCs w:val="24"/>
        </w:rPr>
        <w:t xml:space="preserve"> </w:t>
      </w:r>
      <w:r w:rsidRPr="00535355">
        <w:rPr>
          <w:rFonts w:ascii="Century Gothic" w:hAnsi="Century Gothic"/>
          <w:sz w:val="24"/>
          <w:szCs w:val="24"/>
        </w:rPr>
        <w:t>Personas con Discapacidad y se cuente con el certificado de reconocimiento y calificación de</w:t>
      </w:r>
      <w:r>
        <w:rPr>
          <w:rFonts w:ascii="Century Gothic" w:hAnsi="Century Gothic"/>
          <w:sz w:val="24"/>
          <w:szCs w:val="24"/>
        </w:rPr>
        <w:t xml:space="preserve"> </w:t>
      </w:r>
      <w:r w:rsidRPr="00535355">
        <w:rPr>
          <w:rFonts w:ascii="Century Gothic" w:hAnsi="Century Gothic"/>
          <w:sz w:val="24"/>
          <w:szCs w:val="24"/>
        </w:rPr>
        <w:t>discapacidad emitido por las citadas instituciones públicas conforme a esta última Ley. Lo</w:t>
      </w:r>
      <w:r>
        <w:rPr>
          <w:rFonts w:ascii="Century Gothic" w:hAnsi="Century Gothic"/>
          <w:sz w:val="24"/>
          <w:szCs w:val="24"/>
        </w:rPr>
        <w:t xml:space="preserve"> </w:t>
      </w:r>
      <w:r w:rsidRPr="00535355">
        <w:rPr>
          <w:rFonts w:ascii="Century Gothic" w:hAnsi="Century Gothic"/>
          <w:sz w:val="24"/>
          <w:szCs w:val="24"/>
        </w:rPr>
        <w:t>dispuesto en este párrafo no estará sujeto al límite establecido en el último párrafo de este</w:t>
      </w:r>
      <w:r>
        <w:rPr>
          <w:rFonts w:ascii="Century Gothic" w:hAnsi="Century Gothic"/>
          <w:sz w:val="24"/>
          <w:szCs w:val="24"/>
        </w:rPr>
        <w:t xml:space="preserve"> </w:t>
      </w:r>
      <w:r w:rsidRPr="00535355">
        <w:rPr>
          <w:rFonts w:ascii="Century Gothic" w:hAnsi="Century Gothic"/>
          <w:sz w:val="24"/>
          <w:szCs w:val="24"/>
        </w:rPr>
        <w:t>artículo.</w:t>
      </w:r>
    </w:p>
    <w:p w14:paraId="26397D9F" w14:textId="14F09EC4" w:rsidR="00CC055F" w:rsidRDefault="00535355" w:rsidP="00CC055F">
      <w:pPr>
        <w:pStyle w:val="Prrafodelista"/>
        <w:spacing w:line="360" w:lineRule="auto"/>
        <w:ind w:left="1571" w:right="900"/>
        <w:jc w:val="both"/>
        <w:rPr>
          <w:rFonts w:ascii="Century Gothic" w:hAnsi="Century Gothic"/>
          <w:sz w:val="24"/>
          <w:szCs w:val="24"/>
        </w:rPr>
      </w:pPr>
      <w:r w:rsidRPr="00535355">
        <w:rPr>
          <w:rFonts w:ascii="Century Gothic" w:hAnsi="Century Gothic"/>
          <w:sz w:val="24"/>
          <w:szCs w:val="24"/>
        </w:rPr>
        <w:t>En el caso de incapacidad temporal o incapacidad permanente parcial, o bien, de</w:t>
      </w:r>
      <w:r>
        <w:rPr>
          <w:rFonts w:ascii="Century Gothic" w:hAnsi="Century Gothic"/>
          <w:sz w:val="24"/>
          <w:szCs w:val="24"/>
        </w:rPr>
        <w:t xml:space="preserve"> </w:t>
      </w:r>
      <w:r w:rsidRPr="00535355">
        <w:rPr>
          <w:rFonts w:ascii="Century Gothic" w:hAnsi="Century Gothic"/>
          <w:sz w:val="24"/>
          <w:szCs w:val="24"/>
        </w:rPr>
        <w:t>discapacidad, la deducción a que se refiere el párrafo anterior sólo será procedente cuando</w:t>
      </w:r>
      <w:r>
        <w:rPr>
          <w:rFonts w:ascii="Century Gothic" w:hAnsi="Century Gothic"/>
          <w:sz w:val="24"/>
          <w:szCs w:val="24"/>
        </w:rPr>
        <w:t xml:space="preserve"> </w:t>
      </w:r>
      <w:r w:rsidRPr="00535355">
        <w:rPr>
          <w:rFonts w:ascii="Century Gothic" w:hAnsi="Century Gothic"/>
          <w:sz w:val="24"/>
          <w:szCs w:val="24"/>
        </w:rPr>
        <w:t xml:space="preserve">dicha incapacidad o </w:t>
      </w:r>
      <w:r w:rsidRPr="00535355">
        <w:rPr>
          <w:rFonts w:ascii="Century Gothic" w:hAnsi="Century Gothic"/>
          <w:sz w:val="24"/>
          <w:szCs w:val="24"/>
        </w:rPr>
        <w:lastRenderedPageBreak/>
        <w:t>discapacidad, sea igual o mayor a un 50% de la capacidad normal.</w:t>
      </w:r>
    </w:p>
    <w:p w14:paraId="6E07832B" w14:textId="77777777" w:rsidR="00CC055F" w:rsidRDefault="00CC055F" w:rsidP="00CC055F">
      <w:pPr>
        <w:pStyle w:val="Prrafodelista"/>
        <w:spacing w:line="360" w:lineRule="auto"/>
        <w:ind w:left="1571" w:right="900"/>
        <w:jc w:val="both"/>
        <w:rPr>
          <w:rFonts w:ascii="Century Gothic" w:hAnsi="Century Gothic"/>
          <w:sz w:val="24"/>
          <w:szCs w:val="24"/>
        </w:rPr>
      </w:pPr>
    </w:p>
    <w:p w14:paraId="5F96B716" w14:textId="142D3AE7" w:rsidR="00535355" w:rsidRDefault="00535355" w:rsidP="00CC055F">
      <w:pPr>
        <w:pStyle w:val="Prrafodelista"/>
        <w:spacing w:line="360" w:lineRule="auto"/>
        <w:ind w:left="1571" w:right="900"/>
        <w:jc w:val="both"/>
        <w:rPr>
          <w:rFonts w:ascii="Century Gothic" w:hAnsi="Century Gothic"/>
          <w:sz w:val="24"/>
          <w:szCs w:val="24"/>
        </w:rPr>
      </w:pPr>
      <w:r w:rsidRPr="00535355">
        <w:rPr>
          <w:rFonts w:ascii="Century Gothic" w:hAnsi="Century Gothic"/>
          <w:sz w:val="24"/>
          <w:szCs w:val="24"/>
        </w:rPr>
        <w:t>Para efectos de la deducción a que se refiere el segundo párrafo de esta fracción, el</w:t>
      </w:r>
      <w:r>
        <w:rPr>
          <w:rFonts w:ascii="Century Gothic" w:hAnsi="Century Gothic"/>
          <w:sz w:val="24"/>
          <w:szCs w:val="24"/>
        </w:rPr>
        <w:t xml:space="preserve"> </w:t>
      </w:r>
      <w:r w:rsidRPr="00535355">
        <w:rPr>
          <w:rFonts w:ascii="Century Gothic" w:hAnsi="Century Gothic"/>
          <w:sz w:val="24"/>
          <w:szCs w:val="24"/>
        </w:rPr>
        <w:t>comprobante fiscal digital correspondiente deberá contener la especificación de que los</w:t>
      </w:r>
      <w:r>
        <w:rPr>
          <w:rFonts w:ascii="Century Gothic" w:hAnsi="Century Gothic"/>
          <w:sz w:val="24"/>
          <w:szCs w:val="24"/>
        </w:rPr>
        <w:t xml:space="preserve"> </w:t>
      </w:r>
      <w:r w:rsidRPr="00535355">
        <w:rPr>
          <w:rFonts w:ascii="Century Gothic" w:hAnsi="Century Gothic"/>
          <w:sz w:val="24"/>
          <w:szCs w:val="24"/>
        </w:rPr>
        <w:t>gastos amparados con el mismo están relacionados directamente con la atención de la</w:t>
      </w:r>
      <w:r>
        <w:rPr>
          <w:rFonts w:ascii="Century Gothic" w:hAnsi="Century Gothic"/>
          <w:sz w:val="24"/>
          <w:szCs w:val="24"/>
        </w:rPr>
        <w:t xml:space="preserve"> </w:t>
      </w:r>
      <w:r w:rsidRPr="00535355">
        <w:rPr>
          <w:rFonts w:ascii="Century Gothic" w:hAnsi="Century Gothic"/>
          <w:sz w:val="24"/>
          <w:szCs w:val="24"/>
        </w:rPr>
        <w:t>incapacidad o discapacidad de que se trate. Adicionalmente, el Servicio de Administración</w:t>
      </w:r>
      <w:r>
        <w:rPr>
          <w:rFonts w:ascii="Century Gothic" w:hAnsi="Century Gothic"/>
          <w:sz w:val="24"/>
          <w:szCs w:val="24"/>
        </w:rPr>
        <w:t xml:space="preserve"> </w:t>
      </w:r>
      <w:r w:rsidRPr="00535355">
        <w:rPr>
          <w:rFonts w:ascii="Century Gothic" w:hAnsi="Century Gothic"/>
          <w:sz w:val="24"/>
          <w:szCs w:val="24"/>
        </w:rPr>
        <w:t>Tributaria, mediante reglas de carácter general, podrá establecer otros requisitos que deberá</w:t>
      </w:r>
      <w:r>
        <w:rPr>
          <w:rFonts w:ascii="Century Gothic" w:hAnsi="Century Gothic"/>
          <w:sz w:val="24"/>
          <w:szCs w:val="24"/>
        </w:rPr>
        <w:t xml:space="preserve"> </w:t>
      </w:r>
      <w:r w:rsidRPr="00535355">
        <w:rPr>
          <w:rFonts w:ascii="Century Gothic" w:hAnsi="Century Gothic"/>
          <w:sz w:val="24"/>
          <w:szCs w:val="24"/>
        </w:rPr>
        <w:t>contener el comprobante fiscal digital por Internet.</w:t>
      </w:r>
    </w:p>
    <w:p w14:paraId="6A17D615" w14:textId="77777777" w:rsidR="00535355" w:rsidRPr="00535355" w:rsidRDefault="00535355" w:rsidP="00364D62">
      <w:pPr>
        <w:spacing w:line="360" w:lineRule="auto"/>
        <w:jc w:val="both"/>
        <w:rPr>
          <w:rFonts w:ascii="Century Gothic" w:hAnsi="Century Gothic"/>
          <w:b/>
          <w:bCs/>
          <w:sz w:val="24"/>
          <w:szCs w:val="24"/>
        </w:rPr>
      </w:pPr>
    </w:p>
    <w:p w14:paraId="4D5CEF62" w14:textId="77777777" w:rsidR="00423771" w:rsidRPr="00ED3E42" w:rsidRDefault="00423771" w:rsidP="00423771">
      <w:pPr>
        <w:jc w:val="center"/>
        <w:rPr>
          <w:rFonts w:ascii="Century Gothic" w:hAnsi="Century Gothic"/>
          <w:b/>
          <w:bCs/>
          <w:sz w:val="24"/>
          <w:szCs w:val="24"/>
        </w:rPr>
      </w:pPr>
      <w:r w:rsidRPr="00ED3E42">
        <w:rPr>
          <w:rFonts w:ascii="Century Gothic" w:hAnsi="Century Gothic"/>
          <w:b/>
          <w:bCs/>
          <w:sz w:val="24"/>
          <w:szCs w:val="24"/>
        </w:rPr>
        <w:t>TRANSITORIO</w:t>
      </w:r>
      <w:r>
        <w:rPr>
          <w:rFonts w:ascii="Century Gothic" w:hAnsi="Century Gothic"/>
          <w:b/>
          <w:bCs/>
          <w:sz w:val="24"/>
          <w:szCs w:val="24"/>
        </w:rPr>
        <w:t>S</w:t>
      </w:r>
    </w:p>
    <w:p w14:paraId="01586416" w14:textId="77777777" w:rsidR="00423771" w:rsidRPr="00ED3E42" w:rsidRDefault="00423771" w:rsidP="00423771">
      <w:pPr>
        <w:jc w:val="both"/>
        <w:rPr>
          <w:rFonts w:ascii="Century Gothic" w:hAnsi="Century Gothic"/>
          <w:b/>
          <w:bCs/>
          <w:sz w:val="24"/>
          <w:szCs w:val="24"/>
        </w:rPr>
      </w:pPr>
    </w:p>
    <w:p w14:paraId="37045F88" w14:textId="08BDC676" w:rsidR="00423771" w:rsidRDefault="00114202" w:rsidP="00423771">
      <w:pPr>
        <w:spacing w:line="360" w:lineRule="auto"/>
        <w:jc w:val="both"/>
        <w:rPr>
          <w:rFonts w:ascii="Century Gothic" w:hAnsi="Century Gothic"/>
          <w:sz w:val="24"/>
          <w:szCs w:val="24"/>
        </w:rPr>
      </w:pPr>
      <w:r>
        <w:rPr>
          <w:rFonts w:ascii="Century Gothic" w:hAnsi="Century Gothic"/>
          <w:b/>
          <w:bCs/>
          <w:sz w:val="24"/>
          <w:szCs w:val="24"/>
        </w:rPr>
        <w:t>PRIMERO</w:t>
      </w:r>
      <w:r w:rsidR="00423771" w:rsidRPr="00ED3E42">
        <w:rPr>
          <w:rFonts w:ascii="Century Gothic" w:hAnsi="Century Gothic"/>
          <w:b/>
          <w:bCs/>
          <w:sz w:val="24"/>
          <w:szCs w:val="24"/>
        </w:rPr>
        <w:t xml:space="preserve">. </w:t>
      </w:r>
      <w:r w:rsidR="00423771" w:rsidRPr="00ED3E42">
        <w:rPr>
          <w:rFonts w:ascii="Century Gothic" w:hAnsi="Century Gothic"/>
          <w:sz w:val="24"/>
          <w:szCs w:val="24"/>
        </w:rPr>
        <w:t xml:space="preserve">El presente Decreto entrará en vigor al día siguiente de su publicación en el </w:t>
      </w:r>
      <w:r w:rsidR="006949BA">
        <w:rPr>
          <w:rFonts w:ascii="Century Gothic" w:hAnsi="Century Gothic"/>
          <w:sz w:val="24"/>
          <w:szCs w:val="24"/>
        </w:rPr>
        <w:t>Diario Oficial de la Federación</w:t>
      </w:r>
      <w:r w:rsidR="00423771" w:rsidRPr="00ED3E42">
        <w:rPr>
          <w:rFonts w:ascii="Century Gothic" w:hAnsi="Century Gothic"/>
          <w:sz w:val="24"/>
          <w:szCs w:val="24"/>
        </w:rPr>
        <w:t xml:space="preserve">. </w:t>
      </w:r>
    </w:p>
    <w:p w14:paraId="73734FD1" w14:textId="77777777" w:rsidR="00114202" w:rsidRDefault="00114202" w:rsidP="00423771">
      <w:pPr>
        <w:spacing w:line="360" w:lineRule="auto"/>
        <w:jc w:val="both"/>
        <w:rPr>
          <w:rFonts w:ascii="Century Gothic" w:hAnsi="Century Gothic"/>
          <w:sz w:val="24"/>
          <w:szCs w:val="24"/>
        </w:rPr>
      </w:pPr>
    </w:p>
    <w:p w14:paraId="5CF12926" w14:textId="6A873209" w:rsidR="00114202" w:rsidRDefault="00114202" w:rsidP="00423771">
      <w:pPr>
        <w:spacing w:line="360" w:lineRule="auto"/>
        <w:jc w:val="both"/>
        <w:rPr>
          <w:rFonts w:ascii="Century Gothic" w:hAnsi="Century Gothic"/>
          <w:sz w:val="24"/>
          <w:szCs w:val="24"/>
        </w:rPr>
      </w:pPr>
      <w:r w:rsidRPr="00114202">
        <w:rPr>
          <w:rFonts w:ascii="Century Gothic" w:hAnsi="Century Gothic"/>
          <w:b/>
          <w:bCs/>
          <w:sz w:val="24"/>
          <w:szCs w:val="24"/>
        </w:rPr>
        <w:t>SEGUNDO.</w:t>
      </w:r>
      <w:r>
        <w:rPr>
          <w:rFonts w:ascii="Century Gothic" w:hAnsi="Century Gothic"/>
          <w:sz w:val="24"/>
          <w:szCs w:val="24"/>
        </w:rPr>
        <w:t xml:space="preserve"> El Poder Ejecutivo Federal, a través de </w:t>
      </w:r>
      <w:r w:rsidR="00996CAA">
        <w:rPr>
          <w:rFonts w:ascii="Century Gothic" w:hAnsi="Century Gothic"/>
          <w:sz w:val="24"/>
          <w:szCs w:val="24"/>
        </w:rPr>
        <w:t>sus dependencias</w:t>
      </w:r>
      <w:r>
        <w:rPr>
          <w:rFonts w:ascii="Century Gothic" w:hAnsi="Century Gothic"/>
          <w:sz w:val="24"/>
          <w:szCs w:val="24"/>
        </w:rPr>
        <w:t xml:space="preserve">, hará las modificaciones respectivas al Reglamento de la Ley del Impuesto Sobre la Renta y demás ordenamientos normativos, a efecto de darle cumplimiento a la reforma, dentro de un periodo de </w:t>
      </w:r>
      <w:r w:rsidR="00996CAA">
        <w:rPr>
          <w:rFonts w:ascii="Century Gothic" w:hAnsi="Century Gothic"/>
          <w:sz w:val="24"/>
          <w:szCs w:val="24"/>
        </w:rPr>
        <w:t>120</w:t>
      </w:r>
      <w:r>
        <w:rPr>
          <w:rFonts w:ascii="Century Gothic" w:hAnsi="Century Gothic"/>
          <w:sz w:val="24"/>
          <w:szCs w:val="24"/>
        </w:rPr>
        <w:t xml:space="preserve"> días naturales. </w:t>
      </w:r>
    </w:p>
    <w:p w14:paraId="0D796ECF" w14:textId="77777777" w:rsidR="00114202" w:rsidRDefault="00114202" w:rsidP="00364D62">
      <w:pPr>
        <w:spacing w:line="360" w:lineRule="auto"/>
        <w:jc w:val="both"/>
        <w:rPr>
          <w:rFonts w:ascii="Century Gothic" w:eastAsia="Arial Unicode MS" w:hAnsi="Century Gothic" w:cs="Arial"/>
          <w:color w:val="000000"/>
          <w:sz w:val="24"/>
          <w:szCs w:val="24"/>
          <w:bdr w:val="none" w:sz="0" w:space="0" w:color="auto" w:frame="1"/>
          <w:lang w:val="es-ES_tradnl" w:eastAsia="es-MX"/>
          <w14:textOutline w14:w="12700" w14:cap="flat" w14:cmpd="sng" w14:algn="ctr">
            <w14:noFill/>
            <w14:prstDash w14:val="solid"/>
            <w14:miter w14:lim="100000"/>
          </w14:textOutline>
        </w:rPr>
      </w:pPr>
    </w:p>
    <w:p w14:paraId="7886232C" w14:textId="060243EA" w:rsidR="00364D62" w:rsidRPr="00114202" w:rsidRDefault="00364D62" w:rsidP="00364D62">
      <w:pPr>
        <w:spacing w:line="360" w:lineRule="auto"/>
        <w:jc w:val="both"/>
        <w:rPr>
          <w:rFonts w:ascii="Century Gothic" w:eastAsia="Arial Unicode MS" w:hAnsi="Century Gothic" w:cs="Arial"/>
          <w:sz w:val="24"/>
          <w:szCs w:val="24"/>
          <w:bdr w:val="none" w:sz="0" w:space="0" w:color="auto" w:frame="1"/>
          <w:lang w:val="es-ES_tradnl" w:eastAsia="es-MX"/>
          <w14:textOutline w14:w="12700" w14:cap="flat" w14:cmpd="sng" w14:algn="ctr">
            <w14:noFill/>
            <w14:prstDash w14:val="solid"/>
            <w14:miter w14:lim="100000"/>
          </w14:textOutline>
        </w:rPr>
      </w:pPr>
      <w:r w:rsidRPr="00ED3E42">
        <w:rPr>
          <w:rFonts w:ascii="Century Gothic" w:eastAsia="Arial Unicode MS" w:hAnsi="Century Gothic" w:cs="Arial"/>
          <w:color w:val="000000"/>
          <w:sz w:val="24"/>
          <w:szCs w:val="24"/>
          <w:bdr w:val="none" w:sz="0" w:space="0" w:color="auto" w:frame="1"/>
          <w:lang w:val="es-ES_tradnl" w:eastAsia="es-MX"/>
          <w14:textOutline w14:w="12700" w14:cap="flat" w14:cmpd="sng" w14:algn="ctr">
            <w14:noFill/>
            <w14:prstDash w14:val="solid"/>
            <w14:miter w14:lim="100000"/>
          </w14:textOutline>
        </w:rPr>
        <w:lastRenderedPageBreak/>
        <w:t xml:space="preserve">Dado en el Recinto Oficial del Poder Legislativo del Estado, en la ciudad de Chihuahua, Chihuahua, a los </w:t>
      </w:r>
      <w:r w:rsidR="00114202" w:rsidRPr="00114202">
        <w:rPr>
          <w:rFonts w:ascii="Century Gothic" w:eastAsia="Arial Unicode MS" w:hAnsi="Century Gothic" w:cs="Arial"/>
          <w:sz w:val="24"/>
          <w:szCs w:val="24"/>
          <w:bdr w:val="none" w:sz="0" w:space="0" w:color="auto" w:frame="1"/>
          <w:lang w:val="es-ES_tradnl" w:eastAsia="es-MX"/>
          <w14:textOutline w14:w="12700" w14:cap="flat" w14:cmpd="sng" w14:algn="ctr">
            <w14:noFill/>
            <w14:prstDash w14:val="solid"/>
            <w14:miter w14:lim="100000"/>
          </w14:textOutline>
        </w:rPr>
        <w:t>diez días del mes de septiembre</w:t>
      </w:r>
      <w:r w:rsidRPr="00114202">
        <w:rPr>
          <w:rFonts w:ascii="Century Gothic" w:eastAsia="Arial Unicode MS" w:hAnsi="Century Gothic" w:cs="Arial"/>
          <w:sz w:val="24"/>
          <w:szCs w:val="24"/>
          <w:bdr w:val="none" w:sz="0" w:space="0" w:color="auto" w:frame="1"/>
          <w:lang w:val="es-ES_tradnl" w:eastAsia="es-MX"/>
          <w14:textOutline w14:w="12700" w14:cap="flat" w14:cmpd="sng" w14:algn="ctr">
            <w14:noFill/>
            <w14:prstDash w14:val="solid"/>
            <w14:miter w14:lim="100000"/>
          </w14:textOutline>
        </w:rPr>
        <w:t xml:space="preserve"> del dos mil veintiséis. </w:t>
      </w:r>
    </w:p>
    <w:p w14:paraId="4D0045D2" w14:textId="77777777" w:rsidR="00364D62" w:rsidRPr="00ED3E42" w:rsidRDefault="00364D62" w:rsidP="00364D62">
      <w:pPr>
        <w:spacing w:line="360" w:lineRule="auto"/>
        <w:jc w:val="center"/>
        <w:rPr>
          <w:rFonts w:ascii="Century Gothic" w:eastAsia="Arial Unicode MS" w:hAnsi="Century Gothic" w:cs="Arial"/>
          <w:b/>
          <w:bCs/>
          <w:color w:val="000000"/>
          <w:sz w:val="24"/>
          <w:szCs w:val="24"/>
          <w:bdr w:val="none" w:sz="0" w:space="0" w:color="auto" w:frame="1"/>
          <w:lang w:val="es-ES_tradnl" w:eastAsia="es-MX"/>
          <w14:textOutline w14:w="12700" w14:cap="flat" w14:cmpd="sng" w14:algn="ctr">
            <w14:noFill/>
            <w14:prstDash w14:val="solid"/>
            <w14:miter w14:lim="100000"/>
          </w14:textOutline>
        </w:rPr>
      </w:pPr>
      <w:r w:rsidRPr="00ED3E42">
        <w:rPr>
          <w:rFonts w:ascii="Century Gothic" w:eastAsia="Arial Unicode MS" w:hAnsi="Century Gothic" w:cs="Arial"/>
          <w:b/>
          <w:bCs/>
          <w:color w:val="000000"/>
          <w:sz w:val="24"/>
          <w:szCs w:val="24"/>
          <w:bdr w:val="none" w:sz="0" w:space="0" w:color="auto" w:frame="1"/>
          <w:lang w:val="es-ES_tradnl" w:eastAsia="es-MX"/>
          <w14:textOutline w14:w="12700" w14:cap="flat" w14:cmpd="sng" w14:algn="ctr">
            <w14:noFill/>
            <w14:prstDash w14:val="solid"/>
            <w14:miter w14:lim="100000"/>
          </w14:textOutline>
        </w:rPr>
        <w:t>A T E N T A M E N T E</w:t>
      </w:r>
    </w:p>
    <w:p w14:paraId="1E83666D" w14:textId="77777777" w:rsidR="00364D62" w:rsidRPr="00ED3E42" w:rsidRDefault="00364D62" w:rsidP="00364D62">
      <w:pPr>
        <w:spacing w:line="360" w:lineRule="auto"/>
        <w:rPr>
          <w:rFonts w:ascii="Century Gothic" w:eastAsia="Arial Unicode MS" w:hAnsi="Century Gothic" w:cs="Arial"/>
          <w:b/>
          <w:bCs/>
          <w:color w:val="000000"/>
          <w:sz w:val="24"/>
          <w:szCs w:val="24"/>
          <w:bdr w:val="none" w:sz="0" w:space="0" w:color="auto" w:frame="1"/>
          <w:lang w:val="es-ES_tradnl" w:eastAsia="es-MX"/>
          <w14:textOutline w14:w="12700" w14:cap="flat" w14:cmpd="sng" w14:algn="ctr">
            <w14:noFill/>
            <w14:prstDash w14:val="solid"/>
            <w14:miter w14:lim="100000"/>
          </w14:textOutline>
        </w:rPr>
      </w:pPr>
    </w:p>
    <w:p w14:paraId="31FD34F9" w14:textId="77777777" w:rsidR="00364D62" w:rsidRPr="00ED3E42" w:rsidRDefault="00364D62" w:rsidP="00364D62">
      <w:pPr>
        <w:spacing w:line="360" w:lineRule="auto"/>
        <w:jc w:val="center"/>
        <w:rPr>
          <w:rFonts w:ascii="Century Gothic" w:eastAsia="Arial Unicode MS" w:hAnsi="Century Gothic" w:cs="Arial"/>
          <w:b/>
          <w:bCs/>
          <w:color w:val="000000"/>
          <w:sz w:val="24"/>
          <w:szCs w:val="24"/>
          <w:bdr w:val="none" w:sz="0" w:space="0" w:color="auto" w:frame="1"/>
          <w:lang w:val="es-ES_tradnl" w:eastAsia="es-MX"/>
          <w14:textOutline w14:w="12700" w14:cap="flat" w14:cmpd="sng" w14:algn="ctr">
            <w14:noFill/>
            <w14:prstDash w14:val="solid"/>
            <w14:miter w14:lim="100000"/>
          </w14:textOutline>
        </w:rPr>
      </w:pPr>
    </w:p>
    <w:p w14:paraId="59E5F1F9" w14:textId="77777777" w:rsidR="00364D62" w:rsidRPr="00ED3E42" w:rsidRDefault="00364D62" w:rsidP="00364D62">
      <w:pPr>
        <w:spacing w:line="360" w:lineRule="auto"/>
        <w:jc w:val="center"/>
        <w:rPr>
          <w:rFonts w:ascii="Century Gothic" w:eastAsia="Arial Unicode MS" w:hAnsi="Century Gothic" w:cs="Arial"/>
          <w:b/>
          <w:bCs/>
          <w:color w:val="000000"/>
          <w:sz w:val="24"/>
          <w:szCs w:val="24"/>
          <w:bdr w:val="none" w:sz="0" w:space="0" w:color="auto" w:frame="1"/>
          <w:lang w:val="es-ES_tradnl" w:eastAsia="es-MX"/>
          <w14:textOutline w14:w="12700" w14:cap="flat" w14:cmpd="sng" w14:algn="ctr">
            <w14:noFill/>
            <w14:prstDash w14:val="solid"/>
            <w14:miter w14:lim="100000"/>
          </w14:textOutline>
        </w:rPr>
      </w:pPr>
      <w:r w:rsidRPr="00ED3E42">
        <w:rPr>
          <w:rFonts w:ascii="Century Gothic" w:eastAsia="Arial Unicode MS" w:hAnsi="Century Gothic" w:cs="Arial"/>
          <w:b/>
          <w:bCs/>
          <w:color w:val="000000"/>
          <w:sz w:val="24"/>
          <w:szCs w:val="24"/>
          <w:bdr w:val="none" w:sz="0" w:space="0" w:color="auto" w:frame="1"/>
          <w:lang w:val="es-ES_tradnl" w:eastAsia="es-MX"/>
          <w14:textOutline w14:w="12700" w14:cap="flat" w14:cmpd="sng" w14:algn="ctr">
            <w14:noFill/>
            <w14:prstDash w14:val="solid"/>
            <w14:miter w14:lim="100000"/>
          </w14:textOutline>
        </w:rPr>
        <w:t>DIP. YESENIA GUADALUPE REYES CALZADÍAS</w:t>
      </w:r>
    </w:p>
    <w:p w14:paraId="6580BC2A" w14:textId="77777777" w:rsidR="00364D62" w:rsidRPr="00ED3E42" w:rsidRDefault="00364D62" w:rsidP="00364D62">
      <w:pPr>
        <w:spacing w:line="360" w:lineRule="auto"/>
        <w:jc w:val="both"/>
        <w:rPr>
          <w:rFonts w:ascii="Century Gothic" w:eastAsia="Arial Unicode MS" w:hAnsi="Century Gothic" w:cs="Arial"/>
          <w:b/>
          <w:bCs/>
          <w:color w:val="000000"/>
          <w:sz w:val="24"/>
          <w:szCs w:val="24"/>
          <w:bdr w:val="none" w:sz="0" w:space="0" w:color="auto" w:frame="1"/>
          <w:lang w:val="es-ES_tradnl" w:eastAsia="es-MX"/>
          <w14:textOutline w14:w="12700" w14:cap="flat" w14:cmpd="sng" w14:algn="ctr">
            <w14:noFill/>
            <w14:prstDash w14:val="solid"/>
            <w14:miter w14:lim="100000"/>
          </w14:textOutline>
        </w:rPr>
      </w:pPr>
    </w:p>
    <w:p w14:paraId="16BF87E1" w14:textId="77777777" w:rsidR="00364D62" w:rsidRPr="00ED3E42" w:rsidRDefault="00364D62" w:rsidP="00364D62">
      <w:pPr>
        <w:spacing w:line="360" w:lineRule="auto"/>
        <w:jc w:val="both"/>
        <w:rPr>
          <w:rFonts w:ascii="Century Gothic" w:eastAsia="Arial Unicode MS" w:hAnsi="Century Gothic" w:cs="Arial"/>
          <w:b/>
          <w:bCs/>
          <w:color w:val="000000"/>
          <w:sz w:val="24"/>
          <w:szCs w:val="24"/>
          <w:bdr w:val="none" w:sz="0" w:space="0" w:color="auto" w:frame="1"/>
          <w:lang w:val="es-ES_tradnl" w:eastAsia="es-MX"/>
          <w14:textOutline w14:w="12700" w14:cap="flat" w14:cmpd="sng" w14:algn="ctr">
            <w14:noFill/>
            <w14:prstDash w14:val="solid"/>
            <w14:miter w14:lim="100000"/>
          </w14:textOutline>
        </w:rPr>
      </w:pPr>
    </w:p>
    <w:p w14:paraId="4CCC7670" w14:textId="77777777" w:rsidR="00364D62" w:rsidRPr="00ED3E42" w:rsidRDefault="00364D62" w:rsidP="00364D62">
      <w:pPr>
        <w:spacing w:line="360" w:lineRule="auto"/>
        <w:jc w:val="both"/>
        <w:rPr>
          <w:rFonts w:ascii="Century Gothic" w:eastAsia="Arial Unicode MS" w:hAnsi="Century Gothic" w:cs="Arial"/>
          <w:b/>
          <w:bCs/>
          <w:color w:val="000000"/>
          <w:sz w:val="24"/>
          <w:szCs w:val="24"/>
          <w:bdr w:val="none" w:sz="0" w:space="0" w:color="auto" w:frame="1"/>
          <w:lang w:val="es-ES_tradnl" w:eastAsia="es-MX"/>
          <w14:textOutline w14:w="12700" w14:cap="flat" w14:cmpd="sng" w14:algn="ctr">
            <w14:noFill/>
            <w14:prstDash w14:val="solid"/>
            <w14:miter w14:lim="100000"/>
          </w14:textOutline>
        </w:rPr>
      </w:pPr>
    </w:p>
    <w:p w14:paraId="5AE88D43" w14:textId="32565001" w:rsidR="00364D62" w:rsidRPr="00ED3E42" w:rsidRDefault="00364D62" w:rsidP="00364D62">
      <w:pPr>
        <w:spacing w:line="360" w:lineRule="auto"/>
        <w:jc w:val="both"/>
        <w:rPr>
          <w:rFonts w:ascii="Century Gothic" w:eastAsia="Century Gothic" w:hAnsi="Century Gothic" w:cs="Arial"/>
          <w:b/>
          <w:sz w:val="24"/>
          <w:szCs w:val="24"/>
          <w:lang w:val="es-ES_tradnl"/>
        </w:rPr>
      </w:pPr>
      <w:proofErr w:type="spellStart"/>
      <w:r w:rsidRPr="00ED3E42">
        <w:rPr>
          <w:rFonts w:ascii="Century Gothic" w:eastAsia="Century Gothic" w:hAnsi="Century Gothic" w:cs="Arial"/>
          <w:b/>
          <w:sz w:val="24"/>
          <w:szCs w:val="24"/>
          <w:lang w:val="es-ES_tradnl"/>
        </w:rPr>
        <w:t>Dip</w:t>
      </w:r>
      <w:proofErr w:type="spellEnd"/>
      <w:r w:rsidRPr="00ED3E42">
        <w:rPr>
          <w:rFonts w:ascii="Century Gothic" w:eastAsia="Century Gothic" w:hAnsi="Century Gothic" w:cs="Arial"/>
          <w:b/>
          <w:sz w:val="24"/>
          <w:szCs w:val="24"/>
          <w:lang w:val="es-ES_tradnl"/>
        </w:rPr>
        <w:t>. José Alfredo Chávez Madrid</w:t>
      </w:r>
      <w:r w:rsidRPr="00ED3E42">
        <w:rPr>
          <w:rFonts w:ascii="Century Gothic" w:eastAsia="Century Gothic" w:hAnsi="Century Gothic" w:cs="Arial"/>
          <w:b/>
          <w:sz w:val="24"/>
          <w:szCs w:val="24"/>
          <w:lang w:val="es-ES_tradnl"/>
        </w:rPr>
        <w:tab/>
        <w:t xml:space="preserve">                    </w:t>
      </w:r>
      <w:proofErr w:type="spellStart"/>
      <w:r w:rsidRPr="00ED3E42">
        <w:rPr>
          <w:rFonts w:ascii="Century Gothic" w:eastAsia="Century Gothic" w:hAnsi="Century Gothic" w:cs="Arial"/>
          <w:b/>
          <w:sz w:val="24"/>
          <w:szCs w:val="24"/>
          <w:lang w:val="es-ES_tradnl"/>
        </w:rPr>
        <w:t>Dip</w:t>
      </w:r>
      <w:proofErr w:type="spellEnd"/>
      <w:r w:rsidRPr="00ED3E42">
        <w:rPr>
          <w:rFonts w:ascii="Century Gothic" w:eastAsia="Century Gothic" w:hAnsi="Century Gothic" w:cs="Arial"/>
          <w:b/>
          <w:sz w:val="24"/>
          <w:szCs w:val="24"/>
          <w:lang w:val="es-ES_tradnl"/>
        </w:rPr>
        <w:t>. Saúl Mireles Corral</w:t>
      </w:r>
      <w:r w:rsidRPr="00ED3E42">
        <w:rPr>
          <w:rFonts w:ascii="Century Gothic" w:eastAsia="Century Gothic" w:hAnsi="Century Gothic" w:cs="Arial"/>
          <w:b/>
          <w:sz w:val="24"/>
          <w:szCs w:val="24"/>
          <w:lang w:val="es-ES_tradnl"/>
        </w:rPr>
        <w:tab/>
      </w:r>
      <w:r w:rsidRPr="00ED3E42">
        <w:rPr>
          <w:rFonts w:ascii="Century Gothic" w:eastAsia="Century Gothic" w:hAnsi="Century Gothic" w:cs="Arial"/>
          <w:b/>
          <w:sz w:val="24"/>
          <w:szCs w:val="24"/>
          <w:lang w:val="es-ES_tradnl"/>
        </w:rPr>
        <w:tab/>
        <w:t xml:space="preserve">   </w:t>
      </w:r>
    </w:p>
    <w:p w14:paraId="268036BB"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
    <w:p w14:paraId="1FC07349"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
    <w:p w14:paraId="351378B5" w14:textId="3448130D" w:rsidR="00364D62" w:rsidRPr="00ED3E42" w:rsidRDefault="00364D62" w:rsidP="00364D62">
      <w:pPr>
        <w:spacing w:line="360" w:lineRule="auto"/>
        <w:jc w:val="both"/>
        <w:rPr>
          <w:rFonts w:ascii="Century Gothic" w:eastAsia="Century Gothic" w:hAnsi="Century Gothic" w:cs="Arial"/>
          <w:b/>
          <w:sz w:val="24"/>
          <w:szCs w:val="24"/>
          <w:lang w:val="es-ES_tradnl"/>
        </w:rPr>
      </w:pPr>
      <w:proofErr w:type="spellStart"/>
      <w:r w:rsidRPr="00ED3E42">
        <w:rPr>
          <w:rFonts w:ascii="Century Gothic" w:eastAsia="Century Gothic" w:hAnsi="Century Gothic" w:cs="Arial"/>
          <w:b/>
          <w:sz w:val="24"/>
          <w:szCs w:val="24"/>
          <w:lang w:val="es-ES_tradnl"/>
        </w:rPr>
        <w:t>Dip</w:t>
      </w:r>
      <w:proofErr w:type="spellEnd"/>
      <w:r w:rsidRPr="00ED3E42">
        <w:rPr>
          <w:rFonts w:ascii="Century Gothic" w:eastAsia="Century Gothic" w:hAnsi="Century Gothic" w:cs="Arial"/>
          <w:b/>
          <w:sz w:val="24"/>
          <w:szCs w:val="24"/>
          <w:lang w:val="es-ES_tradnl"/>
        </w:rPr>
        <w:t xml:space="preserve">. Carlos Alfredo Olson San Vicente                  </w:t>
      </w:r>
      <w:proofErr w:type="spellStart"/>
      <w:r w:rsidRPr="00ED3E42">
        <w:rPr>
          <w:rFonts w:ascii="Century Gothic" w:eastAsia="Century Gothic" w:hAnsi="Century Gothic" w:cs="Arial"/>
          <w:b/>
          <w:sz w:val="24"/>
          <w:szCs w:val="24"/>
          <w:lang w:val="es-ES_tradnl"/>
        </w:rPr>
        <w:t>Dip</w:t>
      </w:r>
      <w:proofErr w:type="spellEnd"/>
      <w:r w:rsidRPr="00ED3E42">
        <w:rPr>
          <w:rFonts w:ascii="Century Gothic" w:eastAsia="Century Gothic" w:hAnsi="Century Gothic" w:cs="Arial"/>
          <w:b/>
          <w:sz w:val="24"/>
          <w:szCs w:val="24"/>
          <w:lang w:val="es-ES_tradnl"/>
        </w:rPr>
        <w:t xml:space="preserve">. Ismael Pérez Pavía </w:t>
      </w:r>
    </w:p>
    <w:p w14:paraId="470A92A4"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
    <w:p w14:paraId="7BA88414"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
    <w:p w14:paraId="0ADFDFB1"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
    <w:p w14:paraId="4995367B"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roofErr w:type="spellStart"/>
      <w:r w:rsidRPr="00ED3E42">
        <w:rPr>
          <w:rFonts w:ascii="Century Gothic" w:eastAsia="Century Gothic" w:hAnsi="Century Gothic" w:cs="Arial"/>
          <w:b/>
          <w:sz w:val="24"/>
          <w:szCs w:val="24"/>
          <w:lang w:val="es-ES_tradnl"/>
        </w:rPr>
        <w:t>Dip</w:t>
      </w:r>
      <w:proofErr w:type="spellEnd"/>
      <w:r w:rsidRPr="00ED3E42">
        <w:rPr>
          <w:rFonts w:ascii="Century Gothic" w:eastAsia="Century Gothic" w:hAnsi="Century Gothic" w:cs="Arial"/>
          <w:b/>
          <w:sz w:val="24"/>
          <w:szCs w:val="24"/>
          <w:lang w:val="es-ES_tradnl"/>
        </w:rPr>
        <w:t xml:space="preserve">. </w:t>
      </w:r>
      <w:proofErr w:type="spellStart"/>
      <w:r w:rsidRPr="00ED3E42">
        <w:rPr>
          <w:rFonts w:ascii="Century Gothic" w:eastAsia="Century Gothic" w:hAnsi="Century Gothic" w:cs="Arial"/>
          <w:b/>
          <w:sz w:val="24"/>
          <w:szCs w:val="24"/>
          <w:lang w:val="es-ES_tradnl"/>
        </w:rPr>
        <w:t>Joceline</w:t>
      </w:r>
      <w:proofErr w:type="spellEnd"/>
      <w:r w:rsidRPr="00ED3E42">
        <w:rPr>
          <w:rFonts w:ascii="Century Gothic" w:eastAsia="Century Gothic" w:hAnsi="Century Gothic" w:cs="Arial"/>
          <w:b/>
          <w:sz w:val="24"/>
          <w:szCs w:val="24"/>
          <w:lang w:val="es-ES_tradnl"/>
        </w:rPr>
        <w:t xml:space="preserve"> Vega Vargas </w:t>
      </w:r>
      <w:r w:rsidRPr="00ED3E42">
        <w:rPr>
          <w:rFonts w:ascii="Century Gothic" w:eastAsia="Century Gothic" w:hAnsi="Century Gothic" w:cs="Arial"/>
          <w:b/>
          <w:sz w:val="24"/>
          <w:szCs w:val="24"/>
          <w:lang w:val="es-ES_tradnl"/>
        </w:rPr>
        <w:tab/>
      </w:r>
      <w:r w:rsidRPr="00ED3E42">
        <w:rPr>
          <w:rFonts w:ascii="Century Gothic" w:eastAsia="Century Gothic" w:hAnsi="Century Gothic" w:cs="Arial"/>
          <w:b/>
          <w:sz w:val="24"/>
          <w:szCs w:val="24"/>
          <w:lang w:val="es-ES_tradnl"/>
        </w:rPr>
        <w:tab/>
        <w:t xml:space="preserve">               </w:t>
      </w:r>
      <w:proofErr w:type="spellStart"/>
      <w:r w:rsidRPr="00ED3E42">
        <w:rPr>
          <w:rFonts w:ascii="Century Gothic" w:eastAsia="Century Gothic" w:hAnsi="Century Gothic" w:cs="Arial"/>
          <w:b/>
          <w:sz w:val="24"/>
          <w:szCs w:val="24"/>
          <w:lang w:val="es-ES_tradnl"/>
        </w:rPr>
        <w:t>Dip</w:t>
      </w:r>
      <w:proofErr w:type="spellEnd"/>
      <w:r w:rsidRPr="00ED3E42">
        <w:rPr>
          <w:rFonts w:ascii="Century Gothic" w:eastAsia="Century Gothic" w:hAnsi="Century Gothic" w:cs="Arial"/>
          <w:b/>
          <w:sz w:val="24"/>
          <w:szCs w:val="24"/>
          <w:lang w:val="es-ES_tradnl"/>
        </w:rPr>
        <w:t xml:space="preserve">. Jorge Carlos Soto Prieto </w:t>
      </w:r>
    </w:p>
    <w:p w14:paraId="7C57FAD3"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
    <w:p w14:paraId="563E714E"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
    <w:p w14:paraId="348D9288"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
    <w:p w14:paraId="363B330A"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roofErr w:type="spellStart"/>
      <w:r w:rsidRPr="00ED3E42">
        <w:rPr>
          <w:rFonts w:ascii="Century Gothic" w:eastAsia="Century Gothic" w:hAnsi="Century Gothic" w:cs="Arial"/>
          <w:b/>
          <w:sz w:val="24"/>
          <w:szCs w:val="24"/>
          <w:lang w:val="es-ES_tradnl"/>
        </w:rPr>
        <w:t>Dip</w:t>
      </w:r>
      <w:proofErr w:type="spellEnd"/>
      <w:r w:rsidRPr="00ED3E42">
        <w:rPr>
          <w:rFonts w:ascii="Century Gothic" w:eastAsia="Century Gothic" w:hAnsi="Century Gothic" w:cs="Arial"/>
          <w:b/>
          <w:sz w:val="24"/>
          <w:szCs w:val="24"/>
          <w:lang w:val="es-ES_tradnl"/>
        </w:rPr>
        <w:t>. Edna Xóchitl Contreras Herrera</w:t>
      </w:r>
      <w:r w:rsidRPr="00ED3E42">
        <w:rPr>
          <w:rFonts w:ascii="Century Gothic" w:eastAsia="Century Gothic" w:hAnsi="Century Gothic" w:cs="Arial"/>
          <w:b/>
          <w:sz w:val="24"/>
          <w:szCs w:val="24"/>
          <w:lang w:val="es-ES_tradnl"/>
        </w:rPr>
        <w:tab/>
        <w:t xml:space="preserve">                </w:t>
      </w:r>
      <w:proofErr w:type="spellStart"/>
      <w:r w:rsidRPr="00ED3E42">
        <w:rPr>
          <w:rFonts w:ascii="Century Gothic" w:eastAsia="Century Gothic" w:hAnsi="Century Gothic" w:cs="Arial"/>
          <w:b/>
          <w:sz w:val="24"/>
          <w:szCs w:val="24"/>
          <w:lang w:val="es-ES_tradnl"/>
        </w:rPr>
        <w:t>Dip</w:t>
      </w:r>
      <w:proofErr w:type="spellEnd"/>
      <w:r w:rsidRPr="00ED3E42">
        <w:rPr>
          <w:rFonts w:ascii="Century Gothic" w:eastAsia="Century Gothic" w:hAnsi="Century Gothic" w:cs="Arial"/>
          <w:b/>
          <w:sz w:val="24"/>
          <w:szCs w:val="24"/>
          <w:lang w:val="es-ES_tradnl"/>
        </w:rPr>
        <w:t xml:space="preserve">. Nancy Janeth Frías </w:t>
      </w:r>
      <w:proofErr w:type="spellStart"/>
      <w:r w:rsidRPr="00ED3E42">
        <w:rPr>
          <w:rFonts w:ascii="Century Gothic" w:eastAsia="Century Gothic" w:hAnsi="Century Gothic" w:cs="Arial"/>
          <w:b/>
          <w:sz w:val="24"/>
          <w:szCs w:val="24"/>
          <w:lang w:val="es-ES_tradnl"/>
        </w:rPr>
        <w:t>Frías</w:t>
      </w:r>
      <w:proofErr w:type="spellEnd"/>
      <w:r w:rsidRPr="00ED3E42">
        <w:rPr>
          <w:rFonts w:ascii="Century Gothic" w:eastAsia="Century Gothic" w:hAnsi="Century Gothic" w:cs="Arial"/>
          <w:b/>
          <w:sz w:val="24"/>
          <w:szCs w:val="24"/>
          <w:lang w:val="es-ES_tradnl"/>
        </w:rPr>
        <w:t xml:space="preserve"> </w:t>
      </w:r>
    </w:p>
    <w:p w14:paraId="1821D2FD"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
    <w:p w14:paraId="64A7EAE8"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r w:rsidRPr="00ED3E42">
        <w:rPr>
          <w:rFonts w:ascii="Century Gothic" w:eastAsia="Century Gothic" w:hAnsi="Century Gothic" w:cs="Arial"/>
          <w:b/>
          <w:sz w:val="24"/>
          <w:szCs w:val="24"/>
          <w:lang w:val="es-ES_tradnl"/>
        </w:rPr>
        <w:t xml:space="preserve"> </w:t>
      </w:r>
    </w:p>
    <w:p w14:paraId="18EBAC90"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
    <w:p w14:paraId="2447C178" w14:textId="29826948" w:rsidR="00364D62" w:rsidRPr="00ED3E42" w:rsidRDefault="00364D62" w:rsidP="00364D62">
      <w:pPr>
        <w:spacing w:line="360" w:lineRule="auto"/>
        <w:jc w:val="both"/>
        <w:rPr>
          <w:rFonts w:ascii="Century Gothic" w:eastAsia="Century Gothic" w:hAnsi="Century Gothic" w:cs="Arial"/>
          <w:b/>
          <w:sz w:val="24"/>
          <w:szCs w:val="24"/>
          <w:lang w:val="es-ES_tradnl"/>
        </w:rPr>
      </w:pPr>
      <w:proofErr w:type="spellStart"/>
      <w:r w:rsidRPr="00ED3E42">
        <w:rPr>
          <w:rFonts w:ascii="Century Gothic" w:eastAsia="Century Gothic" w:hAnsi="Century Gothic" w:cs="Arial"/>
          <w:b/>
          <w:sz w:val="24"/>
          <w:szCs w:val="24"/>
          <w:lang w:val="es-ES_tradnl"/>
        </w:rPr>
        <w:t>Dip</w:t>
      </w:r>
      <w:proofErr w:type="spellEnd"/>
      <w:r w:rsidRPr="00ED3E42">
        <w:rPr>
          <w:rFonts w:ascii="Century Gothic" w:eastAsia="Century Gothic" w:hAnsi="Century Gothic" w:cs="Arial"/>
          <w:b/>
          <w:sz w:val="24"/>
          <w:szCs w:val="24"/>
          <w:lang w:val="es-ES_tradnl"/>
        </w:rPr>
        <w:t xml:space="preserve">. Roberto Marcelino Carreón Huitrón </w:t>
      </w:r>
      <w:r w:rsidRPr="00ED3E42">
        <w:rPr>
          <w:rFonts w:ascii="Century Gothic" w:eastAsia="Century Gothic" w:hAnsi="Century Gothic" w:cs="Arial"/>
          <w:b/>
          <w:sz w:val="24"/>
          <w:szCs w:val="24"/>
          <w:lang w:val="es-ES_tradnl"/>
        </w:rPr>
        <w:tab/>
        <w:t xml:space="preserve">         </w:t>
      </w:r>
      <w:proofErr w:type="spellStart"/>
      <w:r w:rsidRPr="00ED3E42">
        <w:rPr>
          <w:rFonts w:ascii="Century Gothic" w:eastAsia="Century Gothic" w:hAnsi="Century Gothic" w:cs="Arial"/>
          <w:b/>
          <w:sz w:val="24"/>
          <w:szCs w:val="24"/>
          <w:lang w:val="es-ES_tradnl"/>
        </w:rPr>
        <w:t>Dip</w:t>
      </w:r>
      <w:proofErr w:type="spellEnd"/>
      <w:r w:rsidRPr="00ED3E42">
        <w:rPr>
          <w:rFonts w:ascii="Century Gothic" w:eastAsia="Century Gothic" w:hAnsi="Century Gothic" w:cs="Arial"/>
          <w:b/>
          <w:sz w:val="24"/>
          <w:szCs w:val="24"/>
          <w:lang w:val="es-ES_tradnl"/>
        </w:rPr>
        <w:t xml:space="preserve">. Arturo Zubía Fernández </w:t>
      </w:r>
    </w:p>
    <w:p w14:paraId="6FD5D210"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
    <w:p w14:paraId="78E895DD"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
    <w:p w14:paraId="0DCA286A" w14:textId="77777777" w:rsidR="00364D62" w:rsidRPr="00ED3E42" w:rsidRDefault="00364D62" w:rsidP="00364D62">
      <w:pPr>
        <w:spacing w:line="360" w:lineRule="auto"/>
        <w:jc w:val="both"/>
        <w:rPr>
          <w:rFonts w:ascii="Century Gothic" w:eastAsia="Century Gothic" w:hAnsi="Century Gothic" w:cs="Arial"/>
          <w:b/>
          <w:sz w:val="24"/>
          <w:szCs w:val="24"/>
          <w:lang w:val="es-ES_tradnl"/>
        </w:rPr>
      </w:pPr>
    </w:p>
    <w:p w14:paraId="1F7D17FE" w14:textId="28A5CA2D" w:rsidR="00364D62" w:rsidRPr="00ED3E42" w:rsidRDefault="00364D62" w:rsidP="00364D62">
      <w:pPr>
        <w:spacing w:line="360" w:lineRule="auto"/>
        <w:jc w:val="both"/>
        <w:rPr>
          <w:rFonts w:ascii="Century Gothic" w:hAnsi="Century Gothic"/>
          <w:b/>
          <w:bCs/>
          <w:sz w:val="24"/>
          <w:szCs w:val="24"/>
        </w:rPr>
      </w:pPr>
      <w:proofErr w:type="spellStart"/>
      <w:r w:rsidRPr="00ED3E42">
        <w:rPr>
          <w:rFonts w:ascii="Century Gothic" w:eastAsia="Century Gothic" w:hAnsi="Century Gothic" w:cs="Arial"/>
          <w:b/>
          <w:sz w:val="24"/>
          <w:szCs w:val="24"/>
          <w:lang w:val="es-ES_tradnl"/>
        </w:rPr>
        <w:t>Dip</w:t>
      </w:r>
      <w:proofErr w:type="spellEnd"/>
      <w:r w:rsidRPr="00ED3E42">
        <w:rPr>
          <w:rFonts w:ascii="Century Gothic" w:eastAsia="Century Gothic" w:hAnsi="Century Gothic" w:cs="Arial"/>
          <w:b/>
          <w:sz w:val="24"/>
          <w:szCs w:val="24"/>
          <w:lang w:val="es-ES_tradnl"/>
        </w:rPr>
        <w:t xml:space="preserve">. Carla Yamileth Rivas Martínez                        </w:t>
      </w:r>
      <w:proofErr w:type="spellStart"/>
      <w:r w:rsidRPr="00ED3E42">
        <w:rPr>
          <w:rFonts w:ascii="Century Gothic" w:eastAsia="Century Gothic" w:hAnsi="Century Gothic" w:cs="Arial"/>
          <w:b/>
          <w:sz w:val="24"/>
          <w:szCs w:val="24"/>
          <w:lang w:val="es-ES_tradnl"/>
        </w:rPr>
        <w:t>Dip</w:t>
      </w:r>
      <w:proofErr w:type="spellEnd"/>
      <w:r w:rsidRPr="00ED3E42">
        <w:rPr>
          <w:rFonts w:ascii="Century Gothic" w:eastAsia="Century Gothic" w:hAnsi="Century Gothic" w:cs="Arial"/>
          <w:b/>
          <w:sz w:val="24"/>
          <w:szCs w:val="24"/>
          <w:lang w:val="es-ES_tradnl"/>
        </w:rPr>
        <w:t>. Jaime Torres Amaya</w:t>
      </w:r>
    </w:p>
    <w:p w14:paraId="1D0E2891" w14:textId="77777777" w:rsidR="00364D62" w:rsidRDefault="00364D62" w:rsidP="00364D62"/>
    <w:p w14:paraId="180786F8" w14:textId="77777777" w:rsidR="00364D62" w:rsidRDefault="00364D62" w:rsidP="00364D62">
      <w:pPr>
        <w:spacing w:line="360" w:lineRule="auto"/>
        <w:jc w:val="both"/>
        <w:rPr>
          <w:rFonts w:ascii="Century Gothic" w:hAnsi="Century Gothic"/>
          <w:sz w:val="24"/>
          <w:szCs w:val="24"/>
        </w:rPr>
      </w:pPr>
    </w:p>
    <w:p w14:paraId="281AC340" w14:textId="77777777" w:rsidR="00364D62" w:rsidRPr="000B103A" w:rsidRDefault="00364D62" w:rsidP="00364D62">
      <w:pPr>
        <w:spacing w:line="360" w:lineRule="auto"/>
        <w:jc w:val="center"/>
        <w:rPr>
          <w:rFonts w:ascii="Century Gothic" w:hAnsi="Century Gothic"/>
          <w:b/>
          <w:bCs/>
          <w:sz w:val="24"/>
          <w:szCs w:val="24"/>
        </w:rPr>
      </w:pPr>
    </w:p>
    <w:p w14:paraId="14F5AE71" w14:textId="77777777" w:rsidR="003A1D88" w:rsidRDefault="003A1D88"/>
    <w:sectPr w:rsidR="003A1D88" w:rsidSect="00364D62">
      <w:headerReference w:type="default" r:id="rId8"/>
      <w:footerReference w:type="default" r:id="rId9"/>
      <w:pgSz w:w="12240" w:h="15840"/>
      <w:pgMar w:top="210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E98DE" w14:textId="77777777" w:rsidR="00BE3558" w:rsidRDefault="00BE3558" w:rsidP="00364D62">
      <w:pPr>
        <w:spacing w:after="0" w:line="240" w:lineRule="auto"/>
      </w:pPr>
      <w:r>
        <w:separator/>
      </w:r>
    </w:p>
  </w:endnote>
  <w:endnote w:type="continuationSeparator" w:id="0">
    <w:p w14:paraId="5BAE0302" w14:textId="77777777" w:rsidR="00BE3558" w:rsidRDefault="00BE3558" w:rsidP="00364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402493260"/>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27B7D347" w14:textId="40BC1F04" w:rsidR="0083727A" w:rsidRPr="0083727A" w:rsidRDefault="0083727A">
            <w:pPr>
              <w:pStyle w:val="Piedepgina"/>
              <w:jc w:val="right"/>
              <w:rPr>
                <w:rFonts w:ascii="Arial" w:hAnsi="Arial" w:cs="Arial"/>
                <w:sz w:val="16"/>
                <w:szCs w:val="16"/>
              </w:rPr>
            </w:pPr>
            <w:r w:rsidRPr="0083727A">
              <w:rPr>
                <w:rFonts w:ascii="Arial" w:hAnsi="Arial" w:cs="Arial"/>
                <w:sz w:val="16"/>
                <w:szCs w:val="16"/>
                <w:lang w:val="es-ES"/>
              </w:rPr>
              <w:t xml:space="preserve">Página </w:t>
            </w:r>
            <w:r w:rsidRPr="0083727A">
              <w:rPr>
                <w:rFonts w:ascii="Arial" w:hAnsi="Arial" w:cs="Arial"/>
                <w:b/>
                <w:bCs/>
                <w:sz w:val="16"/>
                <w:szCs w:val="16"/>
              </w:rPr>
              <w:fldChar w:fldCharType="begin"/>
            </w:r>
            <w:r w:rsidRPr="0083727A">
              <w:rPr>
                <w:rFonts w:ascii="Arial" w:hAnsi="Arial" w:cs="Arial"/>
                <w:b/>
                <w:bCs/>
                <w:sz w:val="16"/>
                <w:szCs w:val="16"/>
              </w:rPr>
              <w:instrText>PAGE</w:instrText>
            </w:r>
            <w:r w:rsidRPr="0083727A">
              <w:rPr>
                <w:rFonts w:ascii="Arial" w:hAnsi="Arial" w:cs="Arial"/>
                <w:b/>
                <w:bCs/>
                <w:sz w:val="16"/>
                <w:szCs w:val="16"/>
              </w:rPr>
              <w:fldChar w:fldCharType="separate"/>
            </w:r>
            <w:r w:rsidRPr="0083727A">
              <w:rPr>
                <w:rFonts w:ascii="Arial" w:hAnsi="Arial" w:cs="Arial"/>
                <w:b/>
                <w:bCs/>
                <w:sz w:val="16"/>
                <w:szCs w:val="16"/>
                <w:lang w:val="es-ES"/>
              </w:rPr>
              <w:t>2</w:t>
            </w:r>
            <w:r w:rsidRPr="0083727A">
              <w:rPr>
                <w:rFonts w:ascii="Arial" w:hAnsi="Arial" w:cs="Arial"/>
                <w:b/>
                <w:bCs/>
                <w:sz w:val="16"/>
                <w:szCs w:val="16"/>
              </w:rPr>
              <w:fldChar w:fldCharType="end"/>
            </w:r>
            <w:r w:rsidRPr="0083727A">
              <w:rPr>
                <w:rFonts w:ascii="Arial" w:hAnsi="Arial" w:cs="Arial"/>
                <w:sz w:val="16"/>
                <w:szCs w:val="16"/>
                <w:lang w:val="es-ES"/>
              </w:rPr>
              <w:t xml:space="preserve"> de </w:t>
            </w:r>
            <w:r w:rsidRPr="0083727A">
              <w:rPr>
                <w:rFonts w:ascii="Arial" w:hAnsi="Arial" w:cs="Arial"/>
                <w:b/>
                <w:bCs/>
                <w:sz w:val="16"/>
                <w:szCs w:val="16"/>
              </w:rPr>
              <w:fldChar w:fldCharType="begin"/>
            </w:r>
            <w:r w:rsidRPr="0083727A">
              <w:rPr>
                <w:rFonts w:ascii="Arial" w:hAnsi="Arial" w:cs="Arial"/>
                <w:b/>
                <w:bCs/>
                <w:sz w:val="16"/>
                <w:szCs w:val="16"/>
              </w:rPr>
              <w:instrText>NUMPAGES</w:instrText>
            </w:r>
            <w:r w:rsidRPr="0083727A">
              <w:rPr>
                <w:rFonts w:ascii="Arial" w:hAnsi="Arial" w:cs="Arial"/>
                <w:b/>
                <w:bCs/>
                <w:sz w:val="16"/>
                <w:szCs w:val="16"/>
              </w:rPr>
              <w:fldChar w:fldCharType="separate"/>
            </w:r>
            <w:r w:rsidRPr="0083727A">
              <w:rPr>
                <w:rFonts w:ascii="Arial" w:hAnsi="Arial" w:cs="Arial"/>
                <w:b/>
                <w:bCs/>
                <w:sz w:val="16"/>
                <w:szCs w:val="16"/>
                <w:lang w:val="es-ES"/>
              </w:rPr>
              <w:t>2</w:t>
            </w:r>
            <w:r w:rsidRPr="0083727A">
              <w:rPr>
                <w:rFonts w:ascii="Arial" w:hAnsi="Arial" w:cs="Arial"/>
                <w:b/>
                <w:bCs/>
                <w:sz w:val="16"/>
                <w:szCs w:val="16"/>
              </w:rPr>
              <w:fldChar w:fldCharType="end"/>
            </w:r>
          </w:p>
        </w:sdtContent>
      </w:sdt>
    </w:sdtContent>
  </w:sdt>
  <w:p w14:paraId="27E5F60A" w14:textId="77777777" w:rsidR="0083727A" w:rsidRPr="0083727A" w:rsidRDefault="0083727A">
    <w:pPr>
      <w:pStyle w:val="Piedepgina"/>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0CD3B" w14:textId="77777777" w:rsidR="00BE3558" w:rsidRDefault="00BE3558" w:rsidP="00364D62">
      <w:pPr>
        <w:spacing w:after="0" w:line="240" w:lineRule="auto"/>
      </w:pPr>
      <w:r>
        <w:separator/>
      </w:r>
    </w:p>
  </w:footnote>
  <w:footnote w:type="continuationSeparator" w:id="0">
    <w:p w14:paraId="7B5F3F32" w14:textId="77777777" w:rsidR="00BE3558" w:rsidRDefault="00BE3558" w:rsidP="00364D62">
      <w:pPr>
        <w:spacing w:after="0" w:line="240" w:lineRule="auto"/>
      </w:pPr>
      <w:r>
        <w:continuationSeparator/>
      </w:r>
    </w:p>
  </w:footnote>
  <w:footnote w:id="1">
    <w:p w14:paraId="24D221CA" w14:textId="219FA169" w:rsidR="00F0522B" w:rsidRDefault="00F0522B">
      <w:pPr>
        <w:pStyle w:val="Textonotapie"/>
      </w:pPr>
      <w:r>
        <w:rPr>
          <w:rStyle w:val="Refdenotaalpie"/>
        </w:rPr>
        <w:footnoteRef/>
      </w:r>
      <w:r>
        <w:t xml:space="preserve"> En delante, la Ley.</w:t>
      </w:r>
    </w:p>
  </w:footnote>
  <w:footnote w:id="2">
    <w:p w14:paraId="6B75A522" w14:textId="5634807B" w:rsidR="00F0522B" w:rsidRPr="00F0522B" w:rsidRDefault="00F0522B">
      <w:pPr>
        <w:pStyle w:val="Textonotapie"/>
        <w:rPr>
          <w:rFonts w:ascii="Arial" w:hAnsi="Arial" w:cs="Arial"/>
          <w:sz w:val="16"/>
          <w:szCs w:val="16"/>
        </w:rPr>
      </w:pPr>
      <w:r w:rsidRPr="00F0522B">
        <w:rPr>
          <w:rStyle w:val="Refdenotaalpie"/>
          <w:rFonts w:ascii="Arial" w:hAnsi="Arial" w:cs="Arial"/>
          <w:sz w:val="16"/>
          <w:szCs w:val="16"/>
        </w:rPr>
        <w:footnoteRef/>
      </w:r>
      <w:r w:rsidRPr="00F0522B">
        <w:rPr>
          <w:rFonts w:ascii="Arial" w:hAnsi="Arial" w:cs="Arial"/>
          <w:sz w:val="16"/>
          <w:szCs w:val="16"/>
        </w:rPr>
        <w:t xml:space="preserve"> https://ciep.mx/gasto-en-medicamentos/#:~:text=Se%20analizar%C3%A1%20el%20gasto%20de%20bolsillo%20para,de%20atenci%C3%B3n.%202%20Gasto%20p%C3%BAblico%20en%20medicamentos.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CA9AD" w14:textId="77777777" w:rsidR="00364D62" w:rsidRDefault="00364D62" w:rsidP="00364D62">
    <w:pPr>
      <w:pStyle w:val="Encabezado"/>
      <w:tabs>
        <w:tab w:val="clear" w:pos="4419"/>
        <w:tab w:val="clear" w:pos="8838"/>
        <w:tab w:val="left" w:pos="3225"/>
      </w:tabs>
    </w:pPr>
    <w:r>
      <w:rPr>
        <w:rFonts w:ascii="Arial" w:hAnsi="Arial" w:cs="Arial"/>
        <w:b/>
        <w:bCs/>
        <w:i/>
        <w:iCs/>
        <w:noProof/>
        <w:sz w:val="16"/>
        <w:szCs w:val="16"/>
        <w:lang w:val="es-419"/>
      </w:rPr>
      <w:drawing>
        <wp:anchor distT="0" distB="0" distL="114300" distR="114300" simplePos="0" relativeHeight="251660288" behindDoc="0" locked="0" layoutInCell="1" allowOverlap="1" wp14:anchorId="5FB94067" wp14:editId="60E89F06">
          <wp:simplePos x="0" y="0"/>
          <wp:positionH relativeFrom="margin">
            <wp:posOffset>5164595</wp:posOffset>
          </wp:positionH>
          <wp:positionV relativeFrom="paragraph">
            <wp:posOffset>-329375</wp:posOffset>
          </wp:positionV>
          <wp:extent cx="1123950" cy="1123950"/>
          <wp:effectExtent l="0" t="0" r="0" b="0"/>
          <wp:wrapSquare wrapText="bothSides"/>
          <wp:docPr id="24" name="Imagen 24"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729850A" wp14:editId="6EE1C4FE">
          <wp:simplePos x="0" y="0"/>
          <wp:positionH relativeFrom="column">
            <wp:posOffset>-466725</wp:posOffset>
          </wp:positionH>
          <wp:positionV relativeFrom="paragraph">
            <wp:posOffset>-257810</wp:posOffset>
          </wp:positionV>
          <wp:extent cx="1061085" cy="1017905"/>
          <wp:effectExtent l="0" t="0" r="5715" b="0"/>
          <wp:wrapSquare wrapText="bothSides"/>
          <wp:docPr id="25" name="image1.png" descr="image3.png"/>
          <wp:cNvGraphicFramePr/>
          <a:graphic xmlns:a="http://schemas.openxmlformats.org/drawingml/2006/main">
            <a:graphicData uri="http://schemas.openxmlformats.org/drawingml/2006/picture">
              <pic:pic xmlns:pic="http://schemas.openxmlformats.org/drawingml/2006/picture">
                <pic:nvPicPr>
                  <pic:cNvPr id="1073741863" name="image1.png" descr="image3.png"/>
                  <pic:cNvPicPr/>
                </pic:nvPicPr>
                <pic:blipFill>
                  <a:blip r:embed="rId2">
                    <a:extLst>
                      <a:ext uri="{28A0092B-C50C-407E-A947-70E740481C1C}">
                        <a14:useLocalDpi xmlns:a14="http://schemas.microsoft.com/office/drawing/2010/main" val="0"/>
                      </a:ext>
                    </a:extLst>
                  </a:blip>
                  <a:srcRect/>
                  <a:stretch>
                    <a:fillRect/>
                  </a:stretch>
                </pic:blipFill>
                <pic:spPr>
                  <a:xfrm>
                    <a:off x="0" y="0"/>
                    <a:ext cx="1061085" cy="1017905"/>
                  </a:xfrm>
                  <a:prstGeom prst="rect">
                    <a:avLst/>
                  </a:prstGeom>
                  <a:ln/>
                </pic:spPr>
              </pic:pic>
            </a:graphicData>
          </a:graphic>
          <wp14:sizeRelH relativeFrom="page">
            <wp14:pctWidth>0</wp14:pctWidth>
          </wp14:sizeRelH>
          <wp14:sizeRelV relativeFrom="page">
            <wp14:pctHeight>0</wp14:pctHeight>
          </wp14:sizeRelV>
        </wp:anchor>
      </w:drawing>
    </w:r>
    <w:r>
      <w:tab/>
    </w:r>
  </w:p>
  <w:p w14:paraId="2C65FD75" w14:textId="77777777" w:rsidR="00364D62" w:rsidRDefault="00364D62" w:rsidP="00364D62">
    <w:pPr>
      <w:pStyle w:val="Encabezado"/>
    </w:pPr>
  </w:p>
  <w:p w14:paraId="2DD0EBFF" w14:textId="77777777" w:rsidR="00364D62" w:rsidRDefault="00364D6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B1903"/>
    <w:multiLevelType w:val="hybridMultilevel"/>
    <w:tmpl w:val="1BA27EE4"/>
    <w:lvl w:ilvl="0" w:tplc="F02A1B7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D62"/>
    <w:rsid w:val="00094D2F"/>
    <w:rsid w:val="00105B70"/>
    <w:rsid w:val="00114202"/>
    <w:rsid w:val="0028129A"/>
    <w:rsid w:val="00353D3D"/>
    <w:rsid w:val="00364D62"/>
    <w:rsid w:val="003A1D88"/>
    <w:rsid w:val="00423771"/>
    <w:rsid w:val="00535355"/>
    <w:rsid w:val="005D7663"/>
    <w:rsid w:val="00646D6D"/>
    <w:rsid w:val="006949BA"/>
    <w:rsid w:val="0083727A"/>
    <w:rsid w:val="00981EE2"/>
    <w:rsid w:val="00982A68"/>
    <w:rsid w:val="00996CAA"/>
    <w:rsid w:val="00A244DB"/>
    <w:rsid w:val="00B47583"/>
    <w:rsid w:val="00BE3558"/>
    <w:rsid w:val="00CC055F"/>
    <w:rsid w:val="00F052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EA4696"/>
  <w15:chartTrackingRefBased/>
  <w15:docId w15:val="{A1C91418-34B9-44F0-9FF7-2F1113F66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D6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64D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4D62"/>
  </w:style>
  <w:style w:type="paragraph" w:styleId="Piedepgina">
    <w:name w:val="footer"/>
    <w:basedOn w:val="Normal"/>
    <w:link w:val="PiedepginaCar"/>
    <w:uiPriority w:val="99"/>
    <w:unhideWhenUsed/>
    <w:rsid w:val="00364D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4D62"/>
  </w:style>
  <w:style w:type="paragraph" w:styleId="Prrafodelista">
    <w:name w:val="List Paragraph"/>
    <w:basedOn w:val="Normal"/>
    <w:uiPriority w:val="34"/>
    <w:qFormat/>
    <w:rsid w:val="00535355"/>
    <w:pPr>
      <w:ind w:left="720"/>
      <w:contextualSpacing/>
    </w:pPr>
  </w:style>
  <w:style w:type="paragraph" w:styleId="Textonotapie">
    <w:name w:val="footnote text"/>
    <w:basedOn w:val="Normal"/>
    <w:link w:val="TextonotapieCar"/>
    <w:uiPriority w:val="99"/>
    <w:semiHidden/>
    <w:unhideWhenUsed/>
    <w:rsid w:val="00F0522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0522B"/>
    <w:rPr>
      <w:sz w:val="20"/>
      <w:szCs w:val="20"/>
    </w:rPr>
  </w:style>
  <w:style w:type="character" w:styleId="Refdenotaalpie">
    <w:name w:val="footnote reference"/>
    <w:basedOn w:val="Fuentedeprrafopredeter"/>
    <w:uiPriority w:val="99"/>
    <w:semiHidden/>
    <w:unhideWhenUsed/>
    <w:rsid w:val="00F0522B"/>
    <w:rPr>
      <w:vertAlign w:val="superscript"/>
    </w:rPr>
  </w:style>
  <w:style w:type="character" w:styleId="Hipervnculo">
    <w:name w:val="Hyperlink"/>
    <w:basedOn w:val="Fuentedeprrafopredeter"/>
    <w:uiPriority w:val="99"/>
    <w:unhideWhenUsed/>
    <w:rsid w:val="00F0522B"/>
    <w:rPr>
      <w:color w:val="0563C1" w:themeColor="hyperlink"/>
      <w:u w:val="single"/>
    </w:rPr>
  </w:style>
  <w:style w:type="character" w:styleId="Mencinsinresolver">
    <w:name w:val="Unresolved Mention"/>
    <w:basedOn w:val="Fuentedeprrafopredeter"/>
    <w:uiPriority w:val="99"/>
    <w:semiHidden/>
    <w:unhideWhenUsed/>
    <w:rsid w:val="00F05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44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F0303-B36D-48D4-B3A3-91B592638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1491</Words>
  <Characters>8206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Esmeralda Portillo Aguilar</dc:creator>
  <cp:keywords/>
  <dc:description/>
  <cp:lastModifiedBy>Andrea Daniela Flores Chacon</cp:lastModifiedBy>
  <cp:revision>2</cp:revision>
  <dcterms:created xsi:type="dcterms:W3CDTF">2026-09-09T17:52:00Z</dcterms:created>
  <dcterms:modified xsi:type="dcterms:W3CDTF">2026-09-09T17:52:00Z</dcterms:modified>
</cp:coreProperties>
</file>