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C8A1A" w14:textId="77777777" w:rsidR="005B4D3F" w:rsidRPr="007B2B51" w:rsidRDefault="005B4D3F" w:rsidP="005B4D3F">
      <w:pPr>
        <w:spacing w:after="0" w:line="360" w:lineRule="auto"/>
        <w:rPr>
          <w:rFonts w:ascii="Century Gothic" w:eastAsia="Times New Roman" w:hAnsi="Century Gothic" w:cs="Arial"/>
          <w:b/>
          <w:bCs/>
          <w:sz w:val="24"/>
          <w:szCs w:val="24"/>
        </w:rPr>
      </w:pPr>
    </w:p>
    <w:p w14:paraId="54BAF3A4" w14:textId="77777777" w:rsidR="005B4D3F" w:rsidRPr="008355F8" w:rsidRDefault="005B4D3F" w:rsidP="005B4D3F">
      <w:pPr>
        <w:spacing w:after="0" w:line="360" w:lineRule="auto"/>
        <w:rPr>
          <w:rFonts w:ascii="Century Gothic" w:eastAsia="Times New Roman" w:hAnsi="Century Gothic" w:cs="Arial"/>
          <w:b/>
          <w:bCs/>
          <w:sz w:val="24"/>
          <w:szCs w:val="24"/>
          <w:lang w:val="es-ES_tradnl"/>
        </w:rPr>
      </w:pPr>
      <w:r w:rsidRPr="008355F8">
        <w:rPr>
          <w:rFonts w:ascii="Century Gothic" w:eastAsia="Times New Roman" w:hAnsi="Century Gothic" w:cs="Arial"/>
          <w:b/>
          <w:bCs/>
          <w:sz w:val="24"/>
          <w:szCs w:val="24"/>
          <w:lang w:val="es-ES_tradnl"/>
        </w:rPr>
        <w:t xml:space="preserve">H. CONGRESO DEL ESTADO </w:t>
      </w:r>
    </w:p>
    <w:p w14:paraId="2321BF82" w14:textId="77777777" w:rsidR="005B4D3F" w:rsidRPr="008355F8" w:rsidRDefault="005B4D3F" w:rsidP="005B4D3F">
      <w:pPr>
        <w:spacing w:after="0" w:line="360" w:lineRule="auto"/>
        <w:rPr>
          <w:rFonts w:ascii="Century Gothic" w:eastAsia="Times New Roman" w:hAnsi="Century Gothic" w:cs="Arial"/>
          <w:b/>
          <w:bCs/>
          <w:sz w:val="24"/>
          <w:szCs w:val="24"/>
          <w:lang w:val="es-ES_tradnl"/>
        </w:rPr>
      </w:pPr>
      <w:r w:rsidRPr="008355F8">
        <w:rPr>
          <w:rFonts w:ascii="Century Gothic" w:eastAsia="Times New Roman" w:hAnsi="Century Gothic" w:cs="Arial"/>
          <w:b/>
          <w:bCs/>
          <w:sz w:val="24"/>
          <w:szCs w:val="24"/>
          <w:lang w:val="es-ES_tradnl"/>
        </w:rPr>
        <w:t xml:space="preserve">P R E S E N T E.- </w:t>
      </w:r>
    </w:p>
    <w:p w14:paraId="60BCAB67" w14:textId="77777777" w:rsidR="005B4D3F" w:rsidRPr="008355F8" w:rsidRDefault="005B4D3F" w:rsidP="005B4D3F">
      <w:pPr>
        <w:spacing w:line="360" w:lineRule="auto"/>
        <w:rPr>
          <w:rFonts w:ascii="Century Gothic" w:eastAsia="Times New Roman" w:hAnsi="Century Gothic" w:cs="Arial"/>
          <w:b/>
          <w:bCs/>
          <w:sz w:val="24"/>
          <w:szCs w:val="24"/>
          <w:lang w:val="es-ES_tradnl"/>
        </w:rPr>
      </w:pPr>
    </w:p>
    <w:p w14:paraId="41086BB4" w14:textId="3E085B12" w:rsidR="005B4D3F" w:rsidRPr="008355F8" w:rsidRDefault="005B4D3F" w:rsidP="005B4D3F">
      <w:pPr>
        <w:spacing w:line="360" w:lineRule="auto"/>
        <w:jc w:val="both"/>
        <w:rPr>
          <w:rFonts w:ascii="Century Gothic" w:eastAsia="Times New Roman" w:hAnsi="Century Gothic" w:cs="Arial"/>
          <w:bCs/>
          <w:sz w:val="24"/>
          <w:szCs w:val="24"/>
          <w:lang w:val="es-ES_tradnl"/>
        </w:rPr>
      </w:pPr>
      <w:r w:rsidRPr="008355F8">
        <w:rPr>
          <w:rFonts w:ascii="Century Gothic" w:eastAsia="Times New Roman" w:hAnsi="Century Gothic" w:cs="Soberana Sans"/>
          <w:sz w:val="24"/>
          <w:szCs w:val="24"/>
          <w:lang w:val="es-ES_tradnl" w:eastAsia="es-MX"/>
        </w:rPr>
        <w:t xml:space="preserve">Quien suscribe, </w:t>
      </w:r>
      <w:r w:rsidRPr="008355F8">
        <w:rPr>
          <w:rFonts w:ascii="Century Gothic" w:eastAsia="Times New Roman" w:hAnsi="Century Gothic" w:cs="Soberana Sans"/>
          <w:b/>
          <w:bCs/>
          <w:sz w:val="24"/>
          <w:szCs w:val="24"/>
          <w:lang w:val="es-ES_tradnl" w:eastAsia="es-MX"/>
        </w:rPr>
        <w:t>JOSÉ ALFREDO CHÁVEZ MADRID</w:t>
      </w:r>
      <w:r w:rsidRPr="008355F8">
        <w:rPr>
          <w:rFonts w:ascii="Century Gothic" w:eastAsia="Times New Roman" w:hAnsi="Century Gothic" w:cs="Soberana Sans"/>
          <w:sz w:val="24"/>
          <w:szCs w:val="24"/>
          <w:lang w:val="es-ES_tradnl" w:eastAsia="es-MX"/>
        </w:rPr>
        <w:t xml:space="preserve">, en mi carácter de diputado </w:t>
      </w:r>
      <w:r w:rsidR="004F09A2" w:rsidRPr="008355F8">
        <w:rPr>
          <w:rFonts w:ascii="Century Gothic" w:eastAsia="Times New Roman" w:hAnsi="Century Gothic" w:cs="Soberana Sans"/>
          <w:sz w:val="24"/>
          <w:szCs w:val="24"/>
          <w:lang w:val="es-ES_tradnl" w:eastAsia="es-MX"/>
        </w:rPr>
        <w:t>de</w:t>
      </w:r>
      <w:r w:rsidRPr="008355F8">
        <w:rPr>
          <w:rFonts w:ascii="Century Gothic" w:eastAsia="Times New Roman" w:hAnsi="Century Gothic" w:cs="Soberana Sans"/>
          <w:sz w:val="24"/>
          <w:szCs w:val="24"/>
          <w:lang w:val="es-ES_tradnl" w:eastAsia="es-MX"/>
        </w:rPr>
        <w:t xml:space="preserve"> la Sexagésima Octava Legislatura del Honorable Congreso del Estado; en uso de las atribuciones conferidas por los artículos 64 fracciones I y II, 68 fracción I, de la Constitución Política del Estado de Chihuahua; 167, fracción I y 172 de la Ley Orgánica del Poder Legislativo; así como 75 y 76 del Reglamento Interior y de Prácticas Parlamentarias, comparezco ante esta Honorable Representación Popular, para presentar iniciativa con carácter </w:t>
      </w:r>
      <w:r w:rsidRPr="008355F8">
        <w:rPr>
          <w:rFonts w:ascii="Century Gothic" w:eastAsia="Times New Roman" w:hAnsi="Century Gothic" w:cs="Soberana Sans"/>
          <w:b/>
          <w:sz w:val="24"/>
          <w:szCs w:val="24"/>
          <w:lang w:val="es-ES_tradnl" w:eastAsia="es-MX"/>
        </w:rPr>
        <w:t>DECRETO</w:t>
      </w:r>
      <w:r w:rsidRPr="008355F8">
        <w:rPr>
          <w:rFonts w:ascii="Century Gothic" w:eastAsia="Times New Roman" w:hAnsi="Century Gothic" w:cs="Arial"/>
          <w:b/>
          <w:sz w:val="24"/>
          <w:szCs w:val="24"/>
          <w:lang w:val="es-ES_tradnl"/>
        </w:rPr>
        <w:t xml:space="preserve">, </w:t>
      </w:r>
      <w:r w:rsidRPr="008355F8">
        <w:rPr>
          <w:rFonts w:ascii="Century Gothic" w:eastAsia="Times New Roman" w:hAnsi="Century Gothic" w:cs="Arial"/>
          <w:bCs/>
          <w:sz w:val="24"/>
          <w:szCs w:val="24"/>
          <w:lang w:val="es-ES_tradnl"/>
        </w:rPr>
        <w:t>a fin de reformar el artículo 281 del Código Civil del Estado de Chihuahua, en materia de alimentos de hijos a padres durante la vejez</w:t>
      </w:r>
      <w:r w:rsidRPr="008355F8">
        <w:rPr>
          <w:rFonts w:ascii="Century Gothic" w:eastAsia="Times New Roman" w:hAnsi="Century Gothic" w:cs="Arial"/>
          <w:sz w:val="24"/>
          <w:szCs w:val="24"/>
          <w:lang w:val="es-ES_tradnl"/>
        </w:rPr>
        <w:t xml:space="preserve">, </w:t>
      </w:r>
      <w:r w:rsidRPr="008355F8">
        <w:rPr>
          <w:rFonts w:ascii="Century Gothic" w:eastAsia="Times New Roman" w:hAnsi="Century Gothic" w:cs="Arial"/>
          <w:bCs/>
          <w:sz w:val="24"/>
          <w:szCs w:val="24"/>
          <w:lang w:val="es-ES_tradnl"/>
        </w:rPr>
        <w:t>ello, al tenor de la siguiente:</w:t>
      </w:r>
    </w:p>
    <w:p w14:paraId="7B18B7B2" w14:textId="77777777" w:rsidR="005B4D3F" w:rsidRPr="008355F8" w:rsidRDefault="005B4D3F" w:rsidP="005B4D3F">
      <w:pPr>
        <w:rPr>
          <w:rFonts w:ascii="Century Gothic" w:eastAsia="Times New Roman" w:hAnsi="Century Gothic" w:cs="Arial"/>
          <w:b/>
          <w:bCs/>
          <w:sz w:val="24"/>
          <w:szCs w:val="24"/>
          <w:lang w:val="es-ES_tradnl"/>
        </w:rPr>
      </w:pPr>
    </w:p>
    <w:p w14:paraId="7E4C29A9" w14:textId="77777777" w:rsidR="005B4D3F" w:rsidRPr="008355F8" w:rsidRDefault="005B4D3F" w:rsidP="005B4D3F">
      <w:pPr>
        <w:jc w:val="center"/>
        <w:rPr>
          <w:rFonts w:ascii="Century Gothic" w:eastAsia="Times New Roman" w:hAnsi="Century Gothic" w:cs="Arial"/>
          <w:b/>
          <w:bCs/>
          <w:sz w:val="24"/>
          <w:szCs w:val="24"/>
          <w:lang w:val="es-ES_tradnl"/>
        </w:rPr>
      </w:pPr>
      <w:r w:rsidRPr="008355F8">
        <w:rPr>
          <w:rFonts w:ascii="Century Gothic" w:eastAsia="Times New Roman" w:hAnsi="Century Gothic" w:cs="Arial"/>
          <w:b/>
          <w:bCs/>
          <w:sz w:val="24"/>
          <w:szCs w:val="24"/>
          <w:lang w:val="es-ES_tradnl"/>
        </w:rPr>
        <w:t>EXPOSICIÓN DE MOTIVOS</w:t>
      </w:r>
    </w:p>
    <w:p w14:paraId="4AE73E4B" w14:textId="77777777" w:rsidR="005B4D3F" w:rsidRPr="008355F8" w:rsidRDefault="005B4D3F" w:rsidP="005B4D3F">
      <w:pPr>
        <w:jc w:val="center"/>
        <w:rPr>
          <w:rFonts w:ascii="Century Gothic" w:eastAsia="Times New Roman" w:hAnsi="Century Gothic" w:cs="Arial"/>
          <w:b/>
          <w:bCs/>
          <w:sz w:val="24"/>
          <w:szCs w:val="24"/>
          <w:lang w:val="es-ES_tradnl"/>
        </w:rPr>
      </w:pPr>
    </w:p>
    <w:p w14:paraId="244D8D81" w14:textId="77777777"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 xml:space="preserve">El primer contacto del ser humano con la sociedad no es con las instituciones, ni con el </w:t>
      </w:r>
      <w:proofErr w:type="spellStart"/>
      <w:r w:rsidRPr="008355F8">
        <w:rPr>
          <w:rFonts w:ascii="Century Gothic" w:eastAsia="Times New Roman" w:hAnsi="Century Gothic" w:cs="Arial"/>
          <w:sz w:val="24"/>
          <w:szCs w:val="24"/>
          <w:lang w:val="es-ES_tradnl"/>
        </w:rPr>
        <w:t>el</w:t>
      </w:r>
      <w:proofErr w:type="spellEnd"/>
      <w:r w:rsidRPr="008355F8">
        <w:rPr>
          <w:rFonts w:ascii="Century Gothic" w:eastAsia="Times New Roman" w:hAnsi="Century Gothic" w:cs="Arial"/>
          <w:sz w:val="24"/>
          <w:szCs w:val="24"/>
          <w:lang w:val="es-ES_tradnl"/>
        </w:rPr>
        <w:t xml:space="preserve"> Estado, ni con el derecho: es con la familia. Es en ese núcleo donde aprendemos a recibir y a dar, donde se forjan los primeros vínculos, la independencia y también el cuidado, donde se nos enseña que ningún ser humano puede subsistir solo. La familia es, antes que cualquier estructura jurídica, la respuesta más antigua de la humanidad a aprender a vivir en sociedad.</w:t>
      </w:r>
    </w:p>
    <w:p w14:paraId="4E3A4190" w14:textId="77777777" w:rsidR="005B4D3F" w:rsidRPr="008355F8" w:rsidRDefault="005B4D3F" w:rsidP="005B4D3F">
      <w:pPr>
        <w:spacing w:line="360" w:lineRule="auto"/>
        <w:jc w:val="both"/>
        <w:rPr>
          <w:rFonts w:ascii="Century Gothic" w:eastAsia="Times New Roman" w:hAnsi="Century Gothic" w:cs="Arial"/>
          <w:sz w:val="24"/>
          <w:szCs w:val="24"/>
          <w:lang w:val="es-ES_tradnl"/>
        </w:rPr>
      </w:pPr>
    </w:p>
    <w:p w14:paraId="2BF217E4" w14:textId="77777777"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 xml:space="preserve">La fragilidad con la que nacemos no desaparece con los años. Regresa. Quien un día sostuvo a sus hijos en brazos puede llegar a necesitar que esos </w:t>
      </w:r>
      <w:r w:rsidRPr="008355F8">
        <w:rPr>
          <w:rFonts w:ascii="Century Gothic" w:eastAsia="Times New Roman" w:hAnsi="Century Gothic" w:cs="Arial"/>
          <w:sz w:val="24"/>
          <w:szCs w:val="24"/>
          <w:lang w:val="es-ES_tradnl"/>
        </w:rPr>
        <w:lastRenderedPageBreak/>
        <w:t>mismos hijos lo sostengan a él o a ella. Envejecer, enfermarse, perder la capacidad de proveerse lo necesario para vivir no debería verse como excepciones trágicas, sino como posibilidades reales que forman parte de la condición humana. Y cuando eso sucede, la familia vuelve a ser la primera línea de protección, incluso antes que cualquier Institución.</w:t>
      </w:r>
    </w:p>
    <w:p w14:paraId="018B52DC" w14:textId="23489CAF"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El derecho familiar ha respondido históricamente a esa realidad a través de la obligación de los alimentos. El Código Civil del Estado de Chihuahua, en su artículo 281, reconoce que los hijos deben alimentos a sus padres. Sin embargo, la redacción actual del artículo en comento resulta insuficiente frente a la complejidad de las situaciones que hoy enfrent</w:t>
      </w:r>
      <w:r w:rsidR="004F09A2" w:rsidRPr="008355F8">
        <w:rPr>
          <w:rFonts w:ascii="Century Gothic" w:eastAsia="Times New Roman" w:hAnsi="Century Gothic" w:cs="Arial"/>
          <w:sz w:val="24"/>
          <w:szCs w:val="24"/>
          <w:lang w:val="es-ES_tradnl"/>
        </w:rPr>
        <w:t>a</w:t>
      </w:r>
      <w:r w:rsidRPr="008355F8">
        <w:rPr>
          <w:rFonts w:ascii="Century Gothic" w:eastAsia="Times New Roman" w:hAnsi="Century Gothic" w:cs="Arial"/>
          <w:sz w:val="24"/>
          <w:szCs w:val="24"/>
          <w:lang w:val="es-ES_tradnl"/>
        </w:rPr>
        <w:t xml:space="preserve">n miles de adultos mayores en Chihuahua. Actualmente, la ley no precisa en qué circunstancias nace esa obligación, lo que genera incertidumbre jurídica para quienes más necesitan claridad: las personas mayores que dependen de sus </w:t>
      </w:r>
      <w:r w:rsidR="004F09A2" w:rsidRPr="008355F8">
        <w:rPr>
          <w:rFonts w:ascii="Century Gothic" w:eastAsia="Times New Roman" w:hAnsi="Century Gothic" w:cs="Arial"/>
          <w:sz w:val="24"/>
          <w:szCs w:val="24"/>
          <w:lang w:val="es-ES_tradnl"/>
        </w:rPr>
        <w:t>h</w:t>
      </w:r>
      <w:r w:rsidRPr="008355F8">
        <w:rPr>
          <w:rFonts w:ascii="Century Gothic" w:eastAsia="Times New Roman" w:hAnsi="Century Gothic" w:cs="Arial"/>
          <w:sz w:val="24"/>
          <w:szCs w:val="24"/>
          <w:lang w:val="es-ES_tradnl"/>
        </w:rPr>
        <w:t xml:space="preserve">ijos para subsistir, y las hijas e hijos que, de buena fe, quieren </w:t>
      </w:r>
      <w:proofErr w:type="gramStart"/>
      <w:r w:rsidRPr="008355F8">
        <w:rPr>
          <w:rFonts w:ascii="Century Gothic" w:eastAsia="Times New Roman" w:hAnsi="Century Gothic" w:cs="Arial"/>
          <w:sz w:val="24"/>
          <w:szCs w:val="24"/>
          <w:lang w:val="es-ES_tradnl"/>
        </w:rPr>
        <w:t>cumplir</w:t>
      </w:r>
      <w:proofErr w:type="gramEnd"/>
      <w:r w:rsidRPr="008355F8">
        <w:rPr>
          <w:rFonts w:ascii="Century Gothic" w:eastAsia="Times New Roman" w:hAnsi="Century Gothic" w:cs="Arial"/>
          <w:sz w:val="24"/>
          <w:szCs w:val="24"/>
          <w:lang w:val="es-ES_tradnl"/>
        </w:rPr>
        <w:t xml:space="preserve"> pero no tienen una norma lo suficientemente clara que los oriente.</w:t>
      </w:r>
    </w:p>
    <w:p w14:paraId="58F66AE8" w14:textId="77777777"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La reforma que se propone responde a esa necesidad con sencillez y precisión. Se trata de actualizar el artículo 281 para que refleje expresamente lo que la realidad ya nos muestra todos los días.</w:t>
      </w:r>
    </w:p>
    <w:p w14:paraId="00702DD6" w14:textId="74D11F66"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Nuestra Carta Magna es clara en ese sentido. El artículo primero de la Constitución Política de los Estados Unidos Mexicanos obliga a todas las autoridades a promover, respetar, proteger y garantizar los derechos humanos conforme a los principios de universalidad, interdependencia, indivisibilidad y progresividad. Asimismo, el artículo cuarto consagra el derecho de todas las personas a una alimentación nutritiva, suficiente y de calidad, así como a la protección de la salud y a vivir dignamente. Estos mandatos no son declaraciones nulas</w:t>
      </w:r>
      <w:r w:rsidR="004F09A2" w:rsidRPr="008355F8">
        <w:rPr>
          <w:rFonts w:ascii="Century Gothic" w:eastAsia="Times New Roman" w:hAnsi="Century Gothic" w:cs="Arial"/>
          <w:sz w:val="24"/>
          <w:szCs w:val="24"/>
          <w:lang w:val="es-ES_tradnl"/>
        </w:rPr>
        <w:t>;</w:t>
      </w:r>
      <w:r w:rsidRPr="008355F8">
        <w:rPr>
          <w:rFonts w:ascii="Century Gothic" w:eastAsia="Times New Roman" w:hAnsi="Century Gothic" w:cs="Arial"/>
          <w:sz w:val="24"/>
          <w:szCs w:val="24"/>
          <w:lang w:val="es-ES_tradnl"/>
        </w:rPr>
        <w:t xml:space="preserve"> se traducen en la obligación concreta que tenemos como legisladores de construir leyes y normas que </w:t>
      </w:r>
      <w:r w:rsidRPr="008355F8">
        <w:rPr>
          <w:rFonts w:ascii="Century Gothic" w:eastAsia="Times New Roman" w:hAnsi="Century Gothic" w:cs="Arial"/>
          <w:sz w:val="24"/>
          <w:szCs w:val="24"/>
          <w:lang w:val="es-ES_tradnl"/>
        </w:rPr>
        <w:lastRenderedPageBreak/>
        <w:t>los hagan efectivos, particularmente para quienes se encuentran en situación de vulnerabilidad.</w:t>
      </w:r>
    </w:p>
    <w:p w14:paraId="6A9B2ABB" w14:textId="77777777"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A nivel internacional, los compromisos del País apuntan en la misma dirección. La Declaración Universal de los Derechos Humanos reconoce el derecho de toda persona a un nivel de vida adecuado que le asegure la salud y el bienestar, incluyendo la alimentación, la vestimenta, la vivienda y los servicios médicos necesarios, con especial atención a la vejez y a la enfermedad. El Pacto Internacional de Derechos Económicos, Sociales y Culturales reafirma este derecho y obliga a los Estados a adoptar medidas concretar para su realización progresiva. La Convención Interamericana sobre la Protección de los Derechos Humanos de las Personas Mayores, instrumento del que México forma parte, impone a los Estados la obligación de asegurar que los adultos mayores vivan con dignidad y reciban apoyo cuando carezcan de recursos propios, reconociendo a la familia como núcleo fundamental de protección.</w:t>
      </w:r>
    </w:p>
    <w:p w14:paraId="675F698F" w14:textId="77777777" w:rsidR="004F09A2"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 xml:space="preserve">En ese sentido, la realidad chihuahuense urge robustecer y actualizar la normatividad. De acuerdo con datos del Instituto Nacional de Estadística y Geografía (INEGI), en México más de dieciocho millones de personas son adultas mayores; en Chihuahua, conforme a las Proyecciones de Población 2020-2070 del Consejo Nacional de Población (CONAPO), esta cifra asciende a más de 508 mil personas de 60 años o más, lo que representa el 12% de la población estatal, y una proporción significativa de ellas enfrenta condiciones de pobreza, desempleo o dependencia económica. </w:t>
      </w:r>
      <w:r w:rsidR="004F09A2" w:rsidRPr="008355F8">
        <w:rPr>
          <w:rFonts w:ascii="Century Gothic" w:eastAsia="Times New Roman" w:hAnsi="Century Gothic" w:cs="Arial"/>
          <w:sz w:val="24"/>
          <w:szCs w:val="24"/>
          <w:lang w:val="es-ES_tradnl"/>
        </w:rPr>
        <w:t>C</w:t>
      </w:r>
      <w:r w:rsidRPr="008355F8">
        <w:rPr>
          <w:rFonts w:ascii="Century Gothic" w:eastAsia="Times New Roman" w:hAnsi="Century Gothic" w:cs="Arial"/>
          <w:sz w:val="24"/>
          <w:szCs w:val="24"/>
          <w:lang w:val="es-ES_tradnl"/>
        </w:rPr>
        <w:t xml:space="preserve">ada año son más las familias que deben resolver cómo garantizar el sustento de sus padres. </w:t>
      </w:r>
    </w:p>
    <w:p w14:paraId="5DC3266B" w14:textId="179E5395"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Aquello que no se nombra, no existe y circunstancias como la vejez, la enfermedad crónica, la discapacidad</w:t>
      </w:r>
      <w:r w:rsidR="004F09A2" w:rsidRPr="008355F8">
        <w:rPr>
          <w:rFonts w:ascii="Century Gothic" w:eastAsia="Times New Roman" w:hAnsi="Century Gothic" w:cs="Arial"/>
          <w:sz w:val="24"/>
          <w:szCs w:val="24"/>
          <w:lang w:val="es-ES_tradnl"/>
        </w:rPr>
        <w:t xml:space="preserve"> y</w:t>
      </w:r>
      <w:r w:rsidRPr="008355F8">
        <w:rPr>
          <w:rFonts w:ascii="Century Gothic" w:eastAsia="Times New Roman" w:hAnsi="Century Gothic" w:cs="Arial"/>
          <w:sz w:val="24"/>
          <w:szCs w:val="24"/>
          <w:lang w:val="es-ES_tradnl"/>
        </w:rPr>
        <w:t xml:space="preserve"> la pérdida de empleo, son reales, cotidianas y dejan a los adultos mayores sin la posibilidad de proveerse por </w:t>
      </w:r>
      <w:r w:rsidRPr="008355F8">
        <w:rPr>
          <w:rFonts w:ascii="Century Gothic" w:eastAsia="Times New Roman" w:hAnsi="Century Gothic" w:cs="Arial"/>
          <w:sz w:val="24"/>
          <w:szCs w:val="24"/>
          <w:lang w:val="es-ES_tradnl"/>
        </w:rPr>
        <w:lastRenderedPageBreak/>
        <w:t>sí mismos lo indispensable para vivir. La falta de su implementación en el Código Civil las puede volver invisibles para quienes administran justicia.</w:t>
      </w:r>
    </w:p>
    <w:p w14:paraId="22A5BE0D" w14:textId="77777777"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La propuesta amplía el supuesto de la obligación para precisar que ésta nace cuando los padres carezcan de medios suficientes para proveerse alimentos por sí mismos y enumerar de manera enunciativa más no limitativa las circunstancias que pueden generar esa carencia: la vejez, la enfermedad, la discapacidad o cualquier otra situación que les impida proveerse los recursos necesarios para su subsistencia.</w:t>
      </w:r>
    </w:p>
    <w:p w14:paraId="4B78B0C5" w14:textId="77777777"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Pero la propuesta no es solamente ampliar la obligación. También la equilibra.</w:t>
      </w:r>
    </w:p>
    <w:p w14:paraId="6E89A33F" w14:textId="24A62347" w:rsidR="005B4D3F" w:rsidRPr="008355F8" w:rsidRDefault="005B4D3F" w:rsidP="005B4D3F">
      <w:pPr>
        <w:spacing w:line="360" w:lineRule="auto"/>
        <w:jc w:val="both"/>
        <w:rPr>
          <w:rFonts w:ascii="Century Gothic" w:eastAsia="Times New Roman" w:hAnsi="Century Gothic" w:cs="Arial"/>
          <w:sz w:val="24"/>
          <w:szCs w:val="24"/>
          <w:lang w:val="es-ES_tradnl"/>
        </w:rPr>
      </w:pPr>
      <w:r w:rsidRPr="008355F8">
        <w:rPr>
          <w:rFonts w:ascii="Century Gothic" w:eastAsia="Times New Roman" w:hAnsi="Century Gothic" w:cs="Arial"/>
          <w:sz w:val="24"/>
          <w:szCs w:val="24"/>
          <w:lang w:val="es-ES_tradnl"/>
        </w:rPr>
        <w:t xml:space="preserve">La obligación de dar alimentos nace de la reciprocidad, del vínculo, pero ese vínculo no puede ser unilateral. No es posible exigir solidaridad a quien fue abandonado. No es justo imponer una deuda a quien nunca tuvo quién la cubriera; Por ello, la presente iniciativa pretende reformar y establecer expresamente que quedan exceptuados de la obligación de alimentos hacia padres, los hijos respecto de aquellos padres que incumplieron injustificadamente con su deber alimentario hacia sus hijos. La obligación alimentaria es recíproca desde su origen y quien no sembró, no puede exigir cosecha. </w:t>
      </w:r>
      <w:bookmarkStart w:id="0" w:name="OLE_LINK5"/>
      <w:bookmarkStart w:id="1" w:name="_Hlk179372689"/>
    </w:p>
    <w:bookmarkEnd w:id="0"/>
    <w:p w14:paraId="31488CF7" w14:textId="77777777" w:rsidR="005B4D3F" w:rsidRPr="008355F8" w:rsidRDefault="005B4D3F" w:rsidP="005B4D3F">
      <w:pPr>
        <w:spacing w:line="360" w:lineRule="auto"/>
        <w:jc w:val="both"/>
        <w:rPr>
          <w:rFonts w:ascii="Century Gothic" w:eastAsia="Century Gothic" w:hAnsi="Century Gothic" w:cs="Century Gothic"/>
          <w:color w:val="252525"/>
          <w:sz w:val="24"/>
          <w:szCs w:val="24"/>
          <w:lang w:val="es-ES_tradnl"/>
        </w:rPr>
      </w:pPr>
      <w:r w:rsidRPr="008355F8">
        <w:rPr>
          <w:rFonts w:ascii="Century Gothic" w:eastAsia="Century Gothic" w:hAnsi="Century Gothic" w:cs="Century Gothic"/>
          <w:color w:val="252525"/>
          <w:sz w:val="24"/>
          <w:szCs w:val="24"/>
          <w:lang w:val="es-ES_tradnl"/>
        </w:rPr>
        <w:t>Por lo anteriormente expuesto me permito presentar la siguiente iniciativa con carácter de:</w:t>
      </w:r>
    </w:p>
    <w:p w14:paraId="4754BAEB" w14:textId="77777777" w:rsidR="005B4D3F" w:rsidRPr="008355F8" w:rsidRDefault="005B4D3F" w:rsidP="005B4D3F">
      <w:pPr>
        <w:spacing w:line="360" w:lineRule="auto"/>
        <w:jc w:val="both"/>
        <w:rPr>
          <w:rFonts w:ascii="Century Gothic" w:eastAsia="Century Gothic" w:hAnsi="Century Gothic" w:cs="Century Gothic"/>
          <w:color w:val="252525"/>
          <w:sz w:val="24"/>
          <w:szCs w:val="24"/>
          <w:lang w:val="es-ES_tradnl"/>
        </w:rPr>
      </w:pPr>
    </w:p>
    <w:p w14:paraId="1893A563" w14:textId="77777777" w:rsidR="005B4D3F" w:rsidRPr="008355F8" w:rsidRDefault="005B4D3F" w:rsidP="005B4D3F">
      <w:pPr>
        <w:spacing w:line="360" w:lineRule="auto"/>
        <w:jc w:val="center"/>
        <w:rPr>
          <w:rFonts w:ascii="Century Gothic" w:eastAsia="Century Gothic" w:hAnsi="Century Gothic" w:cs="Century Gothic"/>
          <w:b/>
          <w:sz w:val="24"/>
          <w:szCs w:val="24"/>
          <w:lang w:val="es-ES_tradnl"/>
        </w:rPr>
      </w:pPr>
      <w:r w:rsidRPr="008355F8">
        <w:rPr>
          <w:rFonts w:ascii="Century Gothic" w:eastAsia="Century Gothic" w:hAnsi="Century Gothic" w:cs="Century Gothic"/>
          <w:b/>
          <w:sz w:val="24"/>
          <w:szCs w:val="24"/>
          <w:lang w:val="es-ES_tradnl"/>
        </w:rPr>
        <w:t>DECRETO:</w:t>
      </w:r>
    </w:p>
    <w:p w14:paraId="733C7C89" w14:textId="37C8BC32" w:rsidR="005B4D3F" w:rsidRPr="008355F8" w:rsidRDefault="005B4D3F" w:rsidP="005B4D3F">
      <w:pPr>
        <w:spacing w:line="360" w:lineRule="auto"/>
        <w:jc w:val="both"/>
        <w:rPr>
          <w:rFonts w:ascii="Century Gothic" w:eastAsia="Times New Roman" w:hAnsi="Century Gothic" w:cs="Times New Roman"/>
          <w:sz w:val="24"/>
          <w:szCs w:val="24"/>
          <w:lang w:val="es-ES_tradnl"/>
        </w:rPr>
      </w:pPr>
      <w:r w:rsidRPr="008355F8">
        <w:rPr>
          <w:rFonts w:ascii="Century Gothic" w:eastAsia="Times New Roman" w:hAnsi="Century Gothic" w:cs="Times New Roman"/>
          <w:b/>
          <w:bCs/>
          <w:sz w:val="24"/>
          <w:szCs w:val="24"/>
          <w:lang w:val="es-ES_tradnl"/>
        </w:rPr>
        <w:t>ARTÍCULO ÚNICO.</w:t>
      </w:r>
      <w:r w:rsidRPr="008355F8">
        <w:rPr>
          <w:rFonts w:ascii="Century Gothic" w:eastAsia="Times New Roman" w:hAnsi="Century Gothic" w:cs="Times New Roman"/>
          <w:sz w:val="24"/>
          <w:szCs w:val="24"/>
          <w:lang w:val="es-ES_tradnl"/>
        </w:rPr>
        <w:t xml:space="preserve"> </w:t>
      </w:r>
      <w:bookmarkEnd w:id="1"/>
      <w:r w:rsidRPr="008355F8">
        <w:rPr>
          <w:rFonts w:ascii="Century Gothic" w:eastAsia="Times New Roman" w:hAnsi="Century Gothic" w:cs="Times New Roman"/>
          <w:sz w:val="24"/>
          <w:szCs w:val="24"/>
          <w:lang w:val="es-ES_tradnl"/>
        </w:rPr>
        <w:t xml:space="preserve">Se </w:t>
      </w:r>
      <w:r w:rsidRPr="008355F8">
        <w:rPr>
          <w:rFonts w:ascii="Century Gothic" w:eastAsia="Times New Roman" w:hAnsi="Century Gothic" w:cs="Times New Roman"/>
          <w:b/>
          <w:bCs/>
          <w:sz w:val="24"/>
          <w:szCs w:val="24"/>
          <w:lang w:val="es-ES_tradnl"/>
        </w:rPr>
        <w:t>REFORMA</w:t>
      </w:r>
      <w:r w:rsidRPr="008355F8">
        <w:rPr>
          <w:rFonts w:ascii="Century Gothic" w:eastAsia="Times New Roman" w:hAnsi="Century Gothic" w:cs="Times New Roman"/>
          <w:sz w:val="24"/>
          <w:szCs w:val="24"/>
          <w:lang w:val="es-ES_tradnl"/>
        </w:rPr>
        <w:t xml:space="preserve"> el artículo 281 </w:t>
      </w:r>
      <w:r w:rsidR="003F2478" w:rsidRPr="008355F8">
        <w:rPr>
          <w:rFonts w:ascii="Century Gothic" w:eastAsia="Times New Roman" w:hAnsi="Century Gothic" w:cs="Times New Roman"/>
          <w:sz w:val="24"/>
          <w:szCs w:val="24"/>
          <w:lang w:val="es-ES_tradnl"/>
        </w:rPr>
        <w:t xml:space="preserve">y se le </w:t>
      </w:r>
      <w:r w:rsidR="003F2478" w:rsidRPr="008355F8">
        <w:rPr>
          <w:rFonts w:ascii="Century Gothic" w:eastAsia="Times New Roman" w:hAnsi="Century Gothic" w:cs="Times New Roman"/>
          <w:b/>
          <w:bCs/>
          <w:sz w:val="24"/>
          <w:szCs w:val="24"/>
          <w:lang w:val="es-ES_tradnl"/>
        </w:rPr>
        <w:t xml:space="preserve">ADICIONA </w:t>
      </w:r>
      <w:r w:rsidR="003F2478" w:rsidRPr="008355F8">
        <w:rPr>
          <w:rFonts w:ascii="Century Gothic" w:eastAsia="Times New Roman" w:hAnsi="Century Gothic" w:cs="Times New Roman"/>
          <w:sz w:val="24"/>
          <w:szCs w:val="24"/>
          <w:lang w:val="es-ES_tradnl"/>
        </w:rPr>
        <w:t xml:space="preserve">un segundo párrafo, </w:t>
      </w:r>
      <w:r w:rsidRPr="008355F8">
        <w:rPr>
          <w:rFonts w:ascii="Century Gothic" w:eastAsia="Times New Roman" w:hAnsi="Century Gothic" w:cs="Times New Roman"/>
          <w:sz w:val="24"/>
          <w:szCs w:val="24"/>
          <w:lang w:val="es-ES_tradnl"/>
        </w:rPr>
        <w:t xml:space="preserve">del Código Civil del Estado de Chihuahua, para quedar redactado de la siguiente manera: </w:t>
      </w:r>
    </w:p>
    <w:p w14:paraId="72828F19" w14:textId="4D46247B" w:rsidR="005B4D3F" w:rsidRPr="008355F8" w:rsidRDefault="005B4D3F" w:rsidP="005B4D3F">
      <w:pPr>
        <w:spacing w:line="360" w:lineRule="auto"/>
        <w:jc w:val="both"/>
        <w:rPr>
          <w:rFonts w:ascii="Century Gothic" w:eastAsia="Times New Roman" w:hAnsi="Century Gothic" w:cs="Times New Roman"/>
          <w:sz w:val="24"/>
          <w:szCs w:val="24"/>
          <w:lang w:val="es-ES_tradnl"/>
        </w:rPr>
      </w:pPr>
      <w:r w:rsidRPr="008355F8">
        <w:rPr>
          <w:rFonts w:ascii="Century Gothic" w:eastAsia="Times New Roman" w:hAnsi="Century Gothic" w:cs="Times New Roman"/>
          <w:b/>
          <w:bCs/>
          <w:sz w:val="24"/>
          <w:szCs w:val="24"/>
          <w:lang w:val="es-ES_tradnl"/>
        </w:rPr>
        <w:lastRenderedPageBreak/>
        <w:t xml:space="preserve">Artículo 281. </w:t>
      </w:r>
      <w:r w:rsidRPr="008355F8">
        <w:rPr>
          <w:rFonts w:ascii="Century Gothic" w:eastAsia="Times New Roman" w:hAnsi="Century Gothic" w:cs="Times New Roman"/>
          <w:sz w:val="24"/>
          <w:szCs w:val="24"/>
          <w:lang w:val="es-ES_tradnl"/>
        </w:rPr>
        <w:t>Los hijos están obligados a dar alimentos a los</w:t>
      </w:r>
      <w:r w:rsidRPr="008355F8">
        <w:rPr>
          <w:rFonts w:ascii="Century Gothic" w:eastAsia="Times New Roman" w:hAnsi="Century Gothic" w:cs="Times New Roman"/>
          <w:b/>
          <w:bCs/>
          <w:sz w:val="24"/>
          <w:szCs w:val="24"/>
          <w:lang w:val="es-ES_tradnl"/>
        </w:rPr>
        <w:t xml:space="preserve"> padres cuando éstos carezcan de medios suficientes para proveérselos por sí mismos, ya sea por razón de vejez, enfermedad, discapacidad o cualquier otra circunstancia que les impida allegarse </w:t>
      </w:r>
      <w:r w:rsidR="000627C5" w:rsidRPr="008355F8">
        <w:rPr>
          <w:rFonts w:ascii="Century Gothic" w:eastAsia="Times New Roman" w:hAnsi="Century Gothic" w:cs="Times New Roman"/>
          <w:b/>
          <w:bCs/>
          <w:sz w:val="24"/>
          <w:szCs w:val="24"/>
          <w:lang w:val="es-ES_tradnl"/>
        </w:rPr>
        <w:t xml:space="preserve">de </w:t>
      </w:r>
      <w:r w:rsidRPr="008355F8">
        <w:rPr>
          <w:rFonts w:ascii="Century Gothic" w:eastAsia="Times New Roman" w:hAnsi="Century Gothic" w:cs="Times New Roman"/>
          <w:b/>
          <w:bCs/>
          <w:sz w:val="24"/>
          <w:szCs w:val="24"/>
          <w:lang w:val="es-ES_tradnl"/>
        </w:rPr>
        <w:t xml:space="preserve">los recursos necesarios para su subsistencia. </w:t>
      </w:r>
      <w:r w:rsidRPr="008355F8">
        <w:rPr>
          <w:rFonts w:ascii="Century Gothic" w:eastAsia="Times New Roman" w:hAnsi="Century Gothic" w:cs="Times New Roman"/>
          <w:sz w:val="24"/>
          <w:szCs w:val="24"/>
          <w:lang w:val="es-ES_tradnl"/>
        </w:rPr>
        <w:t>A falta o por imposibilidad de los hijos, lo están los descendientes más próximos en grado.</w:t>
      </w:r>
    </w:p>
    <w:p w14:paraId="15B8B18A" w14:textId="462F91E2" w:rsidR="005B4D3F" w:rsidRPr="008355F8" w:rsidRDefault="005B4D3F" w:rsidP="005B4D3F">
      <w:pPr>
        <w:spacing w:line="360" w:lineRule="auto"/>
        <w:jc w:val="both"/>
        <w:rPr>
          <w:rFonts w:ascii="Century Gothic" w:eastAsia="Times New Roman" w:hAnsi="Century Gothic" w:cs="Times New Roman"/>
          <w:b/>
          <w:bCs/>
          <w:sz w:val="24"/>
          <w:szCs w:val="24"/>
          <w:lang w:val="es-ES_tradnl"/>
        </w:rPr>
      </w:pPr>
      <w:r w:rsidRPr="008355F8">
        <w:rPr>
          <w:rFonts w:ascii="Century Gothic" w:eastAsia="Times New Roman" w:hAnsi="Century Gothic" w:cs="Times New Roman"/>
          <w:b/>
          <w:bCs/>
          <w:sz w:val="24"/>
          <w:szCs w:val="24"/>
          <w:lang w:val="es-ES_tradnl"/>
        </w:rPr>
        <w:t xml:space="preserve">Quedan exceptuados de esta obligación los hijos respecto de aquellos padres que se encuentren inscritos en el </w:t>
      </w:r>
      <w:r w:rsidR="003F2478" w:rsidRPr="008355F8">
        <w:rPr>
          <w:rFonts w:ascii="Century Gothic" w:eastAsia="Times New Roman" w:hAnsi="Century Gothic" w:cs="Times New Roman"/>
          <w:b/>
          <w:bCs/>
          <w:sz w:val="24"/>
          <w:szCs w:val="24"/>
          <w:lang w:val="es-ES_tradnl"/>
        </w:rPr>
        <w:t>Registro Estatal de Personas Deudoras Alimentarias Morosas</w:t>
      </w:r>
      <w:r w:rsidRPr="008355F8">
        <w:rPr>
          <w:rFonts w:ascii="Century Gothic" w:eastAsia="Times New Roman" w:hAnsi="Century Gothic" w:cs="Times New Roman"/>
          <w:b/>
          <w:bCs/>
          <w:sz w:val="24"/>
          <w:szCs w:val="24"/>
          <w:lang w:val="es-ES_tradnl"/>
        </w:rPr>
        <w:t>, o en los casos que establezca este Código.</w:t>
      </w:r>
    </w:p>
    <w:p w14:paraId="697FAD8F" w14:textId="77777777" w:rsidR="005B4D3F" w:rsidRPr="008355F8" w:rsidRDefault="005B4D3F" w:rsidP="005B4D3F">
      <w:pPr>
        <w:spacing w:line="360" w:lineRule="auto"/>
        <w:jc w:val="both"/>
        <w:rPr>
          <w:rFonts w:ascii="Century Gothic" w:eastAsia="Times New Roman" w:hAnsi="Century Gothic" w:cs="Times New Roman"/>
          <w:b/>
          <w:bCs/>
          <w:sz w:val="24"/>
          <w:szCs w:val="24"/>
          <w:lang w:val="es-ES_tradnl"/>
        </w:rPr>
      </w:pPr>
    </w:p>
    <w:p w14:paraId="62322A27" w14:textId="77777777" w:rsidR="005B4D3F" w:rsidRPr="008355F8" w:rsidRDefault="005B4D3F" w:rsidP="005B4D3F">
      <w:pPr>
        <w:spacing w:line="360" w:lineRule="auto"/>
        <w:jc w:val="center"/>
        <w:rPr>
          <w:rFonts w:ascii="Century Gothic" w:eastAsia="Times New Roman" w:hAnsi="Century Gothic" w:cs="Times New Roman"/>
          <w:b/>
          <w:spacing w:val="20"/>
          <w:sz w:val="24"/>
          <w:szCs w:val="24"/>
          <w:lang w:val="es-ES_tradnl"/>
        </w:rPr>
      </w:pPr>
      <w:r w:rsidRPr="008355F8">
        <w:rPr>
          <w:rFonts w:ascii="Century Gothic" w:eastAsia="Times New Roman" w:hAnsi="Century Gothic" w:cs="Times New Roman"/>
          <w:b/>
          <w:spacing w:val="20"/>
          <w:sz w:val="24"/>
          <w:szCs w:val="24"/>
          <w:lang w:val="es-ES_tradnl"/>
        </w:rPr>
        <w:t>TRANSITORIOS</w:t>
      </w:r>
    </w:p>
    <w:p w14:paraId="398806E4" w14:textId="3F2A0F93" w:rsidR="005B4D3F" w:rsidRPr="008355F8" w:rsidRDefault="005B4D3F" w:rsidP="005B4D3F">
      <w:pPr>
        <w:spacing w:line="360" w:lineRule="auto"/>
        <w:jc w:val="both"/>
        <w:rPr>
          <w:rFonts w:ascii="Century Gothic" w:eastAsia="Times New Roman" w:hAnsi="Century Gothic" w:cs="Times New Roman"/>
          <w:sz w:val="24"/>
          <w:szCs w:val="24"/>
          <w:lang w:val="es-ES_tradnl"/>
        </w:rPr>
      </w:pPr>
      <w:r w:rsidRPr="008355F8">
        <w:rPr>
          <w:rFonts w:ascii="Century Gothic" w:eastAsia="Times New Roman" w:hAnsi="Century Gothic" w:cs="Times New Roman"/>
          <w:b/>
          <w:sz w:val="24"/>
          <w:szCs w:val="24"/>
          <w:lang w:val="es-ES_tradnl"/>
        </w:rPr>
        <w:t xml:space="preserve">ARTÍCULO ÚNICO. – </w:t>
      </w:r>
      <w:r w:rsidRPr="008355F8">
        <w:rPr>
          <w:rFonts w:ascii="Century Gothic" w:eastAsia="Times New Roman" w:hAnsi="Century Gothic" w:cs="Times New Roman"/>
          <w:sz w:val="24"/>
          <w:szCs w:val="24"/>
          <w:lang w:val="es-ES_tradnl"/>
        </w:rPr>
        <w:t xml:space="preserve">El presente Decreto entrará en vigor al día siguiente de su publicación en el </w:t>
      </w:r>
      <w:r w:rsidR="003F2478" w:rsidRPr="008355F8">
        <w:rPr>
          <w:rFonts w:ascii="Century Gothic" w:eastAsia="Times New Roman" w:hAnsi="Century Gothic" w:cs="Times New Roman"/>
          <w:sz w:val="24"/>
          <w:szCs w:val="24"/>
          <w:lang w:val="es-ES_tradnl"/>
        </w:rPr>
        <w:t>Periódico Oficial del Estado</w:t>
      </w:r>
      <w:r w:rsidRPr="008355F8">
        <w:rPr>
          <w:rFonts w:ascii="Century Gothic" w:eastAsia="Times New Roman" w:hAnsi="Century Gothic" w:cs="Times New Roman"/>
          <w:sz w:val="24"/>
          <w:szCs w:val="24"/>
          <w:lang w:val="es-ES_tradnl"/>
        </w:rPr>
        <w:t>.</w:t>
      </w:r>
    </w:p>
    <w:p w14:paraId="327D21CF" w14:textId="77777777" w:rsidR="005B4D3F" w:rsidRPr="008355F8" w:rsidRDefault="005B4D3F" w:rsidP="005B4D3F">
      <w:pPr>
        <w:spacing w:line="360" w:lineRule="auto"/>
        <w:jc w:val="both"/>
        <w:rPr>
          <w:rFonts w:ascii="Century Gothic" w:eastAsia="Times New Roman" w:hAnsi="Century Gothic" w:cs="Times New Roman"/>
          <w:b/>
          <w:sz w:val="24"/>
          <w:szCs w:val="24"/>
          <w:lang w:val="es-ES_tradnl"/>
        </w:rPr>
      </w:pPr>
    </w:p>
    <w:p w14:paraId="0586D8E5" w14:textId="77777777" w:rsidR="005B4D3F" w:rsidRPr="008355F8" w:rsidRDefault="005B4D3F" w:rsidP="005B4D3F">
      <w:pPr>
        <w:spacing w:line="360" w:lineRule="auto"/>
        <w:jc w:val="both"/>
        <w:rPr>
          <w:rFonts w:ascii="Century Gothic" w:eastAsia="Times New Roman" w:hAnsi="Century Gothic" w:cs="Times New Roman"/>
          <w:sz w:val="24"/>
          <w:szCs w:val="24"/>
          <w:lang w:val="es-ES_tradnl"/>
        </w:rPr>
      </w:pPr>
      <w:proofErr w:type="gramStart"/>
      <w:r w:rsidRPr="008355F8">
        <w:rPr>
          <w:rFonts w:ascii="Century Gothic" w:eastAsia="Times New Roman" w:hAnsi="Century Gothic" w:cs="Times New Roman"/>
          <w:b/>
          <w:sz w:val="24"/>
          <w:szCs w:val="24"/>
          <w:lang w:val="es-ES_tradnl"/>
        </w:rPr>
        <w:t>ECONÓMICO.-</w:t>
      </w:r>
      <w:proofErr w:type="gramEnd"/>
      <w:r w:rsidRPr="008355F8">
        <w:rPr>
          <w:rFonts w:ascii="Century Gothic" w:eastAsia="Times New Roman" w:hAnsi="Century Gothic" w:cs="Times New Roman"/>
          <w:sz w:val="24"/>
          <w:szCs w:val="24"/>
          <w:lang w:val="es-ES_tradnl"/>
        </w:rPr>
        <w:t xml:space="preserve"> Aprobado que sea túrnese a la Secretaría para que elabore la minuta de decreto.  </w:t>
      </w:r>
    </w:p>
    <w:p w14:paraId="213B82BD" w14:textId="77777777" w:rsidR="005B4D3F" w:rsidRPr="008355F8" w:rsidRDefault="005B4D3F" w:rsidP="005B4D3F">
      <w:pPr>
        <w:spacing w:after="0" w:line="360" w:lineRule="auto"/>
        <w:jc w:val="both"/>
        <w:rPr>
          <w:rFonts w:ascii="Century Gothic" w:eastAsia="Times New Roman" w:hAnsi="Century Gothic" w:cs="Century Gothic"/>
          <w:b/>
          <w:color w:val="000000"/>
          <w:sz w:val="24"/>
          <w:szCs w:val="24"/>
          <w:lang w:val="es-ES_tradnl" w:eastAsia="es-MX"/>
        </w:rPr>
      </w:pPr>
    </w:p>
    <w:p w14:paraId="03135352" w14:textId="0FB752B7" w:rsidR="005B4D3F" w:rsidRPr="008355F8" w:rsidRDefault="005B4D3F" w:rsidP="005B4D3F">
      <w:pPr>
        <w:spacing w:line="360" w:lineRule="auto"/>
        <w:jc w:val="both"/>
        <w:rPr>
          <w:rFonts w:ascii="Century Gothic" w:eastAsia="Times New Roman" w:hAnsi="Century Gothic" w:cs="Century Gothic"/>
          <w:color w:val="000000"/>
          <w:sz w:val="24"/>
          <w:szCs w:val="24"/>
          <w:lang w:val="es-ES_tradnl" w:eastAsia="es-MX"/>
        </w:rPr>
      </w:pPr>
      <w:r w:rsidRPr="008355F8">
        <w:rPr>
          <w:rFonts w:ascii="Century Gothic" w:eastAsia="Times New Roman" w:hAnsi="Century Gothic" w:cs="Century Gothic"/>
          <w:color w:val="000000"/>
          <w:sz w:val="24"/>
          <w:szCs w:val="24"/>
          <w:lang w:val="es-ES_tradnl" w:eastAsia="es-MX"/>
        </w:rPr>
        <w:t>Dado en el recinto oficial del Poder Legislativo en la ciudad Chihuahua, a los</w:t>
      </w:r>
      <w:r w:rsidR="008355F8">
        <w:rPr>
          <w:rFonts w:ascii="Century Gothic" w:eastAsia="Times New Roman" w:hAnsi="Century Gothic" w:cs="Century Gothic"/>
          <w:color w:val="000000"/>
          <w:sz w:val="24"/>
          <w:szCs w:val="24"/>
          <w:lang w:val="es-ES_tradnl" w:eastAsia="es-MX"/>
        </w:rPr>
        <w:t xml:space="preserve"> ocho días de septiembre</w:t>
      </w:r>
      <w:r w:rsidRPr="008355F8">
        <w:rPr>
          <w:rFonts w:ascii="Century Gothic" w:eastAsia="Times New Roman" w:hAnsi="Century Gothic" w:cs="Century Gothic"/>
          <w:color w:val="000000"/>
          <w:sz w:val="24"/>
          <w:szCs w:val="24"/>
          <w:lang w:val="es-ES_tradnl" w:eastAsia="es-MX"/>
        </w:rPr>
        <w:t xml:space="preserve"> de dos mil veintiséis.</w:t>
      </w:r>
    </w:p>
    <w:p w14:paraId="17702F48" w14:textId="77777777" w:rsidR="005B4D3F" w:rsidRPr="008355F8" w:rsidRDefault="005B4D3F" w:rsidP="005B4D3F">
      <w:pPr>
        <w:spacing w:line="360" w:lineRule="auto"/>
        <w:jc w:val="both"/>
        <w:rPr>
          <w:rFonts w:ascii="Century Gothic" w:eastAsia="Times New Roman" w:hAnsi="Century Gothic" w:cs="Century Gothic"/>
          <w:color w:val="000000"/>
          <w:sz w:val="24"/>
          <w:szCs w:val="24"/>
          <w:lang w:val="es-ES_tradnl" w:eastAsia="es-MX"/>
        </w:rPr>
      </w:pPr>
    </w:p>
    <w:p w14:paraId="45D2A35E" w14:textId="77777777" w:rsidR="005B4D3F" w:rsidRPr="008355F8" w:rsidRDefault="005B4D3F" w:rsidP="005B4D3F">
      <w:pPr>
        <w:spacing w:line="360" w:lineRule="auto"/>
        <w:jc w:val="center"/>
        <w:rPr>
          <w:rFonts w:ascii="Century Gothic" w:eastAsia="Times New Roman" w:hAnsi="Century Gothic" w:cs="Times New Roman"/>
          <w:b/>
          <w:sz w:val="24"/>
          <w:szCs w:val="24"/>
          <w:lang w:val="es-ES_tradnl"/>
        </w:rPr>
      </w:pPr>
      <w:r w:rsidRPr="008355F8">
        <w:rPr>
          <w:rFonts w:ascii="Century Gothic" w:eastAsia="Times New Roman" w:hAnsi="Century Gothic" w:cs="Times New Roman"/>
          <w:b/>
          <w:sz w:val="24"/>
          <w:szCs w:val="24"/>
          <w:lang w:val="es-ES_tradnl"/>
        </w:rPr>
        <w:t>ATENTAMENTE</w:t>
      </w:r>
    </w:p>
    <w:p w14:paraId="3CD21F32" w14:textId="77777777" w:rsidR="005B4D3F" w:rsidRPr="008355F8" w:rsidRDefault="005B4D3F" w:rsidP="005B4D3F">
      <w:pPr>
        <w:spacing w:line="360" w:lineRule="auto"/>
        <w:jc w:val="center"/>
        <w:rPr>
          <w:rFonts w:ascii="Century Gothic" w:eastAsia="Times New Roman" w:hAnsi="Century Gothic" w:cs="Times New Roman"/>
          <w:b/>
          <w:sz w:val="24"/>
          <w:szCs w:val="24"/>
          <w:lang w:val="es-ES_tradnl"/>
        </w:rPr>
      </w:pPr>
    </w:p>
    <w:p w14:paraId="64039708" w14:textId="77777777" w:rsidR="005B4D3F" w:rsidRPr="008355F8" w:rsidRDefault="005B4D3F" w:rsidP="005B4D3F">
      <w:pPr>
        <w:spacing w:line="360" w:lineRule="auto"/>
        <w:jc w:val="center"/>
        <w:rPr>
          <w:rFonts w:ascii="Century Gothic" w:eastAsia="Times New Roman" w:hAnsi="Century Gothic" w:cs="Times New Roman"/>
          <w:b/>
          <w:sz w:val="24"/>
          <w:szCs w:val="24"/>
          <w:lang w:val="es-ES_tradnl"/>
        </w:rPr>
      </w:pPr>
      <w:r w:rsidRPr="008355F8">
        <w:rPr>
          <w:rFonts w:eastAsia="Times New Roman" w:cs="Times New Roman"/>
          <w:noProof/>
          <w:lang w:val="es-ES_tradnl"/>
        </w:rPr>
        <mc:AlternateContent>
          <mc:Choice Requires="wps">
            <w:drawing>
              <wp:anchor distT="45720" distB="45720" distL="114300" distR="114300" simplePos="0" relativeHeight="251659264" behindDoc="0" locked="0" layoutInCell="1" allowOverlap="1" wp14:anchorId="3A5E6FE0" wp14:editId="53F6AAF5">
                <wp:simplePos x="0" y="0"/>
                <wp:positionH relativeFrom="page">
                  <wp:posOffset>2320521</wp:posOffset>
                </wp:positionH>
                <wp:positionV relativeFrom="paragraph">
                  <wp:posOffset>383095</wp:posOffset>
                </wp:positionV>
                <wp:extent cx="3495675" cy="342900"/>
                <wp:effectExtent l="0" t="0" r="28575" b="19050"/>
                <wp:wrapSquare wrapText="bothSides"/>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342900"/>
                        </a:xfrm>
                        <a:prstGeom prst="rect">
                          <a:avLst/>
                        </a:prstGeom>
                        <a:noFill/>
                        <a:ln w="9525">
                          <a:solidFill>
                            <a:srgbClr val="FFFFFF"/>
                          </a:solidFill>
                          <a:miter lim="800000"/>
                          <a:headEnd/>
                          <a:tailEnd/>
                        </a:ln>
                      </wps:spPr>
                      <wps:txbx>
                        <w:txbxContent>
                          <w:p w14:paraId="3D3DBEE7" w14:textId="77777777" w:rsidR="005B4D3F" w:rsidRDefault="005B4D3F" w:rsidP="005B4D3F">
                            <w:pPr>
                              <w:spacing w:line="360" w:lineRule="auto"/>
                            </w:pPr>
                            <w:r w:rsidRPr="006306EA">
                              <w:rPr>
                                <w:rFonts w:ascii="Century Gothic" w:hAnsi="Century Gothic"/>
                                <w:b/>
                                <w:sz w:val="24"/>
                              </w:rPr>
                              <w:t xml:space="preserve">DIP. </w:t>
                            </w:r>
                            <w:r>
                              <w:rPr>
                                <w:rFonts w:ascii="Century Gothic" w:hAnsi="Century Gothic"/>
                                <w:b/>
                                <w:sz w:val="24"/>
                              </w:rPr>
                              <w:t>JOSÉ ALFREDO CHÁVEZ MADRID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3A5E6FE0" id="_x0000_t202" coordsize="21600,21600" o:spt="202" path="m,l,21600r21600,l21600,xe">
                <v:stroke joinstyle="miter"/>
                <v:path gradientshapeok="t" o:connecttype="rect"/>
              </v:shapetype>
              <v:shape id="Cuadro de texto 11" o:spid="_x0000_s1026" type="#_x0000_t202" style="position:absolute;left:0;text-align:left;margin-left:182.7pt;margin-top:30.15pt;width:275.25pt;height:27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" filled="f" strokecolor="white">
                <v:textbox>
                  <w:txbxContent>
                    <w:p w14:paraId="3D3DBEE7" w14:textId="77777777" w:rsidR="005B4D3F" w:rsidRDefault="005B4D3F" w:rsidP="005B4D3F">
                      <w:pPr>
                        <w:spacing w:line="360" w:lineRule="auto"/>
                      </w:pPr>
                      <w:r w:rsidRPr="006306EA">
                        <w:rPr>
                          <w:rFonts w:ascii="Century Gothic" w:hAnsi="Century Gothic"/>
                          <w:b/>
                          <w:sz w:val="24"/>
                        </w:rPr>
                        <w:t xml:space="preserve">DIP. </w:t>
                      </w:r>
                      <w:r>
                        <w:rPr>
                          <w:rFonts w:ascii="Century Gothic" w:hAnsi="Century Gothic"/>
                          <w:b/>
                          <w:sz w:val="24"/>
                        </w:rPr>
                        <w:t>JOSÉ ALFREDO CHÁVEZ MADRID</w:t>
                      </w:r>
                    </w:p>
                  </w:txbxContent>
                </v:textbox>
                <w10:wrap type="square" anchorx="page"/>
              </v:shape>
            </w:pict>
          </mc:Fallback>
        </mc:AlternateContent>
      </w:r>
      <w:r w:rsidRPr="008355F8">
        <w:rPr>
          <w:rFonts w:eastAsia="Times New Roman" w:cs="Times New Roman"/>
          <w:noProof/>
          <w:lang w:val="es-ES_tradnl"/>
        </w:rPr>
        <mc:AlternateContent>
          <mc:Choice Requires="wps">
            <w:drawing>
              <wp:anchor distT="45720" distB="45720" distL="114300" distR="114300" simplePos="0" relativeHeight="251660288" behindDoc="0" locked="0" layoutInCell="1" allowOverlap="1" wp14:anchorId="390956E4" wp14:editId="36573328">
                <wp:simplePos x="0" y="0"/>
                <wp:positionH relativeFrom="column">
                  <wp:posOffset>2877820</wp:posOffset>
                </wp:positionH>
                <wp:positionV relativeFrom="paragraph">
                  <wp:posOffset>473075</wp:posOffset>
                </wp:positionV>
                <wp:extent cx="3495675" cy="342900"/>
                <wp:effectExtent l="0" t="0" r="28575" b="19050"/>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342900"/>
                        </a:xfrm>
                        <a:prstGeom prst="rect">
                          <a:avLst/>
                        </a:prstGeom>
                        <a:noFill/>
                        <a:ln w="9525">
                          <a:solidFill>
                            <a:srgbClr val="FFFFFF"/>
                          </a:solidFill>
                          <a:miter lim="800000"/>
                          <a:headEnd/>
                          <a:tailEnd/>
                        </a:ln>
                      </wps:spPr>
                      <wps:txbx>
                        <w:txbxContent>
                          <w:p w14:paraId="73793128" w14:textId="77777777" w:rsidR="005B4D3F" w:rsidRDefault="005B4D3F" w:rsidP="005B4D3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shape w14:anchorId="390956E4" id="Cuadro de texto 10" o:spid="_x0000_s1027" type="#_x0000_t202" style="position:absolute;left:0;text-align:left;margin-left:226.6pt;margin-top:37.25pt;width:275.25pt;height:2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" filled="f" strokecolor="white">
                <v:textbox>
                  <w:txbxContent>
                    <w:p w14:paraId="73793128" w14:textId="77777777" w:rsidR="005B4D3F" w:rsidRDefault="005B4D3F" w:rsidP="005B4D3F"/>
                  </w:txbxContent>
                </v:textbox>
                <w10:wrap type="square"/>
              </v:shape>
            </w:pict>
          </mc:Fallback>
        </mc:AlternateContent>
      </w:r>
    </w:p>
    <w:p w14:paraId="5B529AC5" w14:textId="30C59E94" w:rsidR="00DD4085" w:rsidRPr="008355F8" w:rsidRDefault="00DD4085" w:rsidP="005B4D3F">
      <w:pPr>
        <w:spacing w:after="0" w:line="360" w:lineRule="auto"/>
        <w:jc w:val="both"/>
        <w:rPr>
          <w:rFonts w:ascii="Century Gothic" w:eastAsia="Times New Roman" w:hAnsi="Century Gothic" w:cs="Soberana Sans"/>
          <w:b/>
          <w:bCs/>
          <w:sz w:val="24"/>
          <w:szCs w:val="24"/>
          <w:lang w:val="es-ES_tradnl" w:eastAsia="es-MX"/>
        </w:rPr>
      </w:pPr>
    </w:p>
    <w:sectPr w:rsidR="00DD4085" w:rsidRPr="008355F8" w:rsidSect="006A339C">
      <w:headerReference w:type="default" r:id="rId6"/>
      <w:footerReference w:type="default" r:id="rId7"/>
      <w:pgSz w:w="12240" w:h="15840"/>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954C6" w14:textId="77777777" w:rsidR="002B331B" w:rsidRDefault="002B331B" w:rsidP="007F665E">
      <w:pPr>
        <w:spacing w:after="0" w:line="240" w:lineRule="auto"/>
      </w:pPr>
      <w:r>
        <w:separator/>
      </w:r>
    </w:p>
  </w:endnote>
  <w:endnote w:type="continuationSeparator" w:id="0">
    <w:p w14:paraId="08331DAE" w14:textId="77777777" w:rsidR="002B331B" w:rsidRDefault="002B331B" w:rsidP="007F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berana Sans">
    <w:altName w:val="Times New Roman"/>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267572"/>
      <w:docPartObj>
        <w:docPartGallery w:val="Page Numbers (Bottom of Page)"/>
        <w:docPartUnique/>
      </w:docPartObj>
    </w:sdtPr>
    <w:sdtEndPr/>
    <w:sdtContent>
      <w:p w14:paraId="557265DF" w14:textId="41BE039D" w:rsidR="00DD4085" w:rsidRDefault="00DD4085">
        <w:pPr>
          <w:pStyle w:val="Piedepgina"/>
          <w:jc w:val="right"/>
        </w:pPr>
        <w:r>
          <w:fldChar w:fldCharType="begin"/>
        </w:r>
        <w:r>
          <w:instrText>PAGE   \* MERGEFORMAT</w:instrText>
        </w:r>
        <w:r>
          <w:fldChar w:fldCharType="separate"/>
        </w:r>
        <w:r>
          <w:rPr>
            <w:lang w:val="es-ES"/>
          </w:rPr>
          <w:t>2</w:t>
        </w:r>
        <w:r>
          <w:fldChar w:fldCharType="end"/>
        </w:r>
      </w:p>
    </w:sdtContent>
  </w:sdt>
  <w:p w14:paraId="123D64E7" w14:textId="77777777" w:rsidR="00AB6DB1" w:rsidRDefault="00AB6D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8983B" w14:textId="77777777" w:rsidR="002B331B" w:rsidRDefault="002B331B" w:rsidP="007F665E">
      <w:pPr>
        <w:spacing w:after="0" w:line="240" w:lineRule="auto"/>
      </w:pPr>
      <w:r>
        <w:separator/>
      </w:r>
    </w:p>
  </w:footnote>
  <w:footnote w:type="continuationSeparator" w:id="0">
    <w:p w14:paraId="49478E99" w14:textId="77777777" w:rsidR="002B331B" w:rsidRDefault="002B331B" w:rsidP="007F6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6FA229AB" w:rsidR="007F665E" w:rsidRDefault="007F665E">
    <w:pPr>
      <w:pStyle w:val="Encabezado"/>
    </w:pPr>
    <w:r>
      <w:rPr>
        <w:noProof/>
        <w:lang w:val="es-ES" w:eastAsia="es-ES"/>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34AF4"/>
    <w:rsid w:val="000627C5"/>
    <w:rsid w:val="00084A3E"/>
    <w:rsid w:val="000B55FF"/>
    <w:rsid w:val="000F0E33"/>
    <w:rsid w:val="001275C8"/>
    <w:rsid w:val="001911AA"/>
    <w:rsid w:val="001E5423"/>
    <w:rsid w:val="00255D9A"/>
    <w:rsid w:val="00291896"/>
    <w:rsid w:val="002B331B"/>
    <w:rsid w:val="003131E2"/>
    <w:rsid w:val="003148B1"/>
    <w:rsid w:val="00326670"/>
    <w:rsid w:val="00374BB6"/>
    <w:rsid w:val="003B1FD3"/>
    <w:rsid w:val="003D3DCB"/>
    <w:rsid w:val="003D4404"/>
    <w:rsid w:val="003F2478"/>
    <w:rsid w:val="00435F43"/>
    <w:rsid w:val="00444C92"/>
    <w:rsid w:val="00474CF3"/>
    <w:rsid w:val="00480B2B"/>
    <w:rsid w:val="004865CF"/>
    <w:rsid w:val="004C1D83"/>
    <w:rsid w:val="004C60C5"/>
    <w:rsid w:val="004D5B3F"/>
    <w:rsid w:val="004F09A2"/>
    <w:rsid w:val="004F4807"/>
    <w:rsid w:val="00513809"/>
    <w:rsid w:val="00561A86"/>
    <w:rsid w:val="0059206D"/>
    <w:rsid w:val="005B4D3F"/>
    <w:rsid w:val="005C7B50"/>
    <w:rsid w:val="005D554D"/>
    <w:rsid w:val="005E0DF5"/>
    <w:rsid w:val="005F7DB5"/>
    <w:rsid w:val="00613273"/>
    <w:rsid w:val="00652673"/>
    <w:rsid w:val="006A339C"/>
    <w:rsid w:val="006A4ED0"/>
    <w:rsid w:val="0070484A"/>
    <w:rsid w:val="00740750"/>
    <w:rsid w:val="00746FD9"/>
    <w:rsid w:val="007659A7"/>
    <w:rsid w:val="007926CD"/>
    <w:rsid w:val="007F665E"/>
    <w:rsid w:val="008355F8"/>
    <w:rsid w:val="00860694"/>
    <w:rsid w:val="00862F16"/>
    <w:rsid w:val="00872545"/>
    <w:rsid w:val="008818DB"/>
    <w:rsid w:val="00883769"/>
    <w:rsid w:val="008F5B89"/>
    <w:rsid w:val="008F6A06"/>
    <w:rsid w:val="009350BE"/>
    <w:rsid w:val="00940A6E"/>
    <w:rsid w:val="00953B98"/>
    <w:rsid w:val="009715A5"/>
    <w:rsid w:val="0097372C"/>
    <w:rsid w:val="00A02F09"/>
    <w:rsid w:val="00A10783"/>
    <w:rsid w:val="00A4474A"/>
    <w:rsid w:val="00A92D80"/>
    <w:rsid w:val="00AB6DB1"/>
    <w:rsid w:val="00AE3F63"/>
    <w:rsid w:val="00AF3AF7"/>
    <w:rsid w:val="00B34658"/>
    <w:rsid w:val="00BA6F58"/>
    <w:rsid w:val="00BD2721"/>
    <w:rsid w:val="00C17A1B"/>
    <w:rsid w:val="00C23843"/>
    <w:rsid w:val="00C57FBA"/>
    <w:rsid w:val="00C837C3"/>
    <w:rsid w:val="00CA2DB1"/>
    <w:rsid w:val="00CE5C19"/>
    <w:rsid w:val="00D03976"/>
    <w:rsid w:val="00D65DAA"/>
    <w:rsid w:val="00DB3F45"/>
    <w:rsid w:val="00DD4085"/>
    <w:rsid w:val="00E3234B"/>
    <w:rsid w:val="00EA4121"/>
    <w:rsid w:val="00EB012D"/>
    <w:rsid w:val="00EB088F"/>
    <w:rsid w:val="00F24AB0"/>
    <w:rsid w:val="00F85652"/>
    <w:rsid w:val="00FA353B"/>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665E"/>
  </w:style>
  <w:style w:type="paragraph" w:styleId="Prrafodelista">
    <w:name w:val="List Paragraph"/>
    <w:basedOn w:val="Normal"/>
    <w:uiPriority w:val="34"/>
    <w:qFormat/>
    <w:rsid w:val="00EB08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1179</Words>
  <Characters>6486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dcterms:created xsi:type="dcterms:W3CDTF">2026-09-08T17:37:00Z</dcterms:created>
  <dcterms:modified xsi:type="dcterms:W3CDTF">2026-09-08T17:37:00Z</dcterms:modified>
</cp:coreProperties>
</file>