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38641" w14:textId="77777777" w:rsidR="00E9283D" w:rsidRDefault="00E9283D">
      <w:pPr>
        <w:spacing w:line="258" w:lineRule="auto"/>
        <w:jc w:val="both"/>
        <w:rPr>
          <w:rFonts w:ascii="Century Gothic" w:eastAsia="Century Gothic" w:hAnsi="Century Gothic" w:cs="Century Gothic"/>
          <w:b/>
          <w:bCs/>
          <w:sz w:val="26"/>
          <w:szCs w:val="26"/>
        </w:rPr>
      </w:pPr>
    </w:p>
    <w:p w14:paraId="17F22F0D" w14:textId="77777777" w:rsidR="00E9283D" w:rsidRDefault="009625CB">
      <w:pPr>
        <w:spacing w:line="258" w:lineRule="auto"/>
        <w:jc w:val="both"/>
        <w:rPr>
          <w:rFonts w:ascii="Century Gothic" w:eastAsia="Century Gothic" w:hAnsi="Century Gothic" w:cs="Century Gothic"/>
          <w:b/>
          <w:bCs/>
          <w:sz w:val="26"/>
          <w:szCs w:val="26"/>
        </w:rPr>
      </w:pPr>
      <w:r>
        <w:rPr>
          <w:rFonts w:ascii="Century Gothic" w:eastAsia="Century Gothic" w:hAnsi="Century Gothic" w:cs="Century Gothic"/>
          <w:b/>
          <w:bCs/>
          <w:sz w:val="26"/>
          <w:szCs w:val="26"/>
        </w:rPr>
        <w:t>INICIATIVA CON CARÁCTER DE DECRETO POR MEDIO DE LA CUAL SE REFORMA EL ARTÍCULO 31 DE LA LEY ESTATAL DEL DERECHO DE LAS MUJERES A UNA VIDA LIBRE DE VIOLENCIA, EN MATERIA DE PROTECCIÓN DE MUJERES VÍCTIMAS DE VIOLENCIA EN REFUGIOS TEMPORALES.</w:t>
      </w:r>
    </w:p>
    <w:p w14:paraId="4103CB7B" w14:textId="77777777" w:rsidR="00E9283D" w:rsidRDefault="00E9283D">
      <w:pPr>
        <w:pBdr>
          <w:top w:val="nil"/>
          <w:left w:val="nil"/>
          <w:bottom w:val="nil"/>
          <w:right w:val="nil"/>
          <w:between w:val="nil"/>
        </w:pBdr>
        <w:spacing w:after="0" w:line="360" w:lineRule="auto"/>
        <w:jc w:val="both"/>
        <w:rPr>
          <w:rFonts w:ascii="Century Gothic" w:eastAsia="Century Gothic" w:hAnsi="Century Gothic" w:cs="Century Gothic"/>
          <w:b/>
          <w:bCs/>
          <w:color w:val="000000"/>
          <w:sz w:val="26"/>
          <w:szCs w:val="26"/>
        </w:rPr>
      </w:pPr>
    </w:p>
    <w:p w14:paraId="49A20BA5" w14:textId="77777777" w:rsidR="00E9283D" w:rsidRDefault="009625CB">
      <w:pPr>
        <w:pBdr>
          <w:top w:val="nil"/>
          <w:left w:val="nil"/>
          <w:bottom w:val="nil"/>
          <w:right w:val="nil"/>
          <w:between w:val="nil"/>
        </w:pBdr>
        <w:spacing w:after="0" w:line="360" w:lineRule="auto"/>
        <w:jc w:val="both"/>
        <w:rPr>
          <w:rFonts w:ascii="Century Gothic" w:eastAsia="Century Gothic" w:hAnsi="Century Gothic" w:cs="Century Gothic"/>
          <w:b/>
          <w:bCs/>
          <w:color w:val="000000"/>
          <w:sz w:val="26"/>
          <w:szCs w:val="26"/>
        </w:rPr>
      </w:pPr>
      <w:r>
        <w:rPr>
          <w:rFonts w:ascii="Century Gothic" w:eastAsia="Century Gothic" w:hAnsi="Century Gothic" w:cs="Century Gothic"/>
          <w:b/>
          <w:bCs/>
          <w:color w:val="000000"/>
          <w:sz w:val="26"/>
          <w:szCs w:val="26"/>
        </w:rPr>
        <w:t>H. CONGRESO DEL</w:t>
      </w:r>
      <w:r>
        <w:rPr>
          <w:rFonts w:ascii="Century Gothic" w:eastAsia="Century Gothic" w:hAnsi="Century Gothic" w:cs="Century Gothic"/>
          <w:b/>
          <w:bCs/>
          <w:color w:val="000000"/>
          <w:sz w:val="26"/>
          <w:szCs w:val="26"/>
        </w:rPr>
        <w:t xml:space="preserve"> ESTADO DE CHIHUAHUA</w:t>
      </w:r>
    </w:p>
    <w:p w14:paraId="68A58A3D" w14:textId="77777777" w:rsidR="00E9283D" w:rsidRDefault="009625CB">
      <w:pPr>
        <w:pBdr>
          <w:top w:val="nil"/>
          <w:left w:val="nil"/>
          <w:bottom w:val="nil"/>
          <w:right w:val="nil"/>
          <w:between w:val="nil"/>
        </w:pBdr>
        <w:spacing w:after="0" w:line="360" w:lineRule="auto"/>
        <w:jc w:val="both"/>
        <w:rPr>
          <w:rFonts w:ascii="Century Gothic" w:eastAsia="Century Gothic" w:hAnsi="Century Gothic" w:cs="Century Gothic"/>
          <w:b/>
          <w:bCs/>
          <w:color w:val="000000"/>
          <w:sz w:val="26"/>
          <w:szCs w:val="26"/>
        </w:rPr>
      </w:pPr>
      <w:r>
        <w:rPr>
          <w:rFonts w:ascii="Century Gothic" w:eastAsia="Century Gothic" w:hAnsi="Century Gothic" w:cs="Century Gothic"/>
          <w:b/>
          <w:bCs/>
          <w:color w:val="000000"/>
          <w:sz w:val="26"/>
          <w:szCs w:val="26"/>
        </w:rPr>
        <w:t>PRESENTE. –</w:t>
      </w:r>
    </w:p>
    <w:p w14:paraId="31B52313" w14:textId="77777777" w:rsidR="00E9283D" w:rsidRDefault="00E9283D">
      <w:pPr>
        <w:pBdr>
          <w:top w:val="nil"/>
          <w:left w:val="nil"/>
          <w:bottom w:val="nil"/>
          <w:right w:val="nil"/>
          <w:between w:val="nil"/>
        </w:pBdr>
        <w:spacing w:after="0" w:line="360" w:lineRule="auto"/>
        <w:ind w:firstLine="709"/>
        <w:jc w:val="both"/>
        <w:rPr>
          <w:rFonts w:ascii="Century Gothic" w:eastAsia="Century Gothic" w:hAnsi="Century Gothic" w:cs="Century Gothic"/>
          <w:color w:val="000000"/>
          <w:sz w:val="26"/>
          <w:szCs w:val="26"/>
        </w:rPr>
      </w:pPr>
    </w:p>
    <w:p w14:paraId="0D0F4C5F" w14:textId="77777777" w:rsidR="00E9283D" w:rsidRDefault="009625CB">
      <w:pPr>
        <w:pBdr>
          <w:top w:val="nil"/>
          <w:left w:val="nil"/>
          <w:bottom w:val="nil"/>
          <w:right w:val="nil"/>
          <w:between w:val="nil"/>
        </w:pBdr>
        <w:spacing w:after="0" w:line="276" w:lineRule="auto"/>
        <w:ind w:firstLine="709"/>
        <w:jc w:val="both"/>
        <w:rPr>
          <w:rFonts w:ascii="Century Gothic" w:eastAsia="Century Gothic" w:hAnsi="Century Gothic" w:cs="Century Gothic"/>
          <w:b/>
          <w:bCs/>
          <w:color w:val="000000"/>
          <w:sz w:val="26"/>
          <w:szCs w:val="26"/>
        </w:rPr>
      </w:pPr>
      <w:r>
        <w:rPr>
          <w:rFonts w:ascii="Century Gothic" w:eastAsia="Century Gothic" w:hAnsi="Century Gothic" w:cs="Century Gothic"/>
          <w:color w:val="000000"/>
          <w:sz w:val="26"/>
          <w:szCs w:val="26"/>
        </w:rPr>
        <w:t xml:space="preserve">La suscrita </w:t>
      </w:r>
      <w:r>
        <w:rPr>
          <w:rFonts w:ascii="Century Gothic" w:eastAsia="Century Gothic" w:hAnsi="Century Gothic" w:cs="Century Gothic"/>
          <w:b/>
          <w:bCs/>
          <w:color w:val="000000"/>
          <w:sz w:val="26"/>
          <w:szCs w:val="26"/>
        </w:rPr>
        <w:t>JOCELINE VEGA VARGAS,</w:t>
      </w:r>
      <w:r>
        <w:rPr>
          <w:rFonts w:ascii="Century Gothic" w:eastAsia="Century Gothic" w:hAnsi="Century Gothic" w:cs="Century Gothic"/>
          <w:color w:val="000000"/>
          <w:sz w:val="26"/>
          <w:szCs w:val="26"/>
        </w:rPr>
        <w:t xml:space="preserve"> en mi carácter de diputada de la </w:t>
      </w:r>
      <w:r>
        <w:rPr>
          <w:rFonts w:ascii="Century Gothic" w:eastAsia="Century Gothic" w:hAnsi="Century Gothic" w:cs="Century Gothic"/>
          <w:b/>
          <w:bCs/>
          <w:color w:val="000000"/>
          <w:sz w:val="26"/>
          <w:szCs w:val="26"/>
        </w:rPr>
        <w:t>SEXAGÉSIMA OCTAVA LEGISLATURA DEL H. CONGRESO DEL ESTADO DE CHIHUAHUA</w:t>
      </w:r>
      <w:r>
        <w:rPr>
          <w:rFonts w:ascii="Century Gothic" w:eastAsia="Century Gothic" w:hAnsi="Century Gothic" w:cs="Century Gothic"/>
          <w:color w:val="000000"/>
          <w:sz w:val="26"/>
          <w:szCs w:val="26"/>
        </w:rPr>
        <w:t xml:space="preserve">, integrante del </w:t>
      </w:r>
      <w:r>
        <w:rPr>
          <w:rFonts w:ascii="Century Gothic" w:eastAsia="Century Gothic" w:hAnsi="Century Gothic" w:cs="Century Gothic"/>
          <w:b/>
          <w:bCs/>
          <w:color w:val="000000"/>
          <w:sz w:val="26"/>
          <w:szCs w:val="26"/>
        </w:rPr>
        <w:t>GRUPO PARLAMENTARIO DEL PARTIDO ACCIÓN NACIONAL</w:t>
      </w:r>
      <w:r>
        <w:rPr>
          <w:rFonts w:ascii="Century Gothic" w:eastAsia="Century Gothic" w:hAnsi="Century Gothic" w:cs="Century Gothic"/>
          <w:color w:val="000000"/>
          <w:sz w:val="26"/>
          <w:szCs w:val="26"/>
        </w:rPr>
        <w:t>, con fundamento en lo</w:t>
      </w:r>
      <w:r>
        <w:rPr>
          <w:rFonts w:ascii="Century Gothic" w:eastAsia="Century Gothic" w:hAnsi="Century Gothic" w:cs="Century Gothic"/>
          <w:color w:val="000000"/>
          <w:sz w:val="26"/>
          <w:szCs w:val="26"/>
        </w:rPr>
        <w:t xml:space="preserve"> dispuesto por las fracciones I y </w:t>
      </w:r>
      <w:proofErr w:type="spellStart"/>
      <w:r>
        <w:rPr>
          <w:rFonts w:ascii="Century Gothic" w:eastAsia="Century Gothic" w:hAnsi="Century Gothic" w:cs="Century Gothic"/>
          <w:color w:val="000000"/>
          <w:sz w:val="26"/>
          <w:szCs w:val="26"/>
        </w:rPr>
        <w:t>Il</w:t>
      </w:r>
      <w:proofErr w:type="spellEnd"/>
      <w:r>
        <w:rPr>
          <w:rFonts w:ascii="Century Gothic" w:eastAsia="Century Gothic" w:hAnsi="Century Gothic" w:cs="Century Gothic"/>
          <w:color w:val="000000"/>
          <w:sz w:val="26"/>
          <w:szCs w:val="26"/>
        </w:rPr>
        <w:t xml:space="preserve"> del artículo 64; y fracción I del artículo 68 de la Constitución Política del Estado de Chihuahua; así como de la fracción </w:t>
      </w:r>
      <w:r>
        <w:rPr>
          <w:rFonts w:ascii="Century Gothic" w:eastAsia="Century Gothic" w:hAnsi="Century Gothic" w:cs="Century Gothic"/>
          <w:sz w:val="26"/>
          <w:szCs w:val="26"/>
        </w:rPr>
        <w:t>I</w:t>
      </w:r>
      <w:r>
        <w:rPr>
          <w:rFonts w:ascii="Century Gothic" w:eastAsia="Century Gothic" w:hAnsi="Century Gothic" w:cs="Century Gothic"/>
          <w:color w:val="000000"/>
          <w:sz w:val="26"/>
          <w:szCs w:val="26"/>
        </w:rPr>
        <w:t xml:space="preserve"> del artículo 167 de la Ley Orgánica del Poder Legislativo, así como el artículo 77 del Reglame</w:t>
      </w:r>
      <w:r>
        <w:rPr>
          <w:rFonts w:ascii="Century Gothic" w:eastAsia="Century Gothic" w:hAnsi="Century Gothic" w:cs="Century Gothic"/>
          <w:color w:val="000000"/>
          <w:sz w:val="26"/>
          <w:szCs w:val="26"/>
        </w:rPr>
        <w:t xml:space="preserve">nto Interior y de Prácticas Parlamentarias del Poder Legislativo, someto a la consideración de esta Honorable Asamblea la presente </w:t>
      </w:r>
      <w:r>
        <w:rPr>
          <w:rFonts w:ascii="Century Gothic" w:eastAsia="Century Gothic" w:hAnsi="Century Gothic" w:cs="Century Gothic"/>
          <w:b/>
          <w:bCs/>
          <w:color w:val="000000"/>
          <w:sz w:val="26"/>
          <w:szCs w:val="26"/>
        </w:rPr>
        <w:t xml:space="preserve">INICIATIVA CON CARÁCTER DE DECRETO, </w:t>
      </w:r>
      <w:r>
        <w:rPr>
          <w:rFonts w:ascii="Century Gothic" w:eastAsia="Century Gothic" w:hAnsi="Century Gothic" w:cs="Century Gothic"/>
          <w:color w:val="000000"/>
          <w:sz w:val="26"/>
          <w:szCs w:val="26"/>
        </w:rPr>
        <w:t xml:space="preserve">esto al tenor de la siguiente: </w:t>
      </w:r>
    </w:p>
    <w:p w14:paraId="1EF1A265" w14:textId="77777777" w:rsidR="00E9283D" w:rsidRDefault="00E9283D">
      <w:pPr>
        <w:spacing w:line="276" w:lineRule="auto"/>
        <w:jc w:val="both"/>
        <w:rPr>
          <w:rFonts w:ascii="Century Gothic" w:eastAsia="Century Gothic" w:hAnsi="Century Gothic" w:cs="Century Gothic"/>
          <w:b/>
          <w:bCs/>
          <w:sz w:val="26"/>
          <w:szCs w:val="26"/>
        </w:rPr>
      </w:pPr>
    </w:p>
    <w:p w14:paraId="36EFB3EA" w14:textId="77777777" w:rsidR="00E9283D" w:rsidRDefault="009625CB">
      <w:pPr>
        <w:spacing w:line="276"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EXPOSICIÓN DE MOTIVOS</w:t>
      </w:r>
    </w:p>
    <w:p w14:paraId="24D5ECD4" w14:textId="77777777" w:rsidR="00E9283D" w:rsidRDefault="009625CB">
      <w:pPr>
        <w:pBdr>
          <w:top w:val="nil"/>
          <w:left w:val="nil"/>
          <w:bottom w:val="nil"/>
          <w:right w:val="nil"/>
          <w:between w:val="nil"/>
        </w:pBdr>
        <w:spacing w:line="240" w:lineRule="auto"/>
        <w:jc w:val="both"/>
        <w:rPr>
          <w:rFonts w:ascii="Century Gothic" w:eastAsia="Century Gothic" w:hAnsi="Century Gothic" w:cs="Century Gothic"/>
          <w:sz w:val="26"/>
          <w:szCs w:val="26"/>
        </w:rPr>
      </w:pPr>
      <w:r>
        <w:rPr>
          <w:rFonts w:ascii="Century Gothic" w:eastAsia="Century Gothic" w:hAnsi="Century Gothic" w:cs="Century Gothic"/>
          <w:color w:val="000000"/>
          <w:sz w:val="26"/>
          <w:szCs w:val="26"/>
        </w:rPr>
        <w:tab/>
      </w:r>
      <w:r>
        <w:rPr>
          <w:rFonts w:ascii="Century Gothic" w:eastAsia="Century Gothic" w:hAnsi="Century Gothic" w:cs="Century Gothic"/>
          <w:sz w:val="26"/>
          <w:szCs w:val="26"/>
        </w:rPr>
        <w:t>La violencia contra las mujeres constituye una de las problemáticas sociales y de derechos humanos más apremiantes en nuestro país. Sus consecuencias trascienden el ámbito individual y repercuten en las familias, las comunidades y las instituciones, por lo</w:t>
      </w:r>
      <w:r>
        <w:rPr>
          <w:rFonts w:ascii="Century Gothic" w:eastAsia="Century Gothic" w:hAnsi="Century Gothic" w:cs="Century Gothic"/>
          <w:sz w:val="26"/>
          <w:szCs w:val="26"/>
        </w:rPr>
        <w:t xml:space="preserve"> </w:t>
      </w:r>
      <w:r>
        <w:rPr>
          <w:rFonts w:ascii="Century Gothic" w:eastAsia="Century Gothic" w:hAnsi="Century Gothic" w:cs="Century Gothic"/>
          <w:sz w:val="26"/>
          <w:szCs w:val="26"/>
        </w:rPr>
        <w:lastRenderedPageBreak/>
        <w:t>que el Estado tiene la obligación de adoptar las medidas necesarias para prevenirla, atenderla, sancionarla y erradicarla, garantizando en todo momento la protección de quienes la padecen.</w:t>
      </w:r>
    </w:p>
    <w:p w14:paraId="3DEB4C2B" w14:textId="77777777" w:rsidR="00E9283D" w:rsidRDefault="009625CB">
      <w:pPr>
        <w:spacing w:line="240"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La dimensión de este fenómeno exige que las autoridades cuenten co</w:t>
      </w:r>
      <w:r>
        <w:rPr>
          <w:rFonts w:ascii="Century Gothic" w:eastAsia="Century Gothic" w:hAnsi="Century Gothic" w:cs="Century Gothic"/>
          <w:sz w:val="26"/>
          <w:szCs w:val="26"/>
        </w:rPr>
        <w:t>n mecanismos eficaces de actuación. De acuerdo con la Encuesta Nacional sobre la Dinámica de las Relaciones en los Hogares (ENDIREH) 2021, elaborada por el Instituto Nacional de Estadística y Geografía, el 70.1 por ciento de las mujeres de 15 años y más en</w:t>
      </w:r>
      <w:r>
        <w:rPr>
          <w:rFonts w:ascii="Century Gothic" w:eastAsia="Century Gothic" w:hAnsi="Century Gothic" w:cs="Century Gothic"/>
          <w:sz w:val="26"/>
          <w:szCs w:val="26"/>
        </w:rPr>
        <w:t xml:space="preserve"> México ha experimentado al menos un incidente de violencia a lo largo de su vida, mientras que 42.8 por ciento sufrió algún tipo de violencia durante los doce meses previos al levantamiento de la encuesta. Estas cifras evidencian que la violencia contra l</w:t>
      </w:r>
      <w:r>
        <w:rPr>
          <w:rFonts w:ascii="Century Gothic" w:eastAsia="Century Gothic" w:hAnsi="Century Gothic" w:cs="Century Gothic"/>
          <w:sz w:val="26"/>
          <w:szCs w:val="26"/>
        </w:rPr>
        <w:t>as mujeres continúa siendo un fenómeno estructural que demanda una respuesta integral y coordinada por parte de las instituciones públicas.</w:t>
      </w:r>
    </w:p>
    <w:p w14:paraId="06D5EE95" w14:textId="77777777" w:rsidR="00E9283D" w:rsidRDefault="009625CB">
      <w:pPr>
        <w:spacing w:line="240"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Cuando una mujer enfrenta una situación de riesgo que compromete su integridad o su vida, el Estado debe garantizar medidas de protección inmediatas y eficaces. Entre ellas, el alojamiento temporal en refugios, casas de emergencia o albergues representa un</w:t>
      </w:r>
      <w:r>
        <w:rPr>
          <w:rFonts w:ascii="Century Gothic" w:eastAsia="Century Gothic" w:hAnsi="Century Gothic" w:cs="Century Gothic"/>
          <w:sz w:val="26"/>
          <w:szCs w:val="26"/>
        </w:rPr>
        <w:t>a herramienta fundamental para salvaguardar la vida de las víctimas y brindarles un espacio seguro desde el cual puedan acceder a atención especializada, acompañamiento jurídico, apoyo psicológico y los servicios necesarios para iniciar un proceso libre de</w:t>
      </w:r>
      <w:r>
        <w:rPr>
          <w:rFonts w:ascii="Century Gothic" w:eastAsia="Century Gothic" w:hAnsi="Century Gothic" w:cs="Century Gothic"/>
          <w:sz w:val="26"/>
          <w:szCs w:val="26"/>
        </w:rPr>
        <w:t xml:space="preserve"> violencia.</w:t>
      </w:r>
    </w:p>
    <w:p w14:paraId="582E7F40" w14:textId="77777777" w:rsidR="00E9283D" w:rsidRDefault="009625CB">
      <w:pPr>
        <w:spacing w:line="240"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En ese sentido, la Ley General de Acceso de las Mujeres a una Vida Libre de Violencia reconoce expresamente, en su artículo 34 Ter, que las órdenes de protección administrativas podrán consistir en proporcionar a las mujeres víctimas de violenc</w:t>
      </w:r>
      <w:r>
        <w:rPr>
          <w:rFonts w:ascii="Century Gothic" w:eastAsia="Century Gothic" w:hAnsi="Century Gothic" w:cs="Century Gothic"/>
          <w:sz w:val="26"/>
          <w:szCs w:val="26"/>
        </w:rPr>
        <w:t>ia, así como a sus hijas, hijos o personas que dependan de ellas, alojamiento temporal en casas de emergencia, refugios o albergues que garanticen su seguridad y dignidad.</w:t>
      </w:r>
    </w:p>
    <w:p w14:paraId="0AD4B224" w14:textId="77777777" w:rsidR="00E9283D" w:rsidRDefault="009625CB">
      <w:pPr>
        <w:spacing w:line="240"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lastRenderedPageBreak/>
        <w:t>Asimismo, el artículo 49 del mismo ordenamiento establece como responsabilidad de la</w:t>
      </w:r>
      <w:r>
        <w:rPr>
          <w:rFonts w:ascii="Century Gothic" w:eastAsia="Century Gothic" w:hAnsi="Century Gothic" w:cs="Century Gothic"/>
          <w:sz w:val="26"/>
          <w:szCs w:val="26"/>
        </w:rPr>
        <w:t>s entidades federativas impulsar, apoyar y fortalecer la creación y operación de estos espacios de protección, reconociendo que forman parte esencial del sistema de atención integral a las víctimas de violencia.</w:t>
      </w:r>
    </w:p>
    <w:p w14:paraId="1CC2B42C" w14:textId="77777777" w:rsidR="00E9283D" w:rsidRDefault="009625CB">
      <w:pPr>
        <w:spacing w:line="240"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 xml:space="preserve">En armonía con dicho marco jurídico, la Ley </w:t>
      </w:r>
      <w:r>
        <w:rPr>
          <w:rFonts w:ascii="Century Gothic" w:eastAsia="Century Gothic" w:hAnsi="Century Gothic" w:cs="Century Gothic"/>
          <w:sz w:val="26"/>
          <w:szCs w:val="26"/>
        </w:rPr>
        <w:t>Estatal del Derecho de las Mujeres a una Vida Libre de Violencia establece, en su artículo 31, las atribuciones de la Secretaría de Seguridad Pública del Estado, entre las cuales se encuentra la promoción de Unidades Especializadas de Policía encargadas, e</w:t>
      </w:r>
      <w:r>
        <w:rPr>
          <w:rFonts w:ascii="Century Gothic" w:eastAsia="Century Gothic" w:hAnsi="Century Gothic" w:cs="Century Gothic"/>
          <w:sz w:val="26"/>
          <w:szCs w:val="26"/>
        </w:rPr>
        <w:t>ntre otras funciones, de ejecutar las medidas de protección ordenadas por el Ministerio Público y, en su caso, ratificadas o modificadas por la autoridad jurisdiccional.</w:t>
      </w:r>
    </w:p>
    <w:p w14:paraId="7486AC16" w14:textId="77777777" w:rsidR="00E9283D" w:rsidRDefault="009625CB">
      <w:pPr>
        <w:spacing w:line="240"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 xml:space="preserve">Bajo esta lógica normativa, cuando una medida de protección consiste en el ingreso de </w:t>
      </w:r>
      <w:r>
        <w:rPr>
          <w:rFonts w:ascii="Century Gothic" w:eastAsia="Century Gothic" w:hAnsi="Century Gothic" w:cs="Century Gothic"/>
          <w:sz w:val="26"/>
          <w:szCs w:val="26"/>
        </w:rPr>
        <w:t>una mujer a un refugio, casa de emergencia o albergue, resulta natural que la Secretaría de Seguridad Pública participe en la implementación de las acciones necesarias para salvaguardar la integridad de las personas protegidas. De hecho, en la práctica, es</w:t>
      </w:r>
      <w:r>
        <w:rPr>
          <w:rFonts w:ascii="Century Gothic" w:eastAsia="Century Gothic" w:hAnsi="Century Gothic" w:cs="Century Gothic"/>
          <w:sz w:val="26"/>
          <w:szCs w:val="26"/>
        </w:rPr>
        <w:t>ta coordinación institucional ya se ha venido desarrollando mediante la colaboración entre las distintas autoridades responsables de la atención a mujeres víctimas de violencia, permitiendo atender necesidades de seguridad preventiva y de reacción inmediat</w:t>
      </w:r>
      <w:r>
        <w:rPr>
          <w:rFonts w:ascii="Century Gothic" w:eastAsia="Century Gothic" w:hAnsi="Century Gothic" w:cs="Century Gothic"/>
          <w:sz w:val="26"/>
          <w:szCs w:val="26"/>
        </w:rPr>
        <w:t>a cuando las circunstancias así lo requieren.</w:t>
      </w:r>
    </w:p>
    <w:p w14:paraId="6D84B95B" w14:textId="77777777" w:rsidR="00E9283D" w:rsidRDefault="009625CB">
      <w:pPr>
        <w:spacing w:line="240"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Sin embargo, si bien esta colaboración ha dado resultados positivos y refleja el compromiso de las instituciones con la protección de las mujeres, la legislación estatal no contempla de manera expresa la atribu</w:t>
      </w:r>
      <w:r>
        <w:rPr>
          <w:rFonts w:ascii="Century Gothic" w:eastAsia="Century Gothic" w:hAnsi="Century Gothic" w:cs="Century Gothic"/>
          <w:sz w:val="26"/>
          <w:szCs w:val="26"/>
        </w:rPr>
        <w:t>ción de la Secretaría de Seguridad Pública para establecer mecanismos de coordinación con las autoridades responsables de la operación de refugios, casas de emergencia y albergues a efecto de implementar las acciones de seguridad necesarias cuando éstas se</w:t>
      </w:r>
      <w:r>
        <w:rPr>
          <w:rFonts w:ascii="Century Gothic" w:eastAsia="Century Gothic" w:hAnsi="Century Gothic" w:cs="Century Gothic"/>
          <w:sz w:val="26"/>
          <w:szCs w:val="26"/>
        </w:rPr>
        <w:t>an solicitadas por la autoridad competente.</w:t>
      </w:r>
    </w:p>
    <w:p w14:paraId="17C7D185" w14:textId="77777777" w:rsidR="00E9283D" w:rsidRDefault="009625CB">
      <w:pPr>
        <w:spacing w:line="240"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lastRenderedPageBreak/>
        <w:t>La presente iniciativa no parte de la premisa de crear una nueva responsabilidad para la Secretaría ni de ampliar sustancialmente el ámbito de sus competencias. Por el contrario, reconoce una práctica institucion</w:t>
      </w:r>
      <w:r>
        <w:rPr>
          <w:rFonts w:ascii="Century Gothic" w:eastAsia="Century Gothic" w:hAnsi="Century Gothic" w:cs="Century Gothic"/>
          <w:sz w:val="26"/>
          <w:szCs w:val="26"/>
        </w:rPr>
        <w:t>al que actualmente se desarrolla en beneficio de las víctimas y propone otorgarle sustento jurídico expreso, fortaleciendo la coordinación entre las autoridades encargadas de brindar protección a las mujeres.</w:t>
      </w:r>
    </w:p>
    <w:p w14:paraId="67BD9FB9" w14:textId="77777777" w:rsidR="00E9283D" w:rsidRDefault="009625CB">
      <w:pPr>
        <w:spacing w:line="240"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 xml:space="preserve">Incorporar esta atribución en la ley permitirá </w:t>
      </w:r>
      <w:r>
        <w:rPr>
          <w:rFonts w:ascii="Century Gothic" w:eastAsia="Century Gothic" w:hAnsi="Century Gothic" w:cs="Century Gothic"/>
          <w:sz w:val="26"/>
          <w:szCs w:val="26"/>
        </w:rPr>
        <w:t>dotar de mayor certeza jurídica a la actuación de las instituciones, establecer con claridad el alcance de la colaboración de la Secretaría de Seguridad Pública y brindar continuidad a una práctica que hoy depende, en buena medida, de la coordinación admin</w:t>
      </w:r>
      <w:r>
        <w:rPr>
          <w:rFonts w:ascii="Century Gothic" w:eastAsia="Century Gothic" w:hAnsi="Century Gothic" w:cs="Century Gothic"/>
          <w:sz w:val="26"/>
          <w:szCs w:val="26"/>
        </w:rPr>
        <w:t>istrativa y de la disposición institucional de las autoridades involucradas.</w:t>
      </w:r>
    </w:p>
    <w:p w14:paraId="70A57630" w14:textId="77777777" w:rsidR="00E9283D" w:rsidRDefault="009625CB">
      <w:pPr>
        <w:spacing w:line="240"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Esta reforma también fortalece el principio de coordinación previsto en la Ley General de Acceso de las Mujeres a una Vida Libre de Violencia, al favorecer una actuación articulad</w:t>
      </w:r>
      <w:r>
        <w:rPr>
          <w:rFonts w:ascii="Century Gothic" w:eastAsia="Century Gothic" w:hAnsi="Century Gothic" w:cs="Century Gothic"/>
          <w:sz w:val="26"/>
          <w:szCs w:val="26"/>
        </w:rPr>
        <w:t>a entre las dependencias responsables de ejecutar las medidas de protección, privilegiando siempre el interés superior de las víctimas y garantizando que los espacios destinados a su resguardo cuenten con las condiciones de seguridad necesarias para cumpli</w:t>
      </w:r>
      <w:r>
        <w:rPr>
          <w:rFonts w:ascii="Century Gothic" w:eastAsia="Century Gothic" w:hAnsi="Century Gothic" w:cs="Century Gothic"/>
          <w:sz w:val="26"/>
          <w:szCs w:val="26"/>
        </w:rPr>
        <w:t>r adecuadamente su finalidad.</w:t>
      </w:r>
    </w:p>
    <w:p w14:paraId="16B4048E" w14:textId="77777777" w:rsidR="00E9283D" w:rsidRDefault="009625CB">
      <w:pPr>
        <w:spacing w:after="0" w:line="276" w:lineRule="auto"/>
        <w:ind w:firstLine="709"/>
        <w:jc w:val="both"/>
        <w:rPr>
          <w:rFonts w:ascii="Century Gothic" w:eastAsia="Century Gothic" w:hAnsi="Century Gothic" w:cs="Century Gothic"/>
          <w:sz w:val="26"/>
          <w:szCs w:val="26"/>
        </w:rPr>
      </w:pPr>
      <w:r>
        <w:rPr>
          <w:rFonts w:ascii="Century Gothic" w:eastAsia="Century Gothic" w:hAnsi="Century Gothic" w:cs="Century Gothic"/>
          <w:sz w:val="26"/>
          <w:szCs w:val="26"/>
        </w:rPr>
        <w:t>Por lo anteriormente expuesto es que me permito proponer a consideración de esta asamblea el siguiente Proyecto de Decreto, para que una vez turnado a la Comisión Legislativa que le corresponda, se someta a la consideración de</w:t>
      </w:r>
      <w:r>
        <w:rPr>
          <w:rFonts w:ascii="Century Gothic" w:eastAsia="Century Gothic" w:hAnsi="Century Gothic" w:cs="Century Gothic"/>
          <w:sz w:val="26"/>
          <w:szCs w:val="26"/>
        </w:rPr>
        <w:t xml:space="preserve"> este Alto Cuerpo Colegiado.</w:t>
      </w:r>
    </w:p>
    <w:p w14:paraId="131F6B78" w14:textId="77777777" w:rsidR="00E9283D" w:rsidRDefault="00E9283D">
      <w:pPr>
        <w:pBdr>
          <w:top w:val="nil"/>
          <w:left w:val="nil"/>
          <w:bottom w:val="nil"/>
          <w:right w:val="nil"/>
          <w:between w:val="nil"/>
        </w:pBdr>
        <w:spacing w:after="0" w:line="360" w:lineRule="auto"/>
        <w:jc w:val="both"/>
        <w:rPr>
          <w:rFonts w:ascii="Century Gothic" w:eastAsia="Century Gothic" w:hAnsi="Century Gothic" w:cs="Century Gothic"/>
          <w:color w:val="000000"/>
          <w:sz w:val="26"/>
          <w:szCs w:val="26"/>
        </w:rPr>
      </w:pPr>
    </w:p>
    <w:p w14:paraId="376A90B1" w14:textId="77777777" w:rsidR="00E9283D" w:rsidRDefault="009625CB">
      <w:pPr>
        <w:pBdr>
          <w:top w:val="nil"/>
          <w:left w:val="nil"/>
          <w:bottom w:val="nil"/>
          <w:right w:val="nil"/>
          <w:between w:val="nil"/>
        </w:pBdr>
        <w:spacing w:after="0" w:line="360" w:lineRule="auto"/>
        <w:ind w:firstLine="709"/>
        <w:jc w:val="center"/>
        <w:rPr>
          <w:rFonts w:ascii="Century Gothic" w:eastAsia="Century Gothic" w:hAnsi="Century Gothic" w:cs="Century Gothic"/>
          <w:b/>
          <w:bCs/>
          <w:color w:val="000000"/>
          <w:sz w:val="26"/>
          <w:szCs w:val="26"/>
        </w:rPr>
      </w:pPr>
      <w:r>
        <w:rPr>
          <w:rFonts w:ascii="Century Gothic" w:eastAsia="Century Gothic" w:hAnsi="Century Gothic" w:cs="Century Gothic"/>
          <w:b/>
          <w:bCs/>
          <w:color w:val="000000"/>
          <w:sz w:val="26"/>
          <w:szCs w:val="26"/>
        </w:rPr>
        <w:t>DECRETO</w:t>
      </w:r>
    </w:p>
    <w:p w14:paraId="0E3DB5B0" w14:textId="77777777" w:rsidR="00E9283D" w:rsidRDefault="009625CB">
      <w:pPr>
        <w:pBdr>
          <w:top w:val="nil"/>
          <w:left w:val="nil"/>
          <w:bottom w:val="nil"/>
          <w:right w:val="nil"/>
          <w:between w:val="nil"/>
        </w:pBdr>
        <w:spacing w:line="240" w:lineRule="auto"/>
        <w:jc w:val="both"/>
        <w:rPr>
          <w:rFonts w:ascii="Century Gothic" w:eastAsia="Century Gothic" w:hAnsi="Century Gothic" w:cs="Century Gothic"/>
          <w:sz w:val="26"/>
          <w:szCs w:val="26"/>
        </w:rPr>
      </w:pPr>
      <w:r>
        <w:rPr>
          <w:rFonts w:ascii="Century Gothic" w:eastAsia="Century Gothic" w:hAnsi="Century Gothic" w:cs="Century Gothic"/>
          <w:b/>
          <w:bCs/>
          <w:sz w:val="26"/>
          <w:szCs w:val="26"/>
        </w:rPr>
        <w:lastRenderedPageBreak/>
        <w:t>ÚNICO</w:t>
      </w:r>
      <w:r>
        <w:rPr>
          <w:rFonts w:ascii="Century Gothic" w:eastAsia="Century Gothic" w:hAnsi="Century Gothic" w:cs="Century Gothic"/>
          <w:b/>
          <w:bCs/>
          <w:color w:val="000000"/>
          <w:sz w:val="26"/>
          <w:szCs w:val="26"/>
        </w:rPr>
        <w:t>.</w:t>
      </w:r>
      <w:r>
        <w:rPr>
          <w:rFonts w:ascii="Century Gothic" w:eastAsia="Century Gothic" w:hAnsi="Century Gothic" w:cs="Century Gothic"/>
          <w:sz w:val="26"/>
          <w:szCs w:val="26"/>
        </w:rPr>
        <w:t xml:space="preserve"> Se adiciona la fracción III del artículo 31 de la Ley Estatal del Derecho de las Mujeres a una Vida Libre de </w:t>
      </w:r>
      <w:proofErr w:type="gramStart"/>
      <w:r>
        <w:rPr>
          <w:rFonts w:ascii="Century Gothic" w:eastAsia="Century Gothic" w:hAnsi="Century Gothic" w:cs="Century Gothic"/>
          <w:sz w:val="26"/>
          <w:szCs w:val="26"/>
        </w:rPr>
        <w:t>Violencia ,</w:t>
      </w:r>
      <w:proofErr w:type="gramEnd"/>
      <w:r>
        <w:rPr>
          <w:rFonts w:ascii="Century Gothic" w:eastAsia="Century Gothic" w:hAnsi="Century Gothic" w:cs="Century Gothic"/>
          <w:sz w:val="26"/>
          <w:szCs w:val="26"/>
        </w:rPr>
        <w:t xml:space="preserve"> para quedar redactado de la siguiente manera: </w:t>
      </w:r>
    </w:p>
    <w:p w14:paraId="706FDD2D" w14:textId="77777777" w:rsidR="00E9283D" w:rsidRDefault="00E9283D">
      <w:pPr>
        <w:pBdr>
          <w:top w:val="nil"/>
          <w:left w:val="nil"/>
          <w:bottom w:val="nil"/>
          <w:right w:val="nil"/>
          <w:between w:val="nil"/>
        </w:pBdr>
        <w:spacing w:line="240" w:lineRule="auto"/>
        <w:jc w:val="both"/>
        <w:rPr>
          <w:rFonts w:ascii="Century Gothic" w:eastAsia="Century Gothic" w:hAnsi="Century Gothic" w:cs="Century Gothic"/>
          <w:sz w:val="26"/>
          <w:szCs w:val="26"/>
        </w:rPr>
      </w:pPr>
    </w:p>
    <w:p w14:paraId="0E85090D" w14:textId="77777777" w:rsidR="00E9283D" w:rsidRDefault="009625CB">
      <w:pPr>
        <w:spacing w:line="240" w:lineRule="auto"/>
        <w:jc w:val="both"/>
        <w:rPr>
          <w:rFonts w:ascii="Century Gothic" w:eastAsia="Century Gothic" w:hAnsi="Century Gothic" w:cs="Century Gothic"/>
          <w:sz w:val="26"/>
          <w:szCs w:val="26"/>
        </w:rPr>
      </w:pPr>
      <w:r>
        <w:rPr>
          <w:rFonts w:ascii="Century Gothic" w:eastAsia="Century Gothic" w:hAnsi="Century Gothic" w:cs="Century Gothic"/>
          <w:b/>
          <w:bCs/>
          <w:sz w:val="26"/>
          <w:szCs w:val="26"/>
        </w:rPr>
        <w:t xml:space="preserve">Artículo 31. </w:t>
      </w:r>
      <w:r>
        <w:rPr>
          <w:rFonts w:ascii="Century Gothic" w:eastAsia="Century Gothic" w:hAnsi="Century Gothic" w:cs="Century Gothic"/>
          <w:sz w:val="26"/>
          <w:szCs w:val="26"/>
        </w:rPr>
        <w:t>Corresponde a la Secretaría de Seguridad Pública:</w:t>
      </w:r>
    </w:p>
    <w:p w14:paraId="20B8FB63" w14:textId="77777777" w:rsidR="00E9283D" w:rsidRDefault="009625CB">
      <w:pPr>
        <w:pBdr>
          <w:top w:val="nil"/>
          <w:left w:val="nil"/>
          <w:bottom w:val="nil"/>
          <w:right w:val="nil"/>
          <w:between w:val="nil"/>
        </w:pBdr>
        <w:spacing w:line="240" w:lineRule="auto"/>
        <w:jc w:val="both"/>
        <w:rPr>
          <w:rFonts w:ascii="Century Gothic" w:eastAsia="Century Gothic" w:hAnsi="Century Gothic" w:cs="Century Gothic"/>
          <w:sz w:val="26"/>
          <w:szCs w:val="26"/>
        </w:rPr>
      </w:pPr>
      <w:r>
        <w:rPr>
          <w:rFonts w:ascii="Century Gothic" w:eastAsia="Century Gothic" w:hAnsi="Century Gothic" w:cs="Century Gothic"/>
          <w:sz w:val="26"/>
          <w:szCs w:val="26"/>
        </w:rPr>
        <w:t>I a II …</w:t>
      </w:r>
    </w:p>
    <w:p w14:paraId="7390B943" w14:textId="77777777" w:rsidR="00E9283D" w:rsidRDefault="009625CB">
      <w:pPr>
        <w:spacing w:line="240" w:lineRule="auto"/>
        <w:jc w:val="both"/>
        <w:rPr>
          <w:rFonts w:ascii="Century Gothic" w:eastAsia="Century Gothic" w:hAnsi="Century Gothic" w:cs="Century Gothic"/>
          <w:b/>
          <w:bCs/>
          <w:sz w:val="26"/>
          <w:szCs w:val="26"/>
        </w:rPr>
      </w:pPr>
      <w:r>
        <w:rPr>
          <w:rFonts w:ascii="Century Gothic" w:eastAsia="Century Gothic" w:hAnsi="Century Gothic" w:cs="Century Gothic"/>
          <w:b/>
          <w:bCs/>
          <w:sz w:val="26"/>
          <w:szCs w:val="26"/>
        </w:rPr>
        <w:t>III. Establece</w:t>
      </w:r>
      <w:r>
        <w:rPr>
          <w:rFonts w:ascii="Century Gothic" w:eastAsia="Century Gothic" w:hAnsi="Century Gothic" w:cs="Century Gothic"/>
          <w:b/>
          <w:bCs/>
          <w:sz w:val="26"/>
          <w:szCs w:val="26"/>
        </w:rPr>
        <w:t>r mecanismos de coordinación con las autoridades responsables de la operación de refugios, casas de emergencia y albergues destinados a mujeres víctimas de violencia, a fin de implementar, cuando sea necesario y previa solicitud de la autoridad competente,</w:t>
      </w:r>
      <w:r>
        <w:rPr>
          <w:rFonts w:ascii="Century Gothic" w:eastAsia="Century Gothic" w:hAnsi="Century Gothic" w:cs="Century Gothic"/>
          <w:b/>
          <w:bCs/>
          <w:sz w:val="26"/>
          <w:szCs w:val="26"/>
        </w:rPr>
        <w:t xml:space="preserve"> las acciones de seguridad que permitan proteger la integridad de las personas usuarias y del personal que presta sus servicios.</w:t>
      </w:r>
    </w:p>
    <w:p w14:paraId="1220374E" w14:textId="77777777" w:rsidR="00E9283D" w:rsidRDefault="00E9283D">
      <w:pPr>
        <w:pBdr>
          <w:top w:val="nil"/>
          <w:left w:val="nil"/>
          <w:bottom w:val="nil"/>
          <w:right w:val="nil"/>
          <w:between w:val="nil"/>
        </w:pBdr>
        <w:spacing w:after="0" w:line="360" w:lineRule="auto"/>
        <w:rPr>
          <w:rFonts w:ascii="Century Gothic" w:eastAsia="Century Gothic" w:hAnsi="Century Gothic" w:cs="Century Gothic"/>
          <w:b/>
          <w:bCs/>
          <w:color w:val="000000"/>
          <w:sz w:val="26"/>
          <w:szCs w:val="26"/>
        </w:rPr>
      </w:pPr>
    </w:p>
    <w:p w14:paraId="78F65777" w14:textId="77777777" w:rsidR="00E9283D" w:rsidRDefault="009625CB">
      <w:pPr>
        <w:pBdr>
          <w:top w:val="nil"/>
          <w:left w:val="nil"/>
          <w:bottom w:val="nil"/>
          <w:right w:val="nil"/>
          <w:between w:val="nil"/>
        </w:pBdr>
        <w:spacing w:after="0" w:line="360" w:lineRule="auto"/>
        <w:ind w:firstLine="709"/>
        <w:jc w:val="center"/>
        <w:rPr>
          <w:rFonts w:ascii="Century Gothic" w:eastAsia="Century Gothic" w:hAnsi="Century Gothic" w:cs="Century Gothic"/>
          <w:b/>
          <w:bCs/>
          <w:sz w:val="26"/>
          <w:szCs w:val="26"/>
        </w:rPr>
      </w:pPr>
      <w:r>
        <w:rPr>
          <w:rFonts w:ascii="Century Gothic" w:eastAsia="Century Gothic" w:hAnsi="Century Gothic" w:cs="Century Gothic"/>
          <w:b/>
          <w:bCs/>
          <w:color w:val="000000"/>
          <w:sz w:val="26"/>
          <w:szCs w:val="26"/>
        </w:rPr>
        <w:t>TRANSITORIOS</w:t>
      </w:r>
    </w:p>
    <w:p w14:paraId="1D866FE9" w14:textId="77777777" w:rsidR="00E9283D" w:rsidRDefault="009625CB">
      <w:pPr>
        <w:pBdr>
          <w:top w:val="nil"/>
          <w:left w:val="nil"/>
          <w:bottom w:val="nil"/>
          <w:right w:val="nil"/>
          <w:between w:val="nil"/>
        </w:pBdr>
        <w:spacing w:after="0" w:line="360" w:lineRule="auto"/>
        <w:ind w:firstLine="709"/>
        <w:jc w:val="both"/>
        <w:rPr>
          <w:rFonts w:ascii="Century Gothic" w:eastAsia="Century Gothic" w:hAnsi="Century Gothic" w:cs="Century Gothic"/>
          <w:color w:val="000000"/>
          <w:sz w:val="26"/>
          <w:szCs w:val="26"/>
        </w:rPr>
      </w:pPr>
      <w:r>
        <w:rPr>
          <w:rFonts w:ascii="Century Gothic" w:eastAsia="Century Gothic" w:hAnsi="Century Gothic" w:cs="Century Gothic"/>
          <w:b/>
          <w:bCs/>
          <w:sz w:val="26"/>
          <w:szCs w:val="26"/>
        </w:rPr>
        <w:t>PRIMERO</w:t>
      </w:r>
      <w:r>
        <w:rPr>
          <w:rFonts w:ascii="Century Gothic" w:eastAsia="Century Gothic" w:hAnsi="Century Gothic" w:cs="Century Gothic"/>
          <w:b/>
          <w:bCs/>
          <w:color w:val="000000"/>
          <w:sz w:val="26"/>
          <w:szCs w:val="26"/>
        </w:rPr>
        <w:t xml:space="preserve">. </w:t>
      </w:r>
      <w:r>
        <w:rPr>
          <w:rFonts w:ascii="Century Gothic" w:eastAsia="Century Gothic" w:hAnsi="Century Gothic" w:cs="Century Gothic"/>
          <w:color w:val="000000"/>
          <w:sz w:val="26"/>
          <w:szCs w:val="26"/>
        </w:rPr>
        <w:t>El presente Decreto entrará en vigor al día siguiente de su publicación en el Periódico Oficial del Estado.</w:t>
      </w:r>
    </w:p>
    <w:p w14:paraId="498004E7" w14:textId="77777777" w:rsidR="00E9283D" w:rsidRDefault="00E9283D">
      <w:pPr>
        <w:pBdr>
          <w:top w:val="nil"/>
          <w:left w:val="nil"/>
          <w:bottom w:val="nil"/>
          <w:right w:val="nil"/>
          <w:between w:val="nil"/>
        </w:pBdr>
        <w:spacing w:after="0" w:line="360" w:lineRule="auto"/>
        <w:ind w:firstLine="709"/>
        <w:jc w:val="both"/>
        <w:rPr>
          <w:rFonts w:ascii="Century Gothic" w:eastAsia="Century Gothic" w:hAnsi="Century Gothic" w:cs="Century Gothic"/>
          <w:color w:val="000000"/>
          <w:sz w:val="26"/>
          <w:szCs w:val="26"/>
        </w:rPr>
      </w:pPr>
    </w:p>
    <w:p w14:paraId="4F48E1CA" w14:textId="77777777" w:rsidR="00E9283D" w:rsidRDefault="009625CB">
      <w:pPr>
        <w:spacing w:line="360" w:lineRule="auto"/>
        <w:jc w:val="both"/>
        <w:rPr>
          <w:rFonts w:ascii="Century Gothic" w:eastAsia="Century Gothic" w:hAnsi="Century Gothic" w:cs="Century Gothic"/>
          <w:b/>
          <w:bCs/>
          <w:sz w:val="26"/>
          <w:szCs w:val="26"/>
        </w:rPr>
      </w:pPr>
      <w:r>
        <w:rPr>
          <w:rFonts w:ascii="Century Gothic" w:eastAsia="Century Gothic" w:hAnsi="Century Gothic" w:cs="Century Gothic"/>
          <w:color w:val="000000"/>
          <w:sz w:val="26"/>
          <w:szCs w:val="26"/>
        </w:rPr>
        <w:t xml:space="preserve">DADO EN </w:t>
      </w:r>
      <w:r>
        <w:rPr>
          <w:rFonts w:ascii="Century Gothic" w:eastAsia="Century Gothic" w:hAnsi="Century Gothic" w:cs="Century Gothic"/>
          <w:sz w:val="26"/>
          <w:szCs w:val="26"/>
        </w:rPr>
        <w:t xml:space="preserve">OFICIALÍA DE PARTES </w:t>
      </w:r>
      <w:r>
        <w:rPr>
          <w:rFonts w:ascii="Century Gothic" w:eastAsia="Century Gothic" w:hAnsi="Century Gothic" w:cs="Century Gothic"/>
          <w:color w:val="000000"/>
          <w:sz w:val="26"/>
          <w:szCs w:val="26"/>
        </w:rPr>
        <w:t>DEL H. CONGRESO DEL ESTADO DE CHIHUAHUA A LOS</w:t>
      </w:r>
      <w:r>
        <w:rPr>
          <w:rFonts w:ascii="Century Gothic" w:eastAsia="Century Gothic" w:hAnsi="Century Gothic" w:cs="Century Gothic"/>
          <w:sz w:val="26"/>
          <w:szCs w:val="26"/>
        </w:rPr>
        <w:t xml:space="preserve"> 31 DÍAS DEL MES DE AGOSTO </w:t>
      </w:r>
      <w:r>
        <w:rPr>
          <w:rFonts w:ascii="Century Gothic" w:eastAsia="Century Gothic" w:hAnsi="Century Gothic" w:cs="Century Gothic"/>
          <w:color w:val="000000"/>
          <w:sz w:val="26"/>
          <w:szCs w:val="26"/>
        </w:rPr>
        <w:t>DEL 2026.</w:t>
      </w:r>
    </w:p>
    <w:p w14:paraId="3A0AF459" w14:textId="77777777" w:rsidR="00E9283D" w:rsidRDefault="00E9283D">
      <w:pPr>
        <w:spacing w:after="0" w:line="360" w:lineRule="auto"/>
        <w:jc w:val="center"/>
        <w:rPr>
          <w:rFonts w:ascii="Century Gothic" w:eastAsia="Century Gothic" w:hAnsi="Century Gothic" w:cs="Century Gothic"/>
          <w:b/>
          <w:bCs/>
          <w:sz w:val="26"/>
          <w:szCs w:val="26"/>
        </w:rPr>
      </w:pPr>
    </w:p>
    <w:p w14:paraId="514CDEBC" w14:textId="77777777" w:rsidR="00E9283D" w:rsidRDefault="009625CB">
      <w:pPr>
        <w:spacing w:after="0"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SUSCRIBE</w:t>
      </w:r>
    </w:p>
    <w:p w14:paraId="0D09BB6D" w14:textId="77777777" w:rsidR="00E9283D" w:rsidRDefault="00E9283D">
      <w:pPr>
        <w:spacing w:line="360" w:lineRule="auto"/>
        <w:rPr>
          <w:rFonts w:ascii="Century Gothic" w:eastAsia="Century Gothic" w:hAnsi="Century Gothic" w:cs="Century Gothic"/>
          <w:b/>
          <w:bCs/>
          <w:sz w:val="26"/>
          <w:szCs w:val="26"/>
        </w:rPr>
      </w:pPr>
    </w:p>
    <w:p w14:paraId="4967F201" w14:textId="77777777" w:rsidR="00E9283D" w:rsidRDefault="009625CB">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DIP. JOCELINE VEGA VARGAS</w:t>
      </w:r>
    </w:p>
    <w:p w14:paraId="33BBED0D" w14:textId="77777777" w:rsidR="00E9283D" w:rsidRDefault="00E9283D">
      <w:pPr>
        <w:spacing w:line="360" w:lineRule="auto"/>
        <w:rPr>
          <w:rFonts w:ascii="Century Gothic" w:eastAsia="Century Gothic" w:hAnsi="Century Gothic" w:cs="Century Gothic"/>
          <w:b/>
          <w:bCs/>
          <w:sz w:val="26"/>
          <w:szCs w:val="26"/>
        </w:rPr>
      </w:pPr>
    </w:p>
    <w:sectPr w:rsidR="00E9283D">
      <w:headerReference w:type="default" r:id="rId7"/>
      <w:footerReference w:type="even" r:id="rId8"/>
      <w:footerReference w:type="default" r:id="rId9"/>
      <w:pgSz w:w="12240" w:h="15840"/>
      <w:pgMar w:top="3969" w:right="1701"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7E597" w14:textId="77777777" w:rsidR="00000000" w:rsidRDefault="009625CB">
      <w:pPr>
        <w:spacing w:after="0" w:line="240" w:lineRule="auto"/>
      </w:pPr>
      <w:r>
        <w:separator/>
      </w:r>
    </w:p>
  </w:endnote>
  <w:endnote w:type="continuationSeparator" w:id="0">
    <w:p w14:paraId="27F41AC0" w14:textId="77777777" w:rsidR="00000000" w:rsidRDefault="00962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B0FCFE74-7904-401D-A030-08AA4A13A475}"/>
    <w:embedBold r:id="rId2" w:fontKey="{BDA95A55-22FF-4FCC-99FA-5FD09D2CCD68}"/>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3E6DB007-A7FC-4C3E-8043-E2C40CE989A1}"/>
  </w:font>
  <w:font w:name="Century Gothic">
    <w:panose1 w:val="020B0502020202020204"/>
    <w:charset w:val="00"/>
    <w:family w:val="swiss"/>
    <w:pitch w:val="variable"/>
    <w:sig w:usb0="00000287" w:usb1="00000000" w:usb2="00000000" w:usb3="00000000" w:csb0="0000009F" w:csb1="00000000"/>
    <w:embedRegular r:id="rId4" w:fontKey="{13C3F746-3DE3-4520-9C8A-7810A69A32DF}"/>
    <w:embedBold r:id="rId5" w:fontKey="{89483339-BCD6-4F6D-B3B7-51F75A153092}"/>
    <w:embedBoldItalic r:id="rId6" w:fontKey="{1A67850D-F843-4FA7-B5CE-6A2CF3B508AC}"/>
  </w:font>
  <w:font w:name="Cambria">
    <w:panose1 w:val="02040503050406030204"/>
    <w:charset w:val="00"/>
    <w:family w:val="roman"/>
    <w:pitch w:val="variable"/>
    <w:sig w:usb0="E00006FF" w:usb1="420024FF" w:usb2="02000000" w:usb3="00000000" w:csb0="0000019F" w:csb1="00000000"/>
    <w:embedRegular r:id="rId7" w:fontKey="{234274F4-BF1F-4EE6-8408-0A4A8BA22E4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DDAED" w14:textId="77777777" w:rsidR="00E9283D" w:rsidRDefault="009625CB">
    <w:pPr>
      <w:pBdr>
        <w:top w:val="nil"/>
        <w:left w:val="nil"/>
        <w:bottom w:val="nil"/>
        <w:right w:val="nil"/>
        <w:between w:val="nil"/>
      </w:pBdr>
      <w:tabs>
        <w:tab w:val="center" w:pos="4419"/>
        <w:tab w:val="right" w:pos="88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F746FB8" w14:textId="77777777" w:rsidR="00E9283D" w:rsidRDefault="00E9283D">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0F182" w14:textId="77777777" w:rsidR="00E9283D" w:rsidRDefault="009625CB">
    <w:pPr>
      <w:jc w:val="center"/>
      <w:rPr>
        <w:rFonts w:ascii="Century Gothic" w:eastAsia="Century Gothic" w:hAnsi="Century Gothic" w:cs="Century Gothic"/>
        <w:sz w:val="26"/>
        <w:szCs w:val="26"/>
      </w:rPr>
    </w:pPr>
    <w:r>
      <w:rPr>
        <w:rFonts w:ascii="Century Gothic" w:eastAsia="Century Gothic" w:hAnsi="Century Gothic" w:cs="Century Gothic"/>
        <w:sz w:val="26"/>
        <w:szCs w:val="26"/>
      </w:rPr>
      <w:fldChar w:fldCharType="begin"/>
    </w:r>
    <w:r>
      <w:rPr>
        <w:rFonts w:ascii="Century Gothic" w:eastAsia="Century Gothic" w:hAnsi="Century Gothic" w:cs="Century Gothic"/>
        <w:sz w:val="26"/>
        <w:szCs w:val="26"/>
      </w:rPr>
      <w:instrText>PAGE</w:instrText>
    </w:r>
    <w:r>
      <w:rPr>
        <w:rFonts w:ascii="Century Gothic" w:eastAsia="Century Gothic" w:hAnsi="Century Gothic" w:cs="Century Gothic"/>
        <w:sz w:val="26"/>
        <w:szCs w:val="26"/>
      </w:rPr>
      <w:fldChar w:fldCharType="separate"/>
    </w:r>
    <w:r>
      <w:rPr>
        <w:rFonts w:ascii="Century Gothic" w:eastAsia="Century Gothic" w:hAnsi="Century Gothic" w:cs="Century Gothic"/>
        <w:noProof/>
        <w:sz w:val="26"/>
        <w:szCs w:val="26"/>
      </w:rPr>
      <w:t>1</w:t>
    </w:r>
    <w:r>
      <w:rPr>
        <w:rFonts w:ascii="Century Gothic" w:eastAsia="Century Gothic" w:hAnsi="Century Gothic" w:cs="Century Gothic"/>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1D9A6" w14:textId="77777777" w:rsidR="00000000" w:rsidRDefault="009625CB">
      <w:pPr>
        <w:spacing w:after="0" w:line="240" w:lineRule="auto"/>
      </w:pPr>
      <w:r>
        <w:separator/>
      </w:r>
    </w:p>
  </w:footnote>
  <w:footnote w:type="continuationSeparator" w:id="0">
    <w:p w14:paraId="1E015653" w14:textId="77777777" w:rsidR="00000000" w:rsidRDefault="009625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AEA22" w14:textId="77777777" w:rsidR="00E9283D" w:rsidRDefault="009625CB">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g">
          <w:drawing>
            <wp:anchor distT="0" distB="0" distL="0" distR="0" simplePos="0" relativeHeight="251658240" behindDoc="1" locked="0" layoutInCell="1" hidden="0" allowOverlap="1" wp14:anchorId="1FAA6D0F" wp14:editId="6826A1BA">
              <wp:simplePos x="0" y="0"/>
              <wp:positionH relativeFrom="column">
                <wp:posOffset>1332728</wp:posOffset>
              </wp:positionH>
              <wp:positionV relativeFrom="paragraph">
                <wp:posOffset>-174804</wp:posOffset>
              </wp:positionV>
              <wp:extent cx="4303214" cy="704850"/>
              <wp:effectExtent l="0" t="0" r="0" b="0"/>
              <wp:wrapNone/>
              <wp:docPr id="13" name=""/>
              <wp:cNvGraphicFramePr/>
              <a:graphic xmlns:a="http://schemas.openxmlformats.org/drawingml/2006/main">
                <a:graphicData uri="http://schemas.microsoft.com/office/word/2010/wordprocessingShape">
                  <wps:wsp>
                    <wps:cNvSpPr/>
                    <wps:spPr>
                      <a:xfrm>
                        <a:off x="3218206" y="3451388"/>
                        <a:ext cx="4255589" cy="657225"/>
                      </a:xfrm>
                      <a:prstGeom prst="rect">
                        <a:avLst/>
                      </a:prstGeom>
                      <a:solidFill>
                        <a:srgbClr val="FFFFFF"/>
                      </a:solidFill>
                      <a:ln>
                        <a:noFill/>
                      </a:ln>
                    </wps:spPr>
                    <wps:txbx>
                      <w:txbxContent>
                        <w:p w14:paraId="0BE5ABAD" w14:textId="77777777" w:rsidR="00E9283D" w:rsidRDefault="009625CB">
                          <w:pPr>
                            <w:spacing w:after="0" w:line="240" w:lineRule="auto"/>
                            <w:jc w:val="right"/>
                            <w:textDirection w:val="btLr"/>
                          </w:pPr>
                          <w:r>
                            <w:rPr>
                              <w:rFonts w:ascii="Century Gothic" w:eastAsia="Century Gothic" w:hAnsi="Century Gothic" w:cs="Century Gothic"/>
                              <w:b/>
                              <w:i/>
                              <w:color w:val="000000"/>
                              <w:sz w:val="20"/>
                            </w:rPr>
                            <w:t>“</w:t>
                          </w:r>
                          <w:r>
                            <w:rPr>
                              <w:rFonts w:ascii="Century Gothic" w:eastAsia="Century Gothic" w:hAnsi="Century Gothic" w:cs="Century Gothic"/>
                              <w:b/>
                              <w:color w:val="000000"/>
                            </w:rPr>
                            <w:t>2026, Año del Bicentenario de la Abolición de la Esclavitud en el Estado de Chihuahua</w:t>
                          </w:r>
                          <w:r>
                            <w:rPr>
                              <w:rFonts w:ascii="Century Gothic" w:eastAsia="Century Gothic" w:hAnsi="Century Gothic" w:cs="Century Gothic"/>
                              <w:b/>
                              <w:i/>
                              <w:color w:val="000000"/>
                              <w:sz w:val="28"/>
                            </w:rPr>
                            <w:t xml:space="preserve">”                                                                 </w:t>
                          </w:r>
                        </w:p>
                        <w:p w14:paraId="04F7CB04" w14:textId="77777777" w:rsidR="00E9283D" w:rsidRDefault="00E9283D">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1332728</wp:posOffset>
              </wp:positionH>
              <wp:positionV relativeFrom="paragraph">
                <wp:posOffset>-174804</wp:posOffset>
              </wp:positionV>
              <wp:extent cx="4303214" cy="704850"/>
              <wp:effectExtent b="0" l="0" r="0" t="0"/>
              <wp:wrapNone/>
              <wp:docPr id="1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4303214" cy="704850"/>
                      </a:xfrm>
                      <a:prstGeom prst="rect"/>
                      <a:ln/>
                    </pic:spPr>
                  </pic:pic>
                </a:graphicData>
              </a:graphic>
            </wp:anchor>
          </w:drawing>
        </mc:Fallback>
      </mc:AlternateContent>
    </w:r>
    <w:r>
      <w:rPr>
        <w:noProof/>
      </w:rPr>
      <w:drawing>
        <wp:anchor distT="0" distB="0" distL="0" distR="0" simplePos="0" relativeHeight="251659264" behindDoc="1" locked="0" layoutInCell="1" hidden="0" allowOverlap="1" wp14:anchorId="2D174F23" wp14:editId="7243C123">
          <wp:simplePos x="0" y="0"/>
          <wp:positionH relativeFrom="column">
            <wp:posOffset>3315639</wp:posOffset>
          </wp:positionH>
          <wp:positionV relativeFrom="paragraph">
            <wp:posOffset>788670</wp:posOffset>
          </wp:positionV>
          <wp:extent cx="2296490" cy="1012190"/>
          <wp:effectExtent l="0" t="0" r="0" b="0"/>
          <wp:wrapNone/>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2296490" cy="1012190"/>
                  </a:xfrm>
                  <a:prstGeom prst="rect">
                    <a:avLst/>
                  </a:prstGeom>
                  <a:ln/>
                </pic:spPr>
              </pic:pic>
            </a:graphicData>
          </a:graphic>
        </wp:anchor>
      </w:drawing>
    </w:r>
    <w:r>
      <w:rPr>
        <w:noProof/>
      </w:rPr>
      <w:drawing>
        <wp:anchor distT="0" distB="0" distL="0" distR="0" simplePos="0" relativeHeight="251660288" behindDoc="1" locked="0" layoutInCell="1" hidden="0" allowOverlap="1" wp14:anchorId="2C554A3C" wp14:editId="5F0DB6A3">
          <wp:simplePos x="0" y="0"/>
          <wp:positionH relativeFrom="column">
            <wp:posOffset>-333370</wp:posOffset>
          </wp:positionH>
          <wp:positionV relativeFrom="paragraph">
            <wp:posOffset>-116200</wp:posOffset>
          </wp:positionV>
          <wp:extent cx="1790700" cy="1790700"/>
          <wp:effectExtent l="0" t="0" r="0" b="0"/>
          <wp:wrapNone/>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1790700" cy="1790700"/>
                  </a:xfrm>
                  <a:prstGeom prst="rect">
                    <a:avLst/>
                  </a:prstGeom>
                  <a:ln/>
                </pic:spPr>
              </pic:pic>
            </a:graphicData>
          </a:graphic>
        </wp:anchor>
      </w:drawing>
    </w:r>
    <w:r>
      <w:rPr>
        <w:noProof/>
      </w:rPr>
      <w:drawing>
        <wp:anchor distT="0" distB="0" distL="0" distR="0" simplePos="0" relativeHeight="251661312" behindDoc="1" locked="0" layoutInCell="1" hidden="0" allowOverlap="1" wp14:anchorId="2C247910" wp14:editId="0E45193B">
          <wp:simplePos x="0" y="0"/>
          <wp:positionH relativeFrom="column">
            <wp:posOffset>1265555</wp:posOffset>
          </wp:positionH>
          <wp:positionV relativeFrom="paragraph">
            <wp:posOffset>550545</wp:posOffset>
          </wp:positionV>
          <wp:extent cx="4346575" cy="36830"/>
          <wp:effectExtent l="0" t="0" r="0" b="0"/>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4346575" cy="3683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83D"/>
    <w:rsid w:val="009625CB"/>
    <w:rsid w:val="00E9283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52406"/>
  <w15:docId w15:val="{D08C86A4-E176-4B7B-A700-C74F2EDC3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widowControl w:val="0"/>
      <w:spacing w:after="0" w:line="276" w:lineRule="auto"/>
      <w:ind w:left="163" w:right="50"/>
      <w:jc w:val="center"/>
      <w:outlineLvl w:val="0"/>
    </w:pPr>
    <w:rPr>
      <w:rFonts w:ascii="Arial" w:eastAsia="Arial" w:hAnsi="Arial" w:cs="Arial"/>
      <w:b/>
      <w:bCs/>
      <w:sz w:val="24"/>
      <w:szCs w:val="24"/>
    </w:rPr>
  </w:style>
  <w:style w:type="paragraph" w:styleId="Ttulo2">
    <w:name w:val="heading 2"/>
    <w:basedOn w:val="Normal"/>
    <w:next w:val="Normal"/>
    <w:uiPriority w:val="9"/>
    <w:semiHidden/>
    <w:unhideWhenUsed/>
    <w:qFormat/>
    <w:pPr>
      <w:widowControl w:val="0"/>
      <w:spacing w:after="0" w:line="240" w:lineRule="auto"/>
      <w:ind w:left="163" w:right="132"/>
      <w:jc w:val="center"/>
      <w:outlineLvl w:val="1"/>
    </w:pPr>
    <w:rPr>
      <w:rFonts w:ascii="Arial" w:eastAsia="Arial" w:hAnsi="Arial" w:cs="Arial"/>
      <w:b/>
      <w:bCs/>
      <w:sz w:val="20"/>
      <w:szCs w:val="20"/>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4.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tMS6hDS/JdCvfXVC5rKWp84CLg==">CgMxLjA4AHIhMUpJeGpIbVBiNVh4am5QcWU0VkhnTWc2ZEpMczFKUm8x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1149</Words>
  <Characters>6324</Characters>
  <Application>Microsoft Office Word</Application>
  <DocSecurity>0</DocSecurity>
  <Lines>52</Lines>
  <Paragraphs>14</Paragraphs>
  <ScaleCrop>false</ScaleCrop>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Daniela Flores Chacon</dc:creator>
  <cp:lastModifiedBy>Andrea Daniela Flores Chacon</cp:lastModifiedBy>
  <cp:revision>2</cp:revision>
  <dcterms:created xsi:type="dcterms:W3CDTF">2026-08-31T20:24:00Z</dcterms:created>
  <dcterms:modified xsi:type="dcterms:W3CDTF">2026-08-31T20:24:00Z</dcterms:modified>
</cp:coreProperties>
</file>