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3F19" w14:textId="77777777" w:rsidR="00F95F5D" w:rsidRDefault="00F95F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</w:p>
    <w:p w14:paraId="4EBA67D7" w14:textId="77777777" w:rsidR="00F95F5D" w:rsidRDefault="00996431">
      <w:pPr>
        <w:spacing w:line="258" w:lineRule="auto"/>
        <w:jc w:val="both"/>
        <w:rPr>
          <w:rFonts w:ascii="Century Gothic" w:eastAsia="Century Gothic" w:hAnsi="Century Gothic" w:cs="Century Gothic"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 xml:space="preserve">INICIATIVA CON PROYECTO DE DECRETO POR EL QUE SE </w:t>
      </w:r>
      <w:r>
        <w:rPr>
          <w:rFonts w:ascii="Century Gothic" w:eastAsia="Century Gothic" w:hAnsi="Century Gothic" w:cs="Century Gothic"/>
          <w:b/>
          <w:bCs/>
          <w:sz w:val="26"/>
          <w:szCs w:val="26"/>
        </w:rPr>
        <w:t>REFORMA Y ADICIONA UNA FRACCIÓN AL ARTÍCULO 62 DE LA LEY DE DERECHOS DE LAS PERSONAS MAYORES DEL ESTADO DE CHIHUAHUA, EN MATERIA DE ATENCIÓN PREFERENTE Y ESPACIOS ACCESIBLES EN OFICINAS PÚBLICAS.</w:t>
      </w:r>
    </w:p>
    <w:p w14:paraId="602E8110" w14:textId="77777777" w:rsidR="00F95F5D" w:rsidRDefault="00F95F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</w:p>
    <w:p w14:paraId="731A3A78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H. CONGRESO DEL ESTADO DE CHIHUAHUA</w:t>
      </w:r>
    </w:p>
    <w:p w14:paraId="504210DE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PRESENTE. –</w:t>
      </w:r>
    </w:p>
    <w:p w14:paraId="118DF77B" w14:textId="77777777" w:rsidR="00F95F5D" w:rsidRDefault="00F95F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</w:p>
    <w:p w14:paraId="0E5BF391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>La suscrit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a </w:t>
      </w: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JOCELINE VEGA VARGAS,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en mi carácter de diputada de la </w:t>
      </w: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SEXAGÉSIMA OCTAVA LEGISLATURA DEL H. CONGRESO DEL ESTADO DE CHIHUAHUA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, integrante del </w:t>
      </w: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GRUPO PARLAMENTARIO DEL PARTIDO ACCIÓN NACIONAL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, con fundamento en lo dispuesto por las fracciones I y </w:t>
      </w:r>
      <w:proofErr w:type="spellStart"/>
      <w:r>
        <w:rPr>
          <w:rFonts w:ascii="Century Gothic" w:eastAsia="Century Gothic" w:hAnsi="Century Gothic" w:cs="Century Gothic"/>
          <w:color w:val="000000"/>
          <w:sz w:val="26"/>
          <w:szCs w:val="26"/>
        </w:rPr>
        <w:t>Il</w:t>
      </w:r>
      <w:proofErr w:type="spellEnd"/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del art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ículo 64; y fracción I del artículo 68 de la Constitución Política del Estado de Chihuahua; así como de la fracción | del artículo 167 de la Ley Orgánica del Poder Legislativo, así como el artículo 77 del Reglamento Interior y de Prácticas Parlamentarias d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el Poder Legislativo, someto a la consideración de esta Honorable Asamblea la presente </w:t>
      </w: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 xml:space="preserve">INICIATIVA CON CARÁCTER DE DECRETO,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esto al tenor de la siguiente: </w:t>
      </w:r>
    </w:p>
    <w:p w14:paraId="789BB8E5" w14:textId="77777777" w:rsidR="00F95F5D" w:rsidRDefault="00F95F5D">
      <w:pPr>
        <w:spacing w:line="276" w:lineRule="auto"/>
        <w:jc w:val="both"/>
        <w:rPr>
          <w:rFonts w:ascii="Century Gothic" w:eastAsia="Century Gothic" w:hAnsi="Century Gothic" w:cs="Century Gothic"/>
          <w:b/>
          <w:bCs/>
          <w:sz w:val="26"/>
          <w:szCs w:val="26"/>
        </w:rPr>
      </w:pPr>
    </w:p>
    <w:p w14:paraId="09112461" w14:textId="77777777" w:rsidR="00F95F5D" w:rsidRDefault="00996431">
      <w:pPr>
        <w:spacing w:line="276" w:lineRule="auto"/>
        <w:jc w:val="center"/>
        <w:rPr>
          <w:rFonts w:ascii="Century Gothic" w:eastAsia="Century Gothic" w:hAnsi="Century Gothic" w:cs="Century Gothic"/>
          <w:b/>
          <w:bCs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sz w:val="26"/>
          <w:szCs w:val="26"/>
        </w:rPr>
        <w:t>EXPOSICIÓN DE MOTIVOS</w:t>
      </w:r>
    </w:p>
    <w:p w14:paraId="71AD4206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ab/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Las personas mayores representan uno de los sectores de la población que más contribuciones han realizado al desarrollo social, económico y comunitario de nuestro Estado. Su experiencia, trabajo y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lastRenderedPageBreak/>
        <w:t>aportaciones han sido fundamentales en la construcción de l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as instituciones y comunidades que hoy integran nuestra sociedad. Sin embargo, pese a ello, todavía enfrentan múltiples obstáculos cotidianos que limitan el ejercicio pleno de sus derechos y afectan su calidad de vida.</w:t>
      </w:r>
    </w:p>
    <w:p w14:paraId="1ECAE781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ab/>
        <w:t>Uno de los espacios donde estas difi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cultades se manifiestan con mayor frecuencia es precisamente en las oficinas públicas y centros de atención gubernamental. La realización de un trámite administrativo, el acceso a un servicio público o simplemente acudir a una ventanilla institucional pued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e convertirse en una experiencia desgastante para muchas personas mayores.</w:t>
      </w:r>
    </w:p>
    <w:p w14:paraId="691FF523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ab/>
        <w:t xml:space="preserve">En </w:t>
      </w:r>
      <w:r>
        <w:rPr>
          <w:rFonts w:ascii="Century Gothic" w:eastAsia="Century Gothic" w:hAnsi="Century Gothic" w:cs="Century Gothic"/>
          <w:sz w:val="26"/>
          <w:szCs w:val="26"/>
        </w:rPr>
        <w:t>el día a día,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es común observar a personas mayores esperando largos periodos de tiempo de pie, enfrentando filas extensas, permaneciendo en espacios reducidos o carentes de señalización adecuada.</w:t>
      </w:r>
    </w:p>
    <w:p w14:paraId="0A0C1F2D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ab/>
        <w:t>Estas situaciones, que muchas veces parecen menores o normalizadas, pued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en representar riesgos reales para su salud, integridad física y bienestar emocional. El cansancio prolongado, las dificultades de movilidad, las altas temperaturas y el desgaste físico asociado a largas esperas impactan de manera desproporcionada en este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grupo de población.</w:t>
      </w:r>
    </w:p>
    <w:p w14:paraId="0E14C490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ab/>
        <w:t xml:space="preserve">Hablar de atención preferente no debe limitarse a una disposición simbólica o a un principio abstracto contenido en la ley. </w:t>
      </w:r>
      <w:r>
        <w:rPr>
          <w:rFonts w:ascii="Century Gothic" w:eastAsia="Century Gothic" w:hAnsi="Century Gothic" w:cs="Century Gothic"/>
          <w:sz w:val="26"/>
          <w:szCs w:val="26"/>
        </w:rPr>
        <w:t xml:space="preserve">Muchas dependencias e instituciones si manejan esquemas de atención preferencial, sin embargo, esto responde a </w:t>
      </w:r>
      <w:r>
        <w:rPr>
          <w:rFonts w:ascii="Century Gothic" w:eastAsia="Century Gothic" w:hAnsi="Century Gothic" w:cs="Century Gothic"/>
          <w:sz w:val="26"/>
          <w:szCs w:val="26"/>
        </w:rPr>
        <w:t xml:space="preserve">prácticas de </w:t>
      </w:r>
      <w:r>
        <w:rPr>
          <w:rFonts w:ascii="Century Gothic" w:eastAsia="Century Gothic" w:hAnsi="Century Gothic" w:cs="Century Gothic"/>
          <w:sz w:val="26"/>
          <w:szCs w:val="26"/>
        </w:rPr>
        <w:lastRenderedPageBreak/>
        <w:t xml:space="preserve">buena fe que no necesariamente están impactadas en nuestro sistema normativo. </w:t>
      </w:r>
    </w:p>
    <w:p w14:paraId="4DC5792A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720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>La dignidad humana también se refleja en la forma en que el Estado recibe, atiende y acompaña a las personas en su interacción diaria con las instituciones públicas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.</w:t>
      </w:r>
    </w:p>
    <w:p w14:paraId="2BC62A95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ab/>
        <w:t>Una atención preferente que no puede identificarse claramente</w:t>
      </w:r>
      <w:r>
        <w:rPr>
          <w:rFonts w:ascii="Century Gothic" w:eastAsia="Century Gothic" w:hAnsi="Century Gothic" w:cs="Century Gothic"/>
          <w:sz w:val="26"/>
          <w:szCs w:val="26"/>
        </w:rPr>
        <w:t xml:space="preserve"> </w:t>
      </w:r>
      <w:proofErr w:type="gramStart"/>
      <w:r>
        <w:rPr>
          <w:rFonts w:ascii="Century Gothic" w:eastAsia="Century Gothic" w:hAnsi="Century Gothic" w:cs="Century Gothic"/>
          <w:sz w:val="26"/>
          <w:szCs w:val="26"/>
        </w:rPr>
        <w:t xml:space="preserve">o 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que</w:t>
      </w:r>
      <w:proofErr w:type="gramEnd"/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no cuenta con espacios visibles, difícilmente logra materializarse en beneficio real de quienes más la necesitan.</w:t>
      </w:r>
    </w:p>
    <w:p w14:paraId="6C5C664D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ab/>
        <w:t>La Ley de Derechos de las Personas Mayores del Estado de Chihuahua ya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contempla principios de atención diferenciada y preferente; sin embargo, resulta necesario fortalecer estos mandatos mediante medidas concretas y operativas que permitan avanzar hacia una atención pública más humana, accesible y sensible.</w:t>
      </w:r>
    </w:p>
    <w:p w14:paraId="2FCD7F73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ab/>
        <w:t>La presente ini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ciativa propone incorporar expresamente dentro de las obligaciones de las autoridades estatales y municipales la implementación de mecanismos de atención preferente y accesible para personas mayores en oficinas y espacios de atención al público, procurando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la existencia de asientos preferentes visibles, señalización adecuada y orientación accesible durante la realización de trámites y servicios.</w:t>
      </w:r>
    </w:p>
    <w:p w14:paraId="799F32C5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ab/>
        <w:t>Esta reforma parte de una visión sencilla pero profundamente necesaria: garantizar que las personas mayores pued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an acceder a los servicios públicos en condiciones de respeto, accesibilidad y dignidad, porque la inclusión que solo se queda en papel, no funciona. </w:t>
      </w:r>
    </w:p>
    <w:p w14:paraId="6B6BA128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lastRenderedPageBreak/>
        <w:tab/>
        <w:t>Porque una sociedad verdaderamente incluyente no se mide únicamente por lo que reconoce en sus leyes, si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no también por la forma en que trata diariamente a quienes merecen atención, respeto y consideración. </w:t>
      </w:r>
    </w:p>
    <w:p w14:paraId="1B126376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>Por lo anteriormente expuesto es que me permito proponer a consideración de esta asamblea el siguiente Proyecto de Decreto, para que una vez turnado a la Comisión Legislativa que le corresponda, se someta a la consideración de este Alto Cuerpo Colegiado.</w:t>
      </w:r>
    </w:p>
    <w:p w14:paraId="2B7E56F2" w14:textId="77777777" w:rsidR="00F95F5D" w:rsidRDefault="00F95F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</w:p>
    <w:p w14:paraId="28DA5AC8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DECRETO</w:t>
      </w:r>
    </w:p>
    <w:p w14:paraId="5BD96E77" w14:textId="77777777" w:rsidR="00F95F5D" w:rsidRDefault="00F95F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</w:p>
    <w:p w14:paraId="3F6FB3D5" w14:textId="77777777" w:rsidR="00F95F5D" w:rsidRDefault="00996431">
      <w:pPr>
        <w:pStyle w:val="Ttulo2"/>
        <w:ind w:left="0"/>
        <w:jc w:val="both"/>
        <w:rPr>
          <w:rFonts w:ascii="Century Gothic" w:eastAsia="Century Gothic" w:hAnsi="Century Gothic" w:cs="Century Gothic"/>
          <w:b w:val="0"/>
          <w:bCs w:val="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ARTÍCULO </w:t>
      </w:r>
      <w:r>
        <w:rPr>
          <w:rFonts w:ascii="Century Gothic" w:eastAsia="Century Gothic" w:hAnsi="Century Gothic" w:cs="Century Gothic"/>
          <w:sz w:val="26"/>
          <w:szCs w:val="26"/>
        </w:rPr>
        <w:t>ÚNICO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. </w:t>
      </w:r>
      <w:r>
        <w:rPr>
          <w:rFonts w:ascii="Century Gothic" w:eastAsia="Century Gothic" w:hAnsi="Century Gothic" w:cs="Century Gothic"/>
          <w:b w:val="0"/>
          <w:bCs w:val="0"/>
          <w:sz w:val="26"/>
          <w:szCs w:val="26"/>
        </w:rPr>
        <w:t xml:space="preserve">Se reforma la fracción X y se adiciona una fracción XI al artículo 62 de la Ley de Derechos de las Personas Mayores del Estado de Chihuahua, para quedar redactado de la siguiente manera: </w:t>
      </w:r>
    </w:p>
    <w:p w14:paraId="3B52BBBC" w14:textId="77777777" w:rsidR="00F95F5D" w:rsidRDefault="00F95F5D">
      <w:pPr>
        <w:pStyle w:val="Ttulo2"/>
        <w:ind w:left="0"/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6FF8EE77" w14:textId="77777777" w:rsidR="00F95F5D" w:rsidRDefault="00996431">
      <w:pPr>
        <w:pStyle w:val="Ttulo2"/>
        <w:ind w:left="0"/>
        <w:jc w:val="both"/>
        <w:rPr>
          <w:rFonts w:ascii="Century Gothic" w:eastAsia="Century Gothic" w:hAnsi="Century Gothic" w:cs="Century Gothic"/>
          <w:sz w:val="26"/>
          <w:szCs w:val="26"/>
        </w:rPr>
      </w:pPr>
      <w:r>
        <w:rPr>
          <w:rFonts w:ascii="Century Gothic" w:eastAsia="Century Gothic" w:hAnsi="Century Gothic" w:cs="Century Gothic"/>
          <w:sz w:val="26"/>
          <w:szCs w:val="26"/>
        </w:rPr>
        <w:t xml:space="preserve">Artículo 62. Las autoridades estatales y municipales, en el ámbito de sus respectivas competencias, desarrollarán las acciones tendientes a garantizar el cumplimiento de todos y cada uno de los derechos reconocidos a la persona mayor en la forma en que se </w:t>
      </w:r>
      <w:r>
        <w:rPr>
          <w:rFonts w:ascii="Century Gothic" w:eastAsia="Century Gothic" w:hAnsi="Century Gothic" w:cs="Century Gothic"/>
          <w:sz w:val="26"/>
          <w:szCs w:val="26"/>
        </w:rPr>
        <w:t>dispone en el presente ordenamiento, para tal efecto se observará:</w:t>
      </w:r>
    </w:p>
    <w:p w14:paraId="3BE13CE6" w14:textId="77777777" w:rsidR="00F95F5D" w:rsidRDefault="00F95F5D"/>
    <w:p w14:paraId="4AEA0C29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sz w:val="26"/>
          <w:szCs w:val="26"/>
        </w:rPr>
        <w:t xml:space="preserve">I.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>a IX. …</w:t>
      </w:r>
    </w:p>
    <w:p w14:paraId="0FE15B1D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X. Implementar mecanismos de atención preferente y accesible para personas mayores en oficinas y espacios de atención al público, procurando la existencia de asientos preferente</w:t>
      </w: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 xml:space="preserve">s visibles, señalización </w:t>
      </w: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lastRenderedPageBreak/>
        <w:t>adecuada y orientación accesible durante la realización de trámites y servicios.</w:t>
      </w:r>
    </w:p>
    <w:p w14:paraId="53710F52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XI. (Se recorre) Las demás que establecen la presente ley y otros ordenamientos aplicables.</w:t>
      </w:r>
    </w:p>
    <w:p w14:paraId="3365A7F0" w14:textId="77777777" w:rsidR="00F95F5D" w:rsidRDefault="00F95F5D">
      <w:pPr>
        <w:rPr>
          <w:rFonts w:ascii="Century Gothic" w:eastAsia="Century Gothic" w:hAnsi="Century Gothic" w:cs="Century Gothic"/>
          <w:sz w:val="26"/>
          <w:szCs w:val="26"/>
        </w:rPr>
      </w:pPr>
    </w:p>
    <w:p w14:paraId="5DE87249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TRANSITORIOS</w:t>
      </w:r>
    </w:p>
    <w:p w14:paraId="39753B07" w14:textId="77777777" w:rsidR="00F95F5D" w:rsidRDefault="00F95F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</w:pPr>
    </w:p>
    <w:p w14:paraId="61665395" w14:textId="77777777" w:rsidR="00F95F5D" w:rsidRDefault="0099643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sz w:val="26"/>
          <w:szCs w:val="26"/>
        </w:rPr>
        <w:t>ÚNICO</w:t>
      </w:r>
      <w:r>
        <w:rPr>
          <w:rFonts w:ascii="Century Gothic" w:eastAsia="Century Gothic" w:hAnsi="Century Gothic" w:cs="Century Gothic"/>
          <w:b/>
          <w:bCs/>
          <w:color w:val="000000"/>
          <w:sz w:val="26"/>
          <w:szCs w:val="26"/>
        </w:rPr>
        <w:t>.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El presente Decreto entrará en vigor al día siguiente de su publicación en el Periódico Oficial del Estado.</w:t>
      </w:r>
    </w:p>
    <w:p w14:paraId="2DA16561" w14:textId="77777777" w:rsidR="00F95F5D" w:rsidRDefault="00F95F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</w:p>
    <w:p w14:paraId="23BB0372" w14:textId="77777777" w:rsidR="00F95F5D" w:rsidRDefault="00996431">
      <w:pP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26"/>
          <w:szCs w:val="26"/>
        </w:rPr>
      </w:pP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DADO EN </w:t>
      </w:r>
      <w:r>
        <w:rPr>
          <w:rFonts w:ascii="Century Gothic" w:eastAsia="Century Gothic" w:hAnsi="Century Gothic" w:cs="Century Gothic"/>
          <w:sz w:val="26"/>
          <w:szCs w:val="26"/>
        </w:rPr>
        <w:t xml:space="preserve">OFICIALÍA DE PARTES 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DEL H. CONGRESO DEL ESTADO DE CHIHUAHUA A LOS </w:t>
      </w:r>
      <w:r>
        <w:rPr>
          <w:rFonts w:ascii="Century Gothic" w:eastAsia="Century Gothic" w:hAnsi="Century Gothic" w:cs="Century Gothic"/>
          <w:sz w:val="26"/>
          <w:szCs w:val="26"/>
        </w:rPr>
        <w:t>31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DÍAS DEL MES DE </w:t>
      </w:r>
      <w:r>
        <w:rPr>
          <w:rFonts w:ascii="Century Gothic" w:eastAsia="Century Gothic" w:hAnsi="Century Gothic" w:cs="Century Gothic"/>
          <w:sz w:val="26"/>
          <w:szCs w:val="26"/>
        </w:rPr>
        <w:t>AGOSTO</w:t>
      </w:r>
      <w:r>
        <w:rPr>
          <w:rFonts w:ascii="Century Gothic" w:eastAsia="Century Gothic" w:hAnsi="Century Gothic" w:cs="Century Gothic"/>
          <w:color w:val="000000"/>
          <w:sz w:val="26"/>
          <w:szCs w:val="26"/>
        </w:rPr>
        <w:t xml:space="preserve"> DEL 2026. </w:t>
      </w:r>
    </w:p>
    <w:p w14:paraId="587FF1A6" w14:textId="77777777" w:rsidR="00F95F5D" w:rsidRDefault="00F95F5D">
      <w:pPr>
        <w:spacing w:line="360" w:lineRule="auto"/>
        <w:jc w:val="both"/>
        <w:rPr>
          <w:rFonts w:ascii="Century Gothic" w:eastAsia="Century Gothic" w:hAnsi="Century Gothic" w:cs="Century Gothic"/>
          <w:sz w:val="26"/>
          <w:szCs w:val="26"/>
        </w:rPr>
      </w:pPr>
    </w:p>
    <w:p w14:paraId="3F6640DA" w14:textId="77777777" w:rsidR="00F95F5D" w:rsidRDefault="00996431">
      <w:pPr>
        <w:spacing w:after="0" w:line="360" w:lineRule="auto"/>
        <w:jc w:val="center"/>
        <w:rPr>
          <w:rFonts w:ascii="Century Gothic" w:eastAsia="Century Gothic" w:hAnsi="Century Gothic" w:cs="Century Gothic"/>
          <w:b/>
          <w:bCs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sz w:val="26"/>
          <w:szCs w:val="26"/>
        </w:rPr>
        <w:t>SUSCRIBE</w:t>
      </w:r>
    </w:p>
    <w:p w14:paraId="50D2B2FA" w14:textId="77777777" w:rsidR="00F95F5D" w:rsidRDefault="00F95F5D">
      <w:pPr>
        <w:spacing w:after="0" w:line="360" w:lineRule="auto"/>
        <w:jc w:val="center"/>
        <w:rPr>
          <w:rFonts w:ascii="Century Gothic" w:eastAsia="Century Gothic" w:hAnsi="Century Gothic" w:cs="Century Gothic"/>
          <w:b/>
          <w:bCs/>
          <w:sz w:val="26"/>
          <w:szCs w:val="26"/>
        </w:rPr>
      </w:pPr>
    </w:p>
    <w:p w14:paraId="3E28FB1C" w14:textId="77777777" w:rsidR="00F95F5D" w:rsidRDefault="00F95F5D">
      <w:pPr>
        <w:spacing w:line="360" w:lineRule="auto"/>
        <w:jc w:val="center"/>
        <w:rPr>
          <w:rFonts w:ascii="Century Gothic" w:eastAsia="Century Gothic" w:hAnsi="Century Gothic" w:cs="Century Gothic"/>
          <w:b/>
          <w:bCs/>
          <w:sz w:val="26"/>
          <w:szCs w:val="26"/>
        </w:rPr>
      </w:pPr>
    </w:p>
    <w:p w14:paraId="4536364A" w14:textId="77777777" w:rsidR="00F95F5D" w:rsidRDefault="00996431">
      <w:pPr>
        <w:spacing w:line="360" w:lineRule="auto"/>
        <w:jc w:val="center"/>
        <w:rPr>
          <w:rFonts w:ascii="Century Gothic" w:eastAsia="Century Gothic" w:hAnsi="Century Gothic" w:cs="Century Gothic"/>
          <w:b/>
          <w:bCs/>
          <w:sz w:val="26"/>
          <w:szCs w:val="26"/>
        </w:rPr>
      </w:pPr>
      <w:r>
        <w:rPr>
          <w:rFonts w:ascii="Century Gothic" w:eastAsia="Century Gothic" w:hAnsi="Century Gothic" w:cs="Century Gothic"/>
          <w:b/>
          <w:bCs/>
          <w:sz w:val="26"/>
          <w:szCs w:val="26"/>
        </w:rPr>
        <w:t>DIP. JOCELINE VEGA VARGAS</w:t>
      </w:r>
    </w:p>
    <w:p w14:paraId="4BCD9BE9" w14:textId="77777777" w:rsidR="00F95F5D" w:rsidRDefault="00F95F5D">
      <w:pPr>
        <w:spacing w:line="36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sectPr w:rsidR="00F95F5D">
      <w:headerReference w:type="default" r:id="rId7"/>
      <w:footerReference w:type="even" r:id="rId8"/>
      <w:footerReference w:type="default" r:id="rId9"/>
      <w:pgSz w:w="12240" w:h="15840"/>
      <w:pgMar w:top="3969" w:right="1701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4F1E2" w14:textId="77777777" w:rsidR="00000000" w:rsidRDefault="00996431">
      <w:pPr>
        <w:spacing w:after="0" w:line="240" w:lineRule="auto"/>
      </w:pPr>
      <w:r>
        <w:separator/>
      </w:r>
    </w:p>
  </w:endnote>
  <w:endnote w:type="continuationSeparator" w:id="0">
    <w:p w14:paraId="076545F1" w14:textId="77777777" w:rsidR="00000000" w:rsidRDefault="0099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67596F-9837-4F28-9841-D760A634F6A5}"/>
    <w:embedBold r:id="rId2" w:fontKey="{A24EE696-B408-4894-99BD-24064424BA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7055A190-FFDC-452B-AD36-84BCB0877E24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B9F21BB4-20C9-4483-8749-95533CAFD166}"/>
    <w:embedBold r:id="rId5" w:fontKey="{5397E8B7-DA45-444F-8FF6-C94682611E64}"/>
    <w:embedBoldItalic r:id="rId6" w:fontKey="{206FF150-EA01-4241-97F9-D28999FC9D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C66081A-E6C8-4F2C-855D-A68BE8A85D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4716" w14:textId="77777777" w:rsidR="00F95F5D" w:rsidRDefault="009964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D9ED08A" w14:textId="77777777" w:rsidR="00F95F5D" w:rsidRDefault="00F95F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9E3D" w14:textId="77777777" w:rsidR="00F95F5D" w:rsidRDefault="009964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Century Gothic" w:eastAsia="Century Gothic" w:hAnsi="Century Gothic" w:cs="Century Gothic"/>
        <w:color w:val="000000"/>
        <w:sz w:val="26"/>
        <w:szCs w:val="26"/>
      </w:rPr>
      <w:fldChar w:fldCharType="begin"/>
    </w:r>
    <w:r>
      <w:rPr>
        <w:rFonts w:ascii="Century Gothic" w:eastAsia="Century Gothic" w:hAnsi="Century Gothic" w:cs="Century Gothic"/>
        <w:color w:val="000000"/>
        <w:sz w:val="26"/>
        <w:szCs w:val="26"/>
      </w:rPr>
      <w:instrText>PAGE</w:instrText>
    </w:r>
    <w:r>
      <w:rPr>
        <w:rFonts w:ascii="Century Gothic" w:eastAsia="Century Gothic" w:hAnsi="Century Gothic" w:cs="Century Gothic"/>
        <w:color w:val="000000"/>
        <w:sz w:val="26"/>
        <w:szCs w:val="26"/>
      </w:rPr>
      <w:fldChar w:fldCharType="separate"/>
    </w:r>
    <w:r>
      <w:rPr>
        <w:rFonts w:ascii="Century Gothic" w:eastAsia="Century Gothic" w:hAnsi="Century Gothic" w:cs="Century Gothic"/>
        <w:noProof/>
        <w:color w:val="000000"/>
        <w:sz w:val="26"/>
        <w:szCs w:val="26"/>
      </w:rPr>
      <w:t>1</w:t>
    </w:r>
    <w:r>
      <w:rPr>
        <w:rFonts w:ascii="Century Gothic" w:eastAsia="Century Gothic" w:hAnsi="Century Gothic" w:cs="Century Gothic"/>
        <w:color w:val="000000"/>
        <w:sz w:val="26"/>
        <w:szCs w:val="26"/>
      </w:rPr>
      <w:fldChar w:fldCharType="end"/>
    </w:r>
  </w:p>
  <w:p w14:paraId="04825086" w14:textId="77777777" w:rsidR="00F95F5D" w:rsidRDefault="00F95F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  <w:p w14:paraId="1657C74D" w14:textId="77777777" w:rsidR="00F95F5D" w:rsidRDefault="00F95F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30A1F" w14:textId="77777777" w:rsidR="00000000" w:rsidRDefault="00996431">
      <w:pPr>
        <w:spacing w:after="0" w:line="240" w:lineRule="auto"/>
      </w:pPr>
      <w:r>
        <w:separator/>
      </w:r>
    </w:p>
  </w:footnote>
  <w:footnote w:type="continuationSeparator" w:id="0">
    <w:p w14:paraId="7BA3B0E6" w14:textId="77777777" w:rsidR="00000000" w:rsidRDefault="0099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B480C" w14:textId="77777777" w:rsidR="00F95F5D" w:rsidRDefault="0099643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9A936C3" wp14:editId="3BA69555">
          <wp:simplePos x="0" y="0"/>
          <wp:positionH relativeFrom="column">
            <wp:posOffset>3315639</wp:posOffset>
          </wp:positionH>
          <wp:positionV relativeFrom="paragraph">
            <wp:posOffset>788670</wp:posOffset>
          </wp:positionV>
          <wp:extent cx="2296490" cy="101219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6490" cy="1012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00BBA417" wp14:editId="3992C166">
          <wp:simplePos x="0" y="0"/>
          <wp:positionH relativeFrom="column">
            <wp:posOffset>-333373</wp:posOffset>
          </wp:positionH>
          <wp:positionV relativeFrom="paragraph">
            <wp:posOffset>-116203</wp:posOffset>
          </wp:positionV>
          <wp:extent cx="1790700" cy="179070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0700" cy="179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4E1244FD" wp14:editId="2DED8889">
              <wp:simplePos x="0" y="0"/>
              <wp:positionH relativeFrom="column">
                <wp:posOffset>1347016</wp:posOffset>
              </wp:positionH>
              <wp:positionV relativeFrom="paragraph">
                <wp:posOffset>-160522</wp:posOffset>
              </wp:positionV>
              <wp:extent cx="4274639" cy="67627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18206" y="3451388"/>
                        <a:ext cx="4255589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64BFC5" w14:textId="77777777" w:rsidR="00F95F5D" w:rsidRDefault="00996431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Century Gothic" w:eastAsia="Century Gothic" w:hAnsi="Century Gothic" w:cs="Century Gothic"/>
                              <w:b/>
                              <w:i/>
                              <w:color w:val="000000"/>
                              <w:sz w:val="20"/>
                            </w:rPr>
                            <w:t>“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b/>
                              <w:color w:val="000000"/>
                            </w:rPr>
                            <w:t>2026, Año del Bicentenario de la Abolición de la Esclavitud en el Estado de Chihuahua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b/>
                              <w:i/>
                              <w:color w:val="000000"/>
                              <w:sz w:val="28"/>
                            </w:rPr>
                            <w:t xml:space="preserve">”                                                                 </w:t>
                          </w:r>
                        </w:p>
                        <w:p w14:paraId="4F1DC51A" w14:textId="77777777" w:rsidR="00F95F5D" w:rsidRDefault="00F95F5D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1347016</wp:posOffset>
              </wp:positionH>
              <wp:positionV relativeFrom="paragraph">
                <wp:posOffset>-160522</wp:posOffset>
              </wp:positionV>
              <wp:extent cx="4274639" cy="676275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74639" cy="676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0C9BB575" wp14:editId="4C8CFA22">
          <wp:simplePos x="0" y="0"/>
          <wp:positionH relativeFrom="column">
            <wp:posOffset>1265555</wp:posOffset>
          </wp:positionH>
          <wp:positionV relativeFrom="paragraph">
            <wp:posOffset>550545</wp:posOffset>
          </wp:positionV>
          <wp:extent cx="4346575" cy="3683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6575" cy="36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F5D"/>
    <w:rsid w:val="00996431"/>
    <w:rsid w:val="00F9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26E3"/>
  <w15:docId w15:val="{D08C86A4-E176-4B7B-A700-C74F2EDC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spacing w:after="0" w:line="276" w:lineRule="auto"/>
      <w:ind w:left="163" w:right="5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widowControl w:val="0"/>
      <w:spacing w:after="0" w:line="240" w:lineRule="auto"/>
      <w:ind w:left="163" w:right="132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S0OHyIANAbOK9ZWcAqgMZyYDuw==">CgMxLjA4AHIhMU5aaU53SHNCNDlnTGdLdmliVi05OGZQWHRNc2xsM19B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Daniela Flores Chacon</dc:creator>
  <cp:lastModifiedBy>Andrea Daniela Flores Chacon</cp:lastModifiedBy>
  <cp:revision>2</cp:revision>
  <dcterms:created xsi:type="dcterms:W3CDTF">2026-08-31T20:24:00Z</dcterms:created>
  <dcterms:modified xsi:type="dcterms:W3CDTF">2026-08-31T20:24:00Z</dcterms:modified>
</cp:coreProperties>
</file>