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3F9A6" w14:textId="77777777" w:rsidR="00B836D0" w:rsidRPr="00F34FAF" w:rsidRDefault="007D140D">
      <w:pPr>
        <w:pStyle w:val="Cuerpo"/>
        <w:spacing w:before="240" w:after="240"/>
        <w:jc w:val="both"/>
        <w:rPr>
          <w:rStyle w:val="Ninguno"/>
          <w:rFonts w:ascii="Century Gothic" w:eastAsia="Century Gothic" w:hAnsi="Century Gothic" w:cs="Century Gothic"/>
          <w:b/>
          <w:bCs/>
          <w:sz w:val="24"/>
          <w:szCs w:val="24"/>
          <w:lang w:val="es-MX"/>
        </w:rPr>
      </w:pPr>
      <w:bookmarkStart w:id="0" w:name="_Hlk225756605"/>
      <w:r w:rsidRPr="00F34FAF">
        <w:rPr>
          <w:rStyle w:val="Ninguno"/>
          <w:rFonts w:ascii="Century Gothic" w:hAnsi="Century Gothic"/>
          <w:b/>
          <w:bCs/>
          <w:sz w:val="24"/>
          <w:szCs w:val="24"/>
          <w:lang w:val="es-MX"/>
        </w:rPr>
        <w:t>H. CONGRESO DEL ESTADO DE CHIHUAHUA</w:t>
      </w:r>
    </w:p>
    <w:p w14:paraId="30ED306B" w14:textId="77777777" w:rsidR="00B836D0" w:rsidRPr="00F34FAF" w:rsidRDefault="007D140D">
      <w:pPr>
        <w:pStyle w:val="Cuerpo"/>
        <w:spacing w:before="240" w:after="240"/>
        <w:jc w:val="both"/>
        <w:rPr>
          <w:rStyle w:val="Ninguno"/>
          <w:rFonts w:ascii="Century Gothic" w:eastAsia="Century Gothic" w:hAnsi="Century Gothic" w:cs="Century Gothic"/>
          <w:b/>
          <w:bCs/>
          <w:sz w:val="24"/>
          <w:szCs w:val="24"/>
          <w:lang w:val="es-MX"/>
        </w:rPr>
      </w:pPr>
      <w:r w:rsidRPr="00F34FAF">
        <w:rPr>
          <w:rStyle w:val="Ninguno"/>
          <w:rFonts w:ascii="Century Gothic" w:hAnsi="Century Gothic"/>
          <w:b/>
          <w:bCs/>
          <w:sz w:val="24"/>
          <w:szCs w:val="24"/>
          <w:lang w:val="es-MX"/>
        </w:rPr>
        <w:t xml:space="preserve">P R E S E N T E. </w:t>
      </w:r>
    </w:p>
    <w:p w14:paraId="16674DEB" w14:textId="574E1FDA" w:rsidR="00B836D0" w:rsidRPr="00F34FAF" w:rsidRDefault="007D140D">
      <w:pPr>
        <w:pStyle w:val="Cuerpo"/>
        <w:spacing w:before="240" w:after="240" w:line="360" w:lineRule="auto"/>
        <w:jc w:val="both"/>
        <w:rPr>
          <w:rStyle w:val="Ninguno"/>
          <w:rFonts w:ascii="Century Gothic" w:eastAsia="Century Gothic" w:hAnsi="Century Gothic" w:cs="Century Gothic"/>
          <w:sz w:val="24"/>
          <w:szCs w:val="24"/>
          <w:lang w:val="es-MX"/>
        </w:rPr>
      </w:pPr>
      <w:r w:rsidRPr="00F34FAF">
        <w:rPr>
          <w:rStyle w:val="Ninguno"/>
          <w:rFonts w:ascii="Century Gothic" w:hAnsi="Century Gothic"/>
          <w:sz w:val="24"/>
          <w:szCs w:val="24"/>
          <w:lang w:val="es-MX"/>
        </w:rPr>
        <w:t>Quienes suscribimos,</w:t>
      </w:r>
      <w:r w:rsidRPr="00F34FAF">
        <w:rPr>
          <w:rStyle w:val="Ninguno"/>
          <w:rFonts w:ascii="Century Gothic" w:hAnsi="Century Gothic"/>
          <w:b/>
          <w:bCs/>
          <w:sz w:val="24"/>
          <w:szCs w:val="24"/>
          <w:lang w:val="es-MX"/>
        </w:rPr>
        <w:t xml:space="preserve"> Oscar Daniel Avitia Arellanes, </w:t>
      </w:r>
      <w:r w:rsidRPr="00F34FAF">
        <w:rPr>
          <w:rStyle w:val="Ninguno"/>
          <w:rFonts w:ascii="Century Gothic" w:hAnsi="Century Gothic"/>
          <w:b/>
          <w:bCs/>
          <w:sz w:val="24"/>
          <w:szCs w:val="24"/>
          <w:shd w:val="clear" w:color="auto" w:fill="FEFFFF"/>
          <w:lang w:val="es-MX"/>
        </w:rPr>
        <w:t>Edin Cuauhtémoc Estrada Sotelo, Magdalena Rentería Pérez, Jael Argüelles Díaz, Elizabeth Guzmán Argueta, Edith Palma Ontiveros, Herminia Gómez Carrasco, Leticia Ortega Máynez, María Antonieta Pérez Reyes, Pedro Torres Estrada</w:t>
      </w:r>
      <w:r w:rsidR="00F03619">
        <w:rPr>
          <w:rStyle w:val="Ninguno"/>
          <w:rFonts w:ascii="Century Gothic" w:hAnsi="Century Gothic"/>
          <w:b/>
          <w:bCs/>
          <w:sz w:val="24"/>
          <w:szCs w:val="24"/>
          <w:shd w:val="clear" w:color="auto" w:fill="FEFFFF"/>
          <w:lang w:val="es-MX"/>
        </w:rPr>
        <w:t xml:space="preserve"> </w:t>
      </w:r>
      <w:r w:rsidRPr="00F34FAF">
        <w:rPr>
          <w:rStyle w:val="Ninguno"/>
          <w:rFonts w:ascii="Century Gothic" w:hAnsi="Century Gothic"/>
          <w:b/>
          <w:bCs/>
          <w:sz w:val="24"/>
          <w:szCs w:val="24"/>
          <w:shd w:val="clear" w:color="auto" w:fill="FEFFFF"/>
          <w:lang w:val="es-MX"/>
        </w:rPr>
        <w:t>y Brenda Francisca Ríos Prieto</w:t>
      </w:r>
      <w:r w:rsidRPr="00F34FAF">
        <w:rPr>
          <w:rStyle w:val="Ninguno"/>
          <w:rFonts w:ascii="Century Gothic" w:hAnsi="Century Gothic"/>
          <w:b/>
          <w:bCs/>
          <w:sz w:val="24"/>
          <w:szCs w:val="24"/>
          <w:lang w:val="es-MX"/>
        </w:rPr>
        <w:t xml:space="preserve">  </w:t>
      </w:r>
      <w:r w:rsidRPr="00F34FAF">
        <w:rPr>
          <w:rStyle w:val="Ninguno"/>
          <w:rFonts w:ascii="Century Gothic" w:hAnsi="Century Gothic"/>
          <w:sz w:val="24"/>
          <w:szCs w:val="24"/>
          <w:lang w:val="es-MX"/>
        </w:rPr>
        <w:t xml:space="preserve">en nuestro </w:t>
      </w:r>
      <w:r w:rsidR="00D4790B">
        <w:rPr>
          <w:rStyle w:val="Ninguno"/>
          <w:rFonts w:ascii="Century Gothic" w:hAnsi="Century Gothic"/>
          <w:sz w:val="24"/>
          <w:szCs w:val="24"/>
          <w:lang w:val="es-MX"/>
        </w:rPr>
        <w:t xml:space="preserve">carácter </w:t>
      </w:r>
      <w:r w:rsidRPr="00F34FAF">
        <w:rPr>
          <w:rStyle w:val="Ninguno"/>
          <w:rFonts w:ascii="Century Gothic" w:hAnsi="Century Gothic"/>
          <w:sz w:val="24"/>
          <w:szCs w:val="24"/>
          <w:lang w:val="es-MX"/>
        </w:rPr>
        <w:t xml:space="preserve">de Diputadas y Diputados de la Sexagésima Octava Legislatura del Honorable Congreso del Estado de Chihuahua, en uso de las atribuciones conferidas por los artículos 64 fracciones I y II, 68 fracción I, de la Constitución Política del Estado de Chihuahua; 66 fracción IV, 167, fracción I y 172 de la Ley Orgánica del Poder Legislativo; así como 75 y 76 del Reglamento Interior y de Prácticas Parlamentarias del Poder Legislativo; todos ordenamientos del Estado de Chihuahua, acudimos ante esta Honorable Asamblea Legislativa, a fin de someter a consideración del Pleno, la siguiente </w:t>
      </w:r>
      <w:r w:rsidRPr="00F34FAF">
        <w:rPr>
          <w:rStyle w:val="Ninguno"/>
          <w:rFonts w:ascii="Century Gothic" w:hAnsi="Century Gothic"/>
          <w:b/>
          <w:bCs/>
          <w:sz w:val="24"/>
          <w:szCs w:val="24"/>
          <w:lang w:val="es-MX"/>
        </w:rPr>
        <w:t>PROPOSICIÓN</w:t>
      </w:r>
      <w:r w:rsidRPr="00F34FAF">
        <w:rPr>
          <w:rStyle w:val="Ninguno"/>
          <w:rFonts w:ascii="Century Gothic" w:hAnsi="Century Gothic"/>
          <w:sz w:val="24"/>
          <w:szCs w:val="24"/>
          <w:lang w:val="es-MX"/>
        </w:rPr>
        <w:t xml:space="preserve"> con carácter de </w:t>
      </w:r>
      <w:r w:rsidRPr="00F34FAF">
        <w:rPr>
          <w:rStyle w:val="Ninguno"/>
          <w:rFonts w:ascii="Century Gothic" w:hAnsi="Century Gothic"/>
          <w:b/>
          <w:bCs/>
          <w:sz w:val="24"/>
          <w:szCs w:val="24"/>
          <w:lang w:val="es-MX"/>
        </w:rPr>
        <w:t>ACUERDO</w:t>
      </w:r>
      <w:r w:rsidRPr="00F34FAF">
        <w:rPr>
          <w:rStyle w:val="Ninguno"/>
          <w:rFonts w:ascii="Century Gothic" w:hAnsi="Century Gothic"/>
          <w:sz w:val="24"/>
          <w:szCs w:val="24"/>
          <w:lang w:val="es-MX"/>
        </w:rPr>
        <w:t>, de conformidad con la siguiente:</w:t>
      </w:r>
    </w:p>
    <w:p w14:paraId="1424EA12" w14:textId="04BCCB5E" w:rsidR="00B836D0" w:rsidRDefault="007D140D">
      <w:pPr>
        <w:pStyle w:val="Cuerpo"/>
        <w:spacing w:before="240" w:after="240" w:line="360" w:lineRule="auto"/>
        <w:jc w:val="center"/>
        <w:rPr>
          <w:rStyle w:val="Ninguno"/>
          <w:rFonts w:ascii="Century Gothic" w:hAnsi="Century Gothic"/>
          <w:b/>
          <w:bCs/>
          <w:sz w:val="24"/>
          <w:szCs w:val="24"/>
          <w:lang w:val="es-MX"/>
        </w:rPr>
      </w:pPr>
      <w:r w:rsidRPr="00F34FAF">
        <w:rPr>
          <w:rStyle w:val="Ninguno"/>
          <w:rFonts w:ascii="Century Gothic" w:hAnsi="Century Gothic"/>
          <w:b/>
          <w:bCs/>
          <w:sz w:val="24"/>
          <w:szCs w:val="24"/>
          <w:lang w:val="es-MX"/>
        </w:rPr>
        <w:t>EXPOSICIÓN DE MOTIVOS.</w:t>
      </w:r>
    </w:p>
    <w:p w14:paraId="463F96A2" w14:textId="5B598FD9" w:rsidR="0020036A" w:rsidRDefault="0020036A" w:rsidP="0020036A">
      <w:pPr>
        <w:pStyle w:val="Cuerpo"/>
        <w:spacing w:before="240" w:after="240" w:line="360" w:lineRule="auto"/>
        <w:jc w:val="both"/>
        <w:rPr>
          <w:rStyle w:val="Ninguno"/>
          <w:rFonts w:ascii="Century Gothic" w:eastAsia="Century Gothic" w:hAnsi="Century Gothic" w:cs="Century Gothic"/>
          <w:sz w:val="24"/>
          <w:szCs w:val="24"/>
          <w:lang w:val="es-MX"/>
        </w:rPr>
      </w:pPr>
      <w:bookmarkStart w:id="1" w:name="_Hlk236386720"/>
      <w:r w:rsidRPr="0020036A">
        <w:rPr>
          <w:rStyle w:val="Ninguno"/>
          <w:rFonts w:ascii="Century Gothic" w:eastAsia="Century Gothic" w:hAnsi="Century Gothic" w:cs="Century Gothic"/>
          <w:sz w:val="24"/>
          <w:szCs w:val="24"/>
          <w:lang w:val="es-MX"/>
        </w:rPr>
        <w:t xml:space="preserve">El Valle de Juárez, compuesto por comunidades y zonas rurales adyacentes a la mancha urbana de Ciudad </w:t>
      </w:r>
      <w:r w:rsidR="00CD0C27" w:rsidRPr="0020036A">
        <w:rPr>
          <w:rStyle w:val="Ninguno"/>
          <w:rFonts w:ascii="Century Gothic" w:eastAsia="Century Gothic" w:hAnsi="Century Gothic" w:cs="Century Gothic"/>
          <w:sz w:val="24"/>
          <w:szCs w:val="24"/>
          <w:lang w:val="es-MX"/>
        </w:rPr>
        <w:t>Juárez,</w:t>
      </w:r>
      <w:r w:rsidR="00CD0C27">
        <w:rPr>
          <w:rStyle w:val="Ninguno"/>
          <w:rFonts w:ascii="Century Gothic" w:eastAsia="Century Gothic" w:hAnsi="Century Gothic" w:cs="Century Gothic"/>
          <w:sz w:val="24"/>
          <w:szCs w:val="24"/>
          <w:lang w:val="es-MX"/>
        </w:rPr>
        <w:t xml:space="preserve"> así como localidades de los municipios de Práxedis G. Guerrero y Guadalupe, </w:t>
      </w:r>
      <w:r w:rsidR="00CD0C27" w:rsidRPr="0020036A">
        <w:rPr>
          <w:rStyle w:val="Ninguno"/>
          <w:rFonts w:ascii="Century Gothic" w:eastAsia="Century Gothic" w:hAnsi="Century Gothic" w:cs="Century Gothic"/>
          <w:sz w:val="24"/>
          <w:szCs w:val="24"/>
          <w:lang w:val="es-MX"/>
        </w:rPr>
        <w:t>ha</w:t>
      </w:r>
      <w:r w:rsidRPr="0020036A">
        <w:rPr>
          <w:rStyle w:val="Ninguno"/>
          <w:rFonts w:ascii="Century Gothic" w:eastAsia="Century Gothic" w:hAnsi="Century Gothic" w:cs="Century Gothic"/>
          <w:sz w:val="24"/>
          <w:szCs w:val="24"/>
          <w:lang w:val="es-MX"/>
        </w:rPr>
        <w:t xml:space="preserve"> enfrentado históricamente una severa marginación en materia de movilidad y transporte público.</w:t>
      </w:r>
    </w:p>
    <w:p w14:paraId="205EC36D" w14:textId="43F779E5" w:rsidR="0020036A" w:rsidRPr="0020036A" w:rsidRDefault="0020036A"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lastRenderedPageBreak/>
        <w:t>Tal como ya se ha expuesto en esta misma Tribuna, d</w:t>
      </w:r>
      <w:r w:rsidRPr="0020036A">
        <w:rPr>
          <w:rStyle w:val="Ninguno"/>
          <w:rFonts w:ascii="Century Gothic" w:eastAsia="Century Gothic" w:hAnsi="Century Gothic" w:cs="Century Gothic"/>
          <w:sz w:val="24"/>
          <w:szCs w:val="24"/>
          <w:lang w:val="es-MX"/>
        </w:rPr>
        <w:t xml:space="preserve">urante años, la población de esta región ha padecido </w:t>
      </w:r>
      <w:r>
        <w:rPr>
          <w:rStyle w:val="Ninguno"/>
          <w:rFonts w:ascii="Century Gothic" w:eastAsia="Century Gothic" w:hAnsi="Century Gothic" w:cs="Century Gothic"/>
          <w:sz w:val="24"/>
          <w:szCs w:val="24"/>
          <w:lang w:val="es-MX"/>
        </w:rPr>
        <w:t xml:space="preserve">de </w:t>
      </w:r>
      <w:r w:rsidRPr="0020036A">
        <w:rPr>
          <w:rStyle w:val="Ninguno"/>
          <w:rFonts w:ascii="Century Gothic" w:eastAsia="Century Gothic" w:hAnsi="Century Gothic" w:cs="Century Gothic"/>
          <w:sz w:val="24"/>
          <w:szCs w:val="24"/>
          <w:lang w:val="es-MX"/>
        </w:rPr>
        <w:t xml:space="preserve">un </w:t>
      </w:r>
      <w:r w:rsidR="00AF1F60" w:rsidRPr="0020036A">
        <w:rPr>
          <w:rStyle w:val="Ninguno"/>
          <w:rFonts w:ascii="Century Gothic" w:eastAsia="Century Gothic" w:hAnsi="Century Gothic" w:cs="Century Gothic"/>
          <w:sz w:val="24"/>
          <w:szCs w:val="24"/>
          <w:lang w:val="es-MX"/>
        </w:rPr>
        <w:t xml:space="preserve">servicio </w:t>
      </w:r>
      <w:r w:rsidR="00AF1F60">
        <w:rPr>
          <w:rStyle w:val="Ninguno"/>
          <w:rFonts w:ascii="Century Gothic" w:eastAsia="Century Gothic" w:hAnsi="Century Gothic" w:cs="Century Gothic"/>
          <w:sz w:val="24"/>
          <w:szCs w:val="24"/>
          <w:lang w:val="es-MX"/>
        </w:rPr>
        <w:t>de</w:t>
      </w:r>
      <w:r>
        <w:rPr>
          <w:rStyle w:val="Ninguno"/>
          <w:rFonts w:ascii="Century Gothic" w:eastAsia="Century Gothic" w:hAnsi="Century Gothic" w:cs="Century Gothic"/>
          <w:sz w:val="24"/>
          <w:szCs w:val="24"/>
          <w:lang w:val="es-MX"/>
        </w:rPr>
        <w:t xml:space="preserve"> transporte </w:t>
      </w:r>
      <w:r w:rsidRPr="0020036A">
        <w:rPr>
          <w:rStyle w:val="Ninguno"/>
          <w:rFonts w:ascii="Century Gothic" w:eastAsia="Century Gothic" w:hAnsi="Century Gothic" w:cs="Century Gothic"/>
          <w:sz w:val="24"/>
          <w:szCs w:val="24"/>
          <w:lang w:val="es-MX"/>
        </w:rPr>
        <w:t>inestable</w:t>
      </w:r>
      <w:r>
        <w:rPr>
          <w:rStyle w:val="Ninguno"/>
          <w:rFonts w:ascii="Century Gothic" w:eastAsia="Century Gothic" w:hAnsi="Century Gothic" w:cs="Century Gothic"/>
          <w:sz w:val="24"/>
          <w:szCs w:val="24"/>
          <w:lang w:val="es-MX"/>
        </w:rPr>
        <w:t xml:space="preserve"> </w:t>
      </w:r>
      <w:r w:rsidRPr="0020036A">
        <w:rPr>
          <w:rStyle w:val="Ninguno"/>
          <w:rFonts w:ascii="Century Gothic" w:eastAsia="Century Gothic" w:hAnsi="Century Gothic" w:cs="Century Gothic"/>
          <w:sz w:val="24"/>
          <w:szCs w:val="24"/>
          <w:lang w:val="es-MX"/>
        </w:rPr>
        <w:t xml:space="preserve">e irregular, </w:t>
      </w:r>
      <w:r>
        <w:rPr>
          <w:rStyle w:val="Ninguno"/>
          <w:rFonts w:ascii="Century Gothic" w:eastAsia="Century Gothic" w:hAnsi="Century Gothic" w:cs="Century Gothic"/>
          <w:sz w:val="24"/>
          <w:szCs w:val="24"/>
          <w:lang w:val="es-MX"/>
        </w:rPr>
        <w:t xml:space="preserve">que se traduce en </w:t>
      </w:r>
      <w:r w:rsidRPr="0020036A">
        <w:rPr>
          <w:rStyle w:val="Ninguno"/>
          <w:rFonts w:ascii="Century Gothic" w:eastAsia="Century Gothic" w:hAnsi="Century Gothic" w:cs="Century Gothic"/>
          <w:sz w:val="24"/>
          <w:szCs w:val="24"/>
          <w:lang w:val="es-MX"/>
        </w:rPr>
        <w:t>afecta</w:t>
      </w:r>
      <w:r>
        <w:rPr>
          <w:rStyle w:val="Ninguno"/>
          <w:rFonts w:ascii="Century Gothic" w:eastAsia="Century Gothic" w:hAnsi="Century Gothic" w:cs="Century Gothic"/>
          <w:sz w:val="24"/>
          <w:szCs w:val="24"/>
          <w:lang w:val="es-MX"/>
        </w:rPr>
        <w:t>ciones</w:t>
      </w:r>
      <w:r w:rsidRPr="0020036A">
        <w:rPr>
          <w:rStyle w:val="Ninguno"/>
          <w:rFonts w:ascii="Century Gothic" w:eastAsia="Century Gothic" w:hAnsi="Century Gothic" w:cs="Century Gothic"/>
          <w:sz w:val="24"/>
          <w:szCs w:val="24"/>
          <w:lang w:val="es-MX"/>
        </w:rPr>
        <w:t xml:space="preserve"> directa</w:t>
      </w:r>
      <w:r>
        <w:rPr>
          <w:rStyle w:val="Ninguno"/>
          <w:rFonts w:ascii="Century Gothic" w:eastAsia="Century Gothic" w:hAnsi="Century Gothic" w:cs="Century Gothic"/>
          <w:sz w:val="24"/>
          <w:szCs w:val="24"/>
          <w:lang w:val="es-MX"/>
        </w:rPr>
        <w:t>s a</w:t>
      </w:r>
      <w:r w:rsidRPr="0020036A">
        <w:rPr>
          <w:rStyle w:val="Ninguno"/>
          <w:rFonts w:ascii="Century Gothic" w:eastAsia="Century Gothic" w:hAnsi="Century Gothic" w:cs="Century Gothic"/>
          <w:sz w:val="24"/>
          <w:szCs w:val="24"/>
          <w:lang w:val="es-MX"/>
        </w:rPr>
        <w:t xml:space="preserve"> su calidad de vida, </w:t>
      </w:r>
      <w:r w:rsidR="00CD0C27">
        <w:rPr>
          <w:rStyle w:val="Ninguno"/>
          <w:rFonts w:ascii="Century Gothic" w:eastAsia="Century Gothic" w:hAnsi="Century Gothic" w:cs="Century Gothic"/>
          <w:sz w:val="24"/>
          <w:szCs w:val="24"/>
          <w:lang w:val="es-MX"/>
        </w:rPr>
        <w:t>dificultando el acceso a</w:t>
      </w:r>
      <w:r w:rsidRPr="0020036A">
        <w:rPr>
          <w:rStyle w:val="Ninguno"/>
          <w:rFonts w:ascii="Century Gothic" w:eastAsia="Century Gothic" w:hAnsi="Century Gothic" w:cs="Century Gothic"/>
          <w:sz w:val="24"/>
          <w:szCs w:val="24"/>
          <w:lang w:val="es-MX"/>
        </w:rPr>
        <w:t xml:space="preserve"> centros de trabajo, planteles educativos y servicios de salud situados en la zona urbana</w:t>
      </w:r>
      <w:r w:rsidR="00CD0C27">
        <w:rPr>
          <w:rStyle w:val="Ninguno"/>
          <w:rFonts w:ascii="Century Gothic" w:eastAsia="Century Gothic" w:hAnsi="Century Gothic" w:cs="Century Gothic"/>
          <w:sz w:val="24"/>
          <w:szCs w:val="24"/>
          <w:lang w:val="es-MX"/>
        </w:rPr>
        <w:t xml:space="preserve"> e incluso mermando actividades comerciales.</w:t>
      </w:r>
    </w:p>
    <w:p w14:paraId="2332F4D9" w14:textId="0A3D393C" w:rsidR="0020036A" w:rsidRDefault="0020036A"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 xml:space="preserve">Ahora bien, reconocemos los avances en la implementación de </w:t>
      </w:r>
      <w:r w:rsidRPr="0020036A">
        <w:rPr>
          <w:rStyle w:val="Ninguno"/>
          <w:rFonts w:ascii="Century Gothic" w:eastAsia="Century Gothic" w:hAnsi="Century Gothic" w:cs="Century Gothic"/>
          <w:sz w:val="24"/>
          <w:szCs w:val="24"/>
          <w:lang w:val="es-MX"/>
        </w:rPr>
        <w:t>acciones orientadas a la</w:t>
      </w:r>
      <w:r>
        <w:rPr>
          <w:rStyle w:val="Ninguno"/>
          <w:rFonts w:ascii="Century Gothic" w:eastAsia="Century Gothic" w:hAnsi="Century Gothic" w:cs="Century Gothic"/>
          <w:sz w:val="24"/>
          <w:szCs w:val="24"/>
          <w:lang w:val="es-MX"/>
        </w:rPr>
        <w:t xml:space="preserve"> prestación y </w:t>
      </w:r>
      <w:r w:rsidRPr="0020036A">
        <w:rPr>
          <w:rStyle w:val="Ninguno"/>
          <w:rFonts w:ascii="Century Gothic" w:eastAsia="Century Gothic" w:hAnsi="Century Gothic" w:cs="Century Gothic"/>
          <w:sz w:val="24"/>
          <w:szCs w:val="24"/>
          <w:lang w:val="es-MX"/>
        </w:rPr>
        <w:t xml:space="preserve">regularización del servicio </w:t>
      </w:r>
      <w:r>
        <w:rPr>
          <w:rStyle w:val="Ninguno"/>
          <w:rFonts w:ascii="Century Gothic" w:eastAsia="Century Gothic" w:hAnsi="Century Gothic" w:cs="Century Gothic"/>
          <w:sz w:val="24"/>
          <w:szCs w:val="24"/>
          <w:lang w:val="es-MX"/>
        </w:rPr>
        <w:t xml:space="preserve">de transporte en la zona del Valle de Juárez </w:t>
      </w:r>
      <w:r w:rsidRPr="0020036A">
        <w:rPr>
          <w:rStyle w:val="Ninguno"/>
          <w:rFonts w:ascii="Century Gothic" w:eastAsia="Century Gothic" w:hAnsi="Century Gothic" w:cs="Century Gothic"/>
          <w:sz w:val="24"/>
          <w:szCs w:val="24"/>
          <w:lang w:val="es-MX"/>
        </w:rPr>
        <w:t xml:space="preserve">mediante la operación de unidades </w:t>
      </w:r>
      <w:r>
        <w:rPr>
          <w:rStyle w:val="Ninguno"/>
          <w:rFonts w:ascii="Century Gothic" w:eastAsia="Century Gothic" w:hAnsi="Century Gothic" w:cs="Century Gothic"/>
          <w:sz w:val="24"/>
          <w:szCs w:val="24"/>
          <w:lang w:val="es-MX"/>
        </w:rPr>
        <w:t xml:space="preserve">que permiten el </w:t>
      </w:r>
      <w:r w:rsidRPr="0020036A">
        <w:rPr>
          <w:rStyle w:val="Ninguno"/>
          <w:rFonts w:ascii="Century Gothic" w:eastAsia="Century Gothic" w:hAnsi="Century Gothic" w:cs="Century Gothic"/>
          <w:sz w:val="24"/>
          <w:szCs w:val="24"/>
          <w:lang w:val="es-MX"/>
        </w:rPr>
        <w:t xml:space="preserve">traslado desde los diversos poblados del </w:t>
      </w:r>
      <w:r>
        <w:rPr>
          <w:rStyle w:val="Ninguno"/>
          <w:rFonts w:ascii="Century Gothic" w:eastAsia="Century Gothic" w:hAnsi="Century Gothic" w:cs="Century Gothic"/>
          <w:sz w:val="24"/>
          <w:szCs w:val="24"/>
          <w:lang w:val="es-MX"/>
        </w:rPr>
        <w:t>v</w:t>
      </w:r>
      <w:r w:rsidRPr="0020036A">
        <w:rPr>
          <w:rStyle w:val="Ninguno"/>
          <w:rFonts w:ascii="Century Gothic" w:eastAsia="Century Gothic" w:hAnsi="Century Gothic" w:cs="Century Gothic"/>
          <w:sz w:val="24"/>
          <w:szCs w:val="24"/>
          <w:lang w:val="es-MX"/>
        </w:rPr>
        <w:t xml:space="preserve">alle hasta puntos de conexión estratégicos de Ciudad Juárez. </w:t>
      </w:r>
      <w:r w:rsidR="00CD0C27">
        <w:rPr>
          <w:rStyle w:val="Ninguno"/>
          <w:rFonts w:ascii="Century Gothic" w:eastAsia="Century Gothic" w:hAnsi="Century Gothic" w:cs="Century Gothic"/>
          <w:sz w:val="24"/>
          <w:szCs w:val="24"/>
          <w:lang w:val="es-MX"/>
        </w:rPr>
        <w:t xml:space="preserve"> </w:t>
      </w:r>
      <w:r w:rsidRPr="0020036A">
        <w:rPr>
          <w:rStyle w:val="Ninguno"/>
          <w:rFonts w:ascii="Century Gothic" w:eastAsia="Century Gothic" w:hAnsi="Century Gothic" w:cs="Century Gothic"/>
          <w:sz w:val="24"/>
          <w:szCs w:val="24"/>
          <w:lang w:val="es-MX"/>
        </w:rPr>
        <w:t xml:space="preserve">Si bien la introducción de este </w:t>
      </w:r>
      <w:r>
        <w:rPr>
          <w:rStyle w:val="Ninguno"/>
          <w:rFonts w:ascii="Century Gothic" w:eastAsia="Century Gothic" w:hAnsi="Century Gothic" w:cs="Century Gothic"/>
          <w:sz w:val="24"/>
          <w:szCs w:val="24"/>
          <w:lang w:val="es-MX"/>
        </w:rPr>
        <w:t xml:space="preserve">esquema </w:t>
      </w:r>
      <w:r w:rsidRPr="0020036A">
        <w:rPr>
          <w:rStyle w:val="Ninguno"/>
          <w:rFonts w:ascii="Century Gothic" w:eastAsia="Century Gothic" w:hAnsi="Century Gothic" w:cs="Century Gothic"/>
          <w:sz w:val="24"/>
          <w:szCs w:val="24"/>
          <w:lang w:val="es-MX"/>
        </w:rPr>
        <w:t>representa un avance tangible en términos de cobertura y frecuencia de paso, la solución continúa siendo parcial e inequitativa en materia económica.</w:t>
      </w:r>
    </w:p>
    <w:p w14:paraId="69C9648C" w14:textId="5DA2C16A" w:rsidR="00CD0C27" w:rsidRPr="0020036A" w:rsidRDefault="00CD0C27"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Por otra parte, es una queja recurrente de las personas usuarias del transporte público del Valle de Juárez, la ruta actualmente ofrecida, ya que, con anterioridad, se llegó a ofrecer un servicio que los trasladaba desde sus comunidades hasta la zona Centro de Ciudad Juárez, facilitando la interconectividad y traslados.</w:t>
      </w:r>
    </w:p>
    <w:p w14:paraId="036AD5C8" w14:textId="788D3739" w:rsidR="0020036A" w:rsidRPr="0020036A" w:rsidRDefault="0020036A" w:rsidP="0020036A">
      <w:pPr>
        <w:pStyle w:val="Cuerpo"/>
        <w:spacing w:before="240" w:after="240" w:line="360" w:lineRule="auto"/>
        <w:jc w:val="both"/>
        <w:rPr>
          <w:rStyle w:val="Ninguno"/>
          <w:rFonts w:ascii="Century Gothic" w:eastAsia="Century Gothic" w:hAnsi="Century Gothic" w:cs="Century Gothic"/>
          <w:sz w:val="24"/>
          <w:szCs w:val="24"/>
          <w:lang w:val="es-MX"/>
        </w:rPr>
      </w:pPr>
      <w:r w:rsidRPr="0020036A">
        <w:rPr>
          <w:rStyle w:val="Ninguno"/>
          <w:rFonts w:ascii="Century Gothic" w:eastAsia="Century Gothic" w:hAnsi="Century Gothic" w:cs="Century Gothic"/>
          <w:sz w:val="24"/>
          <w:szCs w:val="24"/>
          <w:lang w:val="es-MX"/>
        </w:rPr>
        <w:t xml:space="preserve">Actualmente, las unidades de acercamiento trasladan a las y los usuarios hasta las inmediaciones de </w:t>
      </w:r>
      <w:r w:rsidR="0095325B">
        <w:rPr>
          <w:rStyle w:val="Ninguno"/>
          <w:rFonts w:ascii="Century Gothic" w:eastAsia="Century Gothic" w:hAnsi="Century Gothic" w:cs="Century Gothic"/>
          <w:sz w:val="24"/>
          <w:szCs w:val="24"/>
          <w:lang w:val="es-MX"/>
        </w:rPr>
        <w:t>una</w:t>
      </w:r>
      <w:r w:rsidRPr="0020036A">
        <w:rPr>
          <w:rStyle w:val="Ninguno"/>
          <w:rFonts w:ascii="Century Gothic" w:eastAsia="Century Gothic" w:hAnsi="Century Gothic" w:cs="Century Gothic"/>
          <w:sz w:val="24"/>
          <w:szCs w:val="24"/>
          <w:lang w:val="es-MX"/>
        </w:rPr>
        <w:t xml:space="preserve"> ruta troncal del sistema de transporte</w:t>
      </w:r>
      <w:r>
        <w:rPr>
          <w:rStyle w:val="Ninguno"/>
          <w:rFonts w:ascii="Century Gothic" w:eastAsia="Century Gothic" w:hAnsi="Century Gothic" w:cs="Century Gothic"/>
          <w:sz w:val="24"/>
          <w:szCs w:val="24"/>
          <w:lang w:val="es-MX"/>
        </w:rPr>
        <w:t xml:space="preserve">, sin embargo, </w:t>
      </w:r>
      <w:r w:rsidRPr="0020036A">
        <w:rPr>
          <w:rStyle w:val="Ninguno"/>
          <w:rFonts w:ascii="Century Gothic" w:eastAsia="Century Gothic" w:hAnsi="Century Gothic" w:cs="Century Gothic"/>
          <w:sz w:val="24"/>
          <w:szCs w:val="24"/>
          <w:lang w:val="es-MX"/>
        </w:rPr>
        <w:t>al arribar a dichos nodos de transferencia, los pobladores se ven obligados a realizar un segundo pago completo de tarifa para abordar la unidad troncal.</w:t>
      </w:r>
    </w:p>
    <w:p w14:paraId="483CA306" w14:textId="656FAA0A" w:rsidR="0020036A" w:rsidRPr="0020036A" w:rsidRDefault="00AF1F60"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lastRenderedPageBreak/>
        <w:t>En consecuencia, e</w:t>
      </w:r>
      <w:r w:rsidR="0020036A" w:rsidRPr="0020036A">
        <w:rPr>
          <w:rStyle w:val="Ninguno"/>
          <w:rFonts w:ascii="Century Gothic" w:eastAsia="Century Gothic" w:hAnsi="Century Gothic" w:cs="Century Gothic"/>
          <w:sz w:val="24"/>
          <w:szCs w:val="24"/>
          <w:lang w:val="es-MX"/>
        </w:rPr>
        <w:t>sta doble imposición tarifaria impacta de forma desproporcionada la economía de las familias del Valle de Juárez</w:t>
      </w:r>
      <w:r w:rsidR="0020036A">
        <w:rPr>
          <w:rStyle w:val="Ninguno"/>
          <w:rFonts w:ascii="Century Gothic" w:eastAsia="Century Gothic" w:hAnsi="Century Gothic" w:cs="Century Gothic"/>
          <w:sz w:val="24"/>
          <w:szCs w:val="24"/>
          <w:lang w:val="es-MX"/>
        </w:rPr>
        <w:t xml:space="preserve">, </w:t>
      </w:r>
      <w:r w:rsidR="0020036A" w:rsidRPr="0020036A">
        <w:rPr>
          <w:rStyle w:val="Ninguno"/>
          <w:rFonts w:ascii="Century Gothic" w:eastAsia="Century Gothic" w:hAnsi="Century Gothic" w:cs="Century Gothic"/>
          <w:sz w:val="24"/>
          <w:szCs w:val="24"/>
          <w:lang w:val="es-MX"/>
        </w:rPr>
        <w:t>quienes</w:t>
      </w:r>
      <w:r w:rsidR="0020036A">
        <w:rPr>
          <w:rStyle w:val="Ninguno"/>
          <w:rFonts w:ascii="Century Gothic" w:eastAsia="Century Gothic" w:hAnsi="Century Gothic" w:cs="Century Gothic"/>
          <w:sz w:val="24"/>
          <w:szCs w:val="24"/>
          <w:lang w:val="es-MX"/>
        </w:rPr>
        <w:t xml:space="preserve"> ya de por sí</w:t>
      </w:r>
      <w:r w:rsidR="0020036A" w:rsidRPr="0020036A">
        <w:rPr>
          <w:rStyle w:val="Ninguno"/>
          <w:rFonts w:ascii="Century Gothic" w:eastAsia="Century Gothic" w:hAnsi="Century Gothic" w:cs="Century Gothic"/>
          <w:sz w:val="24"/>
          <w:szCs w:val="24"/>
          <w:lang w:val="es-MX"/>
        </w:rPr>
        <w:t xml:space="preserve"> registran los traslados más largos de la zona metropolitana, contraviniendo el principio de equidad tarifaria y accesibilidad económica que debe regir al servicio público de transporte.</w:t>
      </w:r>
    </w:p>
    <w:p w14:paraId="48A5071C" w14:textId="7F01740D" w:rsidR="00E82466" w:rsidRDefault="0020036A"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Ahora bien, l</w:t>
      </w:r>
      <w:r w:rsidRPr="0020036A">
        <w:rPr>
          <w:rStyle w:val="Ninguno"/>
          <w:rFonts w:ascii="Century Gothic" w:eastAsia="Century Gothic" w:hAnsi="Century Gothic" w:cs="Century Gothic"/>
          <w:sz w:val="24"/>
          <w:szCs w:val="24"/>
          <w:lang w:val="es-MX"/>
        </w:rPr>
        <w:t>a Ley de Transporte del Estado de Chihuahua establece que el transporte es un servicio de interés público cuya prestación debe garantizar condiciones de calidad, eficiencia, seguridad y accesibilidad económica. Asimismo, los principios rectores de la política de movilidad priorizan la integración modal y tarifaria como herramientas fundamentales para erradicar las brechas de desigualdad social y geográfica.</w:t>
      </w:r>
    </w:p>
    <w:p w14:paraId="389FB427" w14:textId="6A733978" w:rsidR="0095325B" w:rsidRDefault="0095325B" w:rsidP="0095325B">
      <w:pPr>
        <w:pStyle w:val="Cuerpo"/>
        <w:spacing w:before="240" w:after="240" w:line="360" w:lineRule="auto"/>
        <w:jc w:val="both"/>
        <w:rPr>
          <w:rStyle w:val="Ninguno"/>
          <w:rFonts w:ascii="Century Gothic" w:eastAsia="Century Gothic" w:hAnsi="Century Gothic" w:cs="Century Gothic"/>
          <w:sz w:val="24"/>
          <w:szCs w:val="24"/>
          <w:lang w:val="es-MX"/>
        </w:rPr>
      </w:pPr>
      <w:r w:rsidRPr="0095325B">
        <w:rPr>
          <w:rStyle w:val="Ninguno"/>
          <w:rFonts w:ascii="Century Gothic" w:eastAsia="Century Gothic" w:hAnsi="Century Gothic" w:cs="Century Gothic"/>
          <w:sz w:val="24"/>
          <w:szCs w:val="24"/>
          <w:lang w:val="es-MX"/>
        </w:rPr>
        <w:t>E</w:t>
      </w:r>
      <w:r>
        <w:rPr>
          <w:rStyle w:val="Ninguno"/>
          <w:rFonts w:ascii="Century Gothic" w:eastAsia="Century Gothic" w:hAnsi="Century Gothic" w:cs="Century Gothic"/>
          <w:sz w:val="24"/>
          <w:szCs w:val="24"/>
          <w:lang w:val="es-MX"/>
        </w:rPr>
        <w:t>n ese orden de ideas, la legislación contempla a</w:t>
      </w:r>
      <w:r w:rsidRPr="0095325B">
        <w:rPr>
          <w:rStyle w:val="Ninguno"/>
          <w:rFonts w:ascii="Century Gothic" w:eastAsia="Century Gothic" w:hAnsi="Century Gothic" w:cs="Century Gothic"/>
          <w:sz w:val="24"/>
          <w:szCs w:val="24"/>
          <w:lang w:val="es-MX"/>
        </w:rPr>
        <w:t xml:space="preserve">l </w:t>
      </w:r>
      <w:r>
        <w:rPr>
          <w:rStyle w:val="Ninguno"/>
          <w:rFonts w:ascii="Century Gothic" w:eastAsia="Century Gothic" w:hAnsi="Century Gothic" w:cs="Century Gothic"/>
          <w:sz w:val="24"/>
          <w:szCs w:val="24"/>
          <w:lang w:val="es-MX"/>
        </w:rPr>
        <w:t>S</w:t>
      </w:r>
      <w:r w:rsidRPr="0095325B">
        <w:rPr>
          <w:rStyle w:val="Ninguno"/>
          <w:rFonts w:ascii="Century Gothic" w:eastAsia="Century Gothic" w:hAnsi="Century Gothic" w:cs="Century Gothic"/>
          <w:sz w:val="24"/>
          <w:szCs w:val="24"/>
          <w:lang w:val="es-MX"/>
        </w:rPr>
        <w:t xml:space="preserve">istema </w:t>
      </w:r>
      <w:r>
        <w:rPr>
          <w:rStyle w:val="Ninguno"/>
          <w:rFonts w:ascii="Century Gothic" w:eastAsia="Century Gothic" w:hAnsi="Century Gothic" w:cs="Century Gothic"/>
          <w:sz w:val="24"/>
          <w:szCs w:val="24"/>
          <w:lang w:val="es-MX"/>
        </w:rPr>
        <w:t>I</w:t>
      </w:r>
      <w:r w:rsidRPr="0095325B">
        <w:rPr>
          <w:rStyle w:val="Ninguno"/>
          <w:rFonts w:ascii="Century Gothic" w:eastAsia="Century Gothic" w:hAnsi="Century Gothic" w:cs="Century Gothic"/>
          <w:sz w:val="24"/>
          <w:szCs w:val="24"/>
          <w:lang w:val="es-MX"/>
        </w:rPr>
        <w:t xml:space="preserve">ntegrado de </w:t>
      </w:r>
      <w:r>
        <w:rPr>
          <w:rStyle w:val="Ninguno"/>
          <w:rFonts w:ascii="Century Gothic" w:eastAsia="Century Gothic" w:hAnsi="Century Gothic" w:cs="Century Gothic"/>
          <w:sz w:val="24"/>
          <w:szCs w:val="24"/>
          <w:lang w:val="es-MX"/>
        </w:rPr>
        <w:t>T</w:t>
      </w:r>
      <w:r w:rsidRPr="0095325B">
        <w:rPr>
          <w:rStyle w:val="Ninguno"/>
          <w:rFonts w:ascii="Century Gothic" w:eastAsia="Century Gothic" w:hAnsi="Century Gothic" w:cs="Century Gothic"/>
          <w:sz w:val="24"/>
          <w:szCs w:val="24"/>
          <w:lang w:val="es-MX"/>
        </w:rPr>
        <w:t xml:space="preserve">ransporte </w:t>
      </w:r>
      <w:r>
        <w:rPr>
          <w:rStyle w:val="Ninguno"/>
          <w:rFonts w:ascii="Century Gothic" w:eastAsia="Century Gothic" w:hAnsi="Century Gothic" w:cs="Century Gothic"/>
          <w:sz w:val="24"/>
          <w:szCs w:val="24"/>
          <w:lang w:val="es-MX"/>
        </w:rPr>
        <w:t>cuyo</w:t>
      </w:r>
      <w:r w:rsidRPr="0095325B">
        <w:rPr>
          <w:rStyle w:val="Ninguno"/>
          <w:rFonts w:ascii="Century Gothic" w:eastAsia="Century Gothic" w:hAnsi="Century Gothic" w:cs="Century Gothic"/>
          <w:sz w:val="24"/>
          <w:szCs w:val="24"/>
          <w:lang w:val="es-MX"/>
        </w:rPr>
        <w:t xml:space="preserve"> objeto </w:t>
      </w:r>
      <w:r>
        <w:rPr>
          <w:rStyle w:val="Ninguno"/>
          <w:rFonts w:ascii="Century Gothic" w:eastAsia="Century Gothic" w:hAnsi="Century Gothic" w:cs="Century Gothic"/>
          <w:sz w:val="24"/>
          <w:szCs w:val="24"/>
          <w:lang w:val="es-MX"/>
        </w:rPr>
        <w:t>es</w:t>
      </w:r>
      <w:r w:rsidRPr="0095325B">
        <w:rPr>
          <w:rStyle w:val="Ninguno"/>
          <w:rFonts w:ascii="Century Gothic" w:eastAsia="Century Gothic" w:hAnsi="Century Gothic" w:cs="Century Gothic"/>
          <w:sz w:val="24"/>
          <w:szCs w:val="24"/>
          <w:lang w:val="es-MX"/>
        </w:rPr>
        <w:t xml:space="preserve"> prestar un servicio confiable, eficiente, cómodo y seguro, que permita movilizar a sus usuarios con altos estándares de calidad, acceso y cobertura en el área urbana o conurbada correspondiente. Por su</w:t>
      </w:r>
      <w:r>
        <w:rPr>
          <w:rStyle w:val="Ninguno"/>
          <w:rFonts w:ascii="Century Gothic" w:eastAsia="Century Gothic" w:hAnsi="Century Gothic" w:cs="Century Gothic"/>
          <w:sz w:val="24"/>
          <w:szCs w:val="24"/>
          <w:lang w:val="es-MX"/>
        </w:rPr>
        <w:t xml:space="preserve"> parte, l</w:t>
      </w:r>
      <w:r w:rsidRPr="0095325B">
        <w:rPr>
          <w:rStyle w:val="Ninguno"/>
          <w:rFonts w:ascii="Century Gothic" w:eastAsia="Century Gothic" w:hAnsi="Century Gothic" w:cs="Century Gothic"/>
          <w:sz w:val="24"/>
          <w:szCs w:val="24"/>
          <w:lang w:val="es-MX"/>
        </w:rPr>
        <w:t xml:space="preserve">a </w:t>
      </w:r>
      <w:proofErr w:type="spellStart"/>
      <w:r w:rsidRPr="0095325B">
        <w:rPr>
          <w:rStyle w:val="Ninguno"/>
          <w:rFonts w:ascii="Century Gothic" w:eastAsia="Century Gothic" w:hAnsi="Century Gothic" w:cs="Century Gothic"/>
          <w:sz w:val="24"/>
          <w:szCs w:val="24"/>
          <w:lang w:val="es-MX"/>
        </w:rPr>
        <w:t>intermobilidad</w:t>
      </w:r>
      <w:proofErr w:type="spellEnd"/>
      <w:r w:rsidRPr="0095325B">
        <w:rPr>
          <w:rStyle w:val="Ninguno"/>
          <w:rFonts w:ascii="Century Gothic" w:eastAsia="Century Gothic" w:hAnsi="Century Gothic" w:cs="Century Gothic"/>
          <w:sz w:val="24"/>
          <w:szCs w:val="24"/>
          <w:lang w:val="es-MX"/>
        </w:rPr>
        <w:t xml:space="preserve"> es un concepto que se define en el glosario de </w:t>
      </w:r>
      <w:r>
        <w:rPr>
          <w:rStyle w:val="Ninguno"/>
          <w:rFonts w:ascii="Century Gothic" w:eastAsia="Century Gothic" w:hAnsi="Century Gothic" w:cs="Century Gothic"/>
          <w:sz w:val="24"/>
          <w:szCs w:val="24"/>
          <w:lang w:val="es-MX"/>
        </w:rPr>
        <w:t xml:space="preserve">la referida </w:t>
      </w:r>
      <w:r w:rsidRPr="0095325B">
        <w:rPr>
          <w:rStyle w:val="Ninguno"/>
          <w:rFonts w:ascii="Century Gothic" w:eastAsia="Century Gothic" w:hAnsi="Century Gothic" w:cs="Century Gothic"/>
          <w:sz w:val="24"/>
          <w:szCs w:val="24"/>
          <w:lang w:val="es-MX"/>
        </w:rPr>
        <w:t xml:space="preserve">ley, como la articulación entre los diferentes modos de transporte, a fin de realizar más rápida, segura y eficazmente las operaciones de traslado y transbordo de los usuarios. </w:t>
      </w:r>
    </w:p>
    <w:p w14:paraId="1B387519" w14:textId="58C11D32" w:rsidR="0095325B" w:rsidRPr="0095325B" w:rsidRDefault="0095325B" w:rsidP="0095325B">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De igual manera, en rel</w:t>
      </w:r>
      <w:r w:rsidRPr="0095325B">
        <w:rPr>
          <w:rStyle w:val="Ninguno"/>
          <w:rFonts w:ascii="Century Gothic" w:eastAsia="Century Gothic" w:hAnsi="Century Gothic" w:cs="Century Gothic"/>
          <w:sz w:val="24"/>
          <w:szCs w:val="24"/>
          <w:lang w:val="es-MX"/>
        </w:rPr>
        <w:t xml:space="preserve">ación a las directrices para el establecimiento de la tarifa del transporte, </w:t>
      </w:r>
      <w:r>
        <w:rPr>
          <w:rStyle w:val="Ninguno"/>
          <w:rFonts w:ascii="Century Gothic" w:eastAsia="Century Gothic" w:hAnsi="Century Gothic" w:cs="Century Gothic"/>
          <w:sz w:val="24"/>
          <w:szCs w:val="24"/>
          <w:lang w:val="es-MX"/>
        </w:rPr>
        <w:t xml:space="preserve">la legislación </w:t>
      </w:r>
      <w:r w:rsidRPr="0095325B">
        <w:rPr>
          <w:rStyle w:val="Ninguno"/>
          <w:rFonts w:ascii="Century Gothic" w:eastAsia="Century Gothic" w:hAnsi="Century Gothic" w:cs="Century Gothic"/>
          <w:sz w:val="24"/>
          <w:szCs w:val="24"/>
          <w:lang w:val="es-MX"/>
        </w:rPr>
        <w:t xml:space="preserve">hace hincapié en la promoción de la </w:t>
      </w:r>
      <w:proofErr w:type="spellStart"/>
      <w:r w:rsidRPr="0095325B">
        <w:rPr>
          <w:rStyle w:val="Ninguno"/>
          <w:rFonts w:ascii="Century Gothic" w:eastAsia="Century Gothic" w:hAnsi="Century Gothic" w:cs="Century Gothic"/>
          <w:sz w:val="24"/>
          <w:szCs w:val="24"/>
          <w:lang w:val="es-MX"/>
        </w:rPr>
        <w:t>intermobilidad</w:t>
      </w:r>
      <w:proofErr w:type="spellEnd"/>
      <w:r w:rsidRPr="0095325B">
        <w:rPr>
          <w:rStyle w:val="Ninguno"/>
          <w:rFonts w:ascii="Century Gothic" w:eastAsia="Century Gothic" w:hAnsi="Century Gothic" w:cs="Century Gothic"/>
          <w:sz w:val="24"/>
          <w:szCs w:val="24"/>
          <w:lang w:val="es-MX"/>
        </w:rPr>
        <w:t xml:space="preserve"> del servicio de transporte, incluyendo la tarifa y los servicios públicos relacionados con el mismo, toman</w:t>
      </w:r>
      <w:r>
        <w:rPr>
          <w:rStyle w:val="Ninguno"/>
          <w:rFonts w:ascii="Century Gothic" w:eastAsia="Century Gothic" w:hAnsi="Century Gothic" w:cs="Century Gothic"/>
          <w:sz w:val="24"/>
          <w:szCs w:val="24"/>
          <w:lang w:val="es-MX"/>
        </w:rPr>
        <w:t>do</w:t>
      </w:r>
      <w:r w:rsidRPr="0095325B">
        <w:rPr>
          <w:rStyle w:val="Ninguno"/>
          <w:rFonts w:ascii="Century Gothic" w:eastAsia="Century Gothic" w:hAnsi="Century Gothic" w:cs="Century Gothic"/>
          <w:sz w:val="24"/>
          <w:szCs w:val="24"/>
          <w:lang w:val="es-MX"/>
        </w:rPr>
        <w:t xml:space="preserve"> en cuenta la Integración al Sistema Integrado de Transporte a la hora de determinar las tarifas. </w:t>
      </w:r>
    </w:p>
    <w:p w14:paraId="75CE09E2" w14:textId="5FF0F9B3" w:rsidR="0095325B" w:rsidRPr="0020036A" w:rsidRDefault="0095325B" w:rsidP="0095325B">
      <w:pPr>
        <w:pStyle w:val="Cuerpo"/>
        <w:spacing w:before="240" w:after="240" w:line="360" w:lineRule="auto"/>
        <w:jc w:val="both"/>
        <w:rPr>
          <w:rStyle w:val="Ninguno"/>
          <w:rFonts w:ascii="Century Gothic" w:eastAsia="Century Gothic" w:hAnsi="Century Gothic" w:cs="Century Gothic"/>
          <w:sz w:val="24"/>
          <w:szCs w:val="24"/>
          <w:lang w:val="es-MX"/>
        </w:rPr>
      </w:pPr>
      <w:r w:rsidRPr="0095325B">
        <w:rPr>
          <w:rStyle w:val="Ninguno"/>
          <w:rFonts w:ascii="Century Gothic" w:eastAsia="Century Gothic" w:hAnsi="Century Gothic" w:cs="Century Gothic"/>
          <w:sz w:val="24"/>
          <w:szCs w:val="24"/>
          <w:lang w:val="es-MX"/>
        </w:rPr>
        <w:lastRenderedPageBreak/>
        <w:t xml:space="preserve">Es relevante mencionar el </w:t>
      </w:r>
      <w:proofErr w:type="spellStart"/>
      <w:r w:rsidRPr="0095325B">
        <w:rPr>
          <w:rStyle w:val="Ninguno"/>
          <w:rFonts w:ascii="Century Gothic" w:eastAsia="Century Gothic" w:hAnsi="Century Gothic" w:cs="Century Gothic"/>
          <w:sz w:val="24"/>
          <w:szCs w:val="24"/>
          <w:lang w:val="es-MX"/>
        </w:rPr>
        <w:t>articulo</w:t>
      </w:r>
      <w:proofErr w:type="spellEnd"/>
      <w:r w:rsidRPr="0095325B">
        <w:rPr>
          <w:rStyle w:val="Ninguno"/>
          <w:rFonts w:ascii="Century Gothic" w:eastAsia="Century Gothic" w:hAnsi="Century Gothic" w:cs="Century Gothic"/>
          <w:sz w:val="24"/>
          <w:szCs w:val="24"/>
          <w:lang w:val="es-MX"/>
        </w:rPr>
        <w:t xml:space="preserve"> 158, que menciona la tarifa integrada como su propia especie, separándola de la general al definirla como “Es la contraprestación que paga el usuario del servicio en el sistema de rutas integradas, la cual le permite realizar transbordos entre las rutas del Sistema Integrado de Transporte durante un mismo viaje.</w:t>
      </w:r>
    </w:p>
    <w:p w14:paraId="7CDCC383" w14:textId="46DDC62A" w:rsidR="00AF1F60" w:rsidRDefault="0095325B"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Es necesario mencionar en este punto que, el</w:t>
      </w:r>
      <w:r w:rsidR="0020036A" w:rsidRPr="0020036A">
        <w:rPr>
          <w:rStyle w:val="Ninguno"/>
          <w:rFonts w:ascii="Century Gothic" w:eastAsia="Century Gothic" w:hAnsi="Century Gothic" w:cs="Century Gothic"/>
          <w:sz w:val="24"/>
          <w:szCs w:val="24"/>
          <w:lang w:val="es-MX"/>
        </w:rPr>
        <w:t xml:space="preserve"> modelo d</w:t>
      </w:r>
      <w:r>
        <w:rPr>
          <w:rStyle w:val="Ninguno"/>
          <w:rFonts w:ascii="Century Gothic" w:eastAsia="Century Gothic" w:hAnsi="Century Gothic" w:cs="Century Gothic"/>
          <w:sz w:val="24"/>
          <w:szCs w:val="24"/>
          <w:lang w:val="es-MX"/>
        </w:rPr>
        <w:t>e</w:t>
      </w:r>
      <w:r w:rsidR="0020036A" w:rsidRPr="0020036A">
        <w:rPr>
          <w:rStyle w:val="Ninguno"/>
          <w:rFonts w:ascii="Century Gothic" w:eastAsia="Century Gothic" w:hAnsi="Century Gothic" w:cs="Century Gothic"/>
          <w:sz w:val="24"/>
          <w:szCs w:val="24"/>
          <w:lang w:val="es-MX"/>
        </w:rPr>
        <w:t xml:space="preserve"> Sistema Integrado de Transporte (SIT) fue concebido</w:t>
      </w:r>
      <w:r w:rsidR="005A53F1">
        <w:rPr>
          <w:rStyle w:val="Ninguno"/>
          <w:rFonts w:ascii="Century Gothic" w:eastAsia="Century Gothic" w:hAnsi="Century Gothic" w:cs="Century Gothic"/>
          <w:sz w:val="24"/>
          <w:szCs w:val="24"/>
          <w:lang w:val="es-MX"/>
        </w:rPr>
        <w:t xml:space="preserve"> como un ambicioso proyecto</w:t>
      </w:r>
      <w:r w:rsidR="0020036A" w:rsidRPr="0020036A">
        <w:rPr>
          <w:rStyle w:val="Ninguno"/>
          <w:rFonts w:ascii="Century Gothic" w:eastAsia="Century Gothic" w:hAnsi="Century Gothic" w:cs="Century Gothic"/>
          <w:sz w:val="24"/>
          <w:szCs w:val="24"/>
          <w:lang w:val="es-MX"/>
        </w:rPr>
        <w:t xml:space="preserve"> para que la población efectúe un pago único al abordar la ruta alimentadora o de acercamiento, teniendo derecho al transbordo a la ruta troncal sin costo </w:t>
      </w:r>
      <w:r w:rsidRPr="0020036A">
        <w:rPr>
          <w:rStyle w:val="Ninguno"/>
          <w:rFonts w:ascii="Century Gothic" w:eastAsia="Century Gothic" w:hAnsi="Century Gothic" w:cs="Century Gothic"/>
          <w:sz w:val="24"/>
          <w:szCs w:val="24"/>
          <w:lang w:val="es-MX"/>
        </w:rPr>
        <w:t>adicional bajo</w:t>
      </w:r>
      <w:r w:rsidR="0020036A" w:rsidRPr="0020036A">
        <w:rPr>
          <w:rStyle w:val="Ninguno"/>
          <w:rFonts w:ascii="Century Gothic" w:eastAsia="Century Gothic" w:hAnsi="Century Gothic" w:cs="Century Gothic"/>
          <w:sz w:val="24"/>
          <w:szCs w:val="24"/>
          <w:lang w:val="es-MX"/>
        </w:rPr>
        <w:t xml:space="preserve"> un esquema de tarifa integrada. </w:t>
      </w:r>
      <w:r>
        <w:rPr>
          <w:rStyle w:val="Ninguno"/>
          <w:rFonts w:ascii="Century Gothic" w:eastAsia="Century Gothic" w:hAnsi="Century Gothic" w:cs="Century Gothic"/>
          <w:sz w:val="24"/>
          <w:szCs w:val="24"/>
          <w:lang w:val="es-MX"/>
        </w:rPr>
        <w:t xml:space="preserve">El beneficio de tarifa integrada actualmente ya se ofrece para algunas rutas del servicio de transporte, por lo que reconocemos el avance </w:t>
      </w:r>
      <w:proofErr w:type="gramStart"/>
      <w:r>
        <w:rPr>
          <w:rStyle w:val="Ninguno"/>
          <w:rFonts w:ascii="Century Gothic" w:eastAsia="Century Gothic" w:hAnsi="Century Gothic" w:cs="Century Gothic"/>
          <w:sz w:val="24"/>
          <w:szCs w:val="24"/>
          <w:lang w:val="es-MX"/>
        </w:rPr>
        <w:t>y  la</w:t>
      </w:r>
      <w:proofErr w:type="gramEnd"/>
      <w:r>
        <w:rPr>
          <w:rStyle w:val="Ninguno"/>
          <w:rFonts w:ascii="Century Gothic" w:eastAsia="Century Gothic" w:hAnsi="Century Gothic" w:cs="Century Gothic"/>
          <w:sz w:val="24"/>
          <w:szCs w:val="24"/>
          <w:lang w:val="es-MX"/>
        </w:rPr>
        <w:t xml:space="preserve"> corresponsabilidad en este rubro.</w:t>
      </w:r>
    </w:p>
    <w:p w14:paraId="4401F091" w14:textId="3CDCBEA1" w:rsidR="0020036A" w:rsidRPr="0020036A" w:rsidRDefault="00AF1F60"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 xml:space="preserve">En ese orden de ideas, consideramos imperante incluir a </w:t>
      </w:r>
      <w:r w:rsidR="0020036A" w:rsidRPr="0020036A">
        <w:rPr>
          <w:rStyle w:val="Ninguno"/>
          <w:rFonts w:ascii="Century Gothic" w:eastAsia="Century Gothic" w:hAnsi="Century Gothic" w:cs="Century Gothic"/>
          <w:sz w:val="24"/>
          <w:szCs w:val="24"/>
          <w:lang w:val="es-MX"/>
        </w:rPr>
        <w:t xml:space="preserve">las comunidades rurales del Valle de Juárez </w:t>
      </w:r>
      <w:r>
        <w:rPr>
          <w:rStyle w:val="Ninguno"/>
          <w:rFonts w:ascii="Century Gothic" w:eastAsia="Century Gothic" w:hAnsi="Century Gothic" w:cs="Century Gothic"/>
          <w:sz w:val="24"/>
          <w:szCs w:val="24"/>
          <w:lang w:val="es-MX"/>
        </w:rPr>
        <w:t xml:space="preserve">en la </w:t>
      </w:r>
      <w:r w:rsidR="0020036A" w:rsidRPr="0020036A">
        <w:rPr>
          <w:rStyle w:val="Ninguno"/>
          <w:rFonts w:ascii="Century Gothic" w:eastAsia="Century Gothic" w:hAnsi="Century Gothic" w:cs="Century Gothic"/>
          <w:sz w:val="24"/>
          <w:szCs w:val="24"/>
          <w:lang w:val="es-MX"/>
        </w:rPr>
        <w:t>dinámica</w:t>
      </w:r>
      <w:r>
        <w:rPr>
          <w:rStyle w:val="Ninguno"/>
          <w:rFonts w:ascii="Century Gothic" w:eastAsia="Century Gothic" w:hAnsi="Century Gothic" w:cs="Century Gothic"/>
          <w:sz w:val="24"/>
          <w:szCs w:val="24"/>
          <w:lang w:val="es-MX"/>
        </w:rPr>
        <w:t xml:space="preserve"> de tarifa integra</w:t>
      </w:r>
      <w:r w:rsidR="00986C3E">
        <w:rPr>
          <w:rStyle w:val="Ninguno"/>
          <w:rFonts w:ascii="Century Gothic" w:eastAsia="Century Gothic" w:hAnsi="Century Gothic" w:cs="Century Gothic"/>
          <w:sz w:val="24"/>
          <w:szCs w:val="24"/>
          <w:lang w:val="es-MX"/>
        </w:rPr>
        <w:t>da</w:t>
      </w:r>
      <w:r>
        <w:rPr>
          <w:rStyle w:val="Ninguno"/>
          <w:rFonts w:ascii="Century Gothic" w:eastAsia="Century Gothic" w:hAnsi="Century Gothic" w:cs="Century Gothic"/>
          <w:sz w:val="24"/>
          <w:szCs w:val="24"/>
          <w:lang w:val="es-MX"/>
        </w:rPr>
        <w:t xml:space="preserve">, a fin de erradicar acciones de </w:t>
      </w:r>
      <w:r w:rsidR="0020036A" w:rsidRPr="0020036A">
        <w:rPr>
          <w:rStyle w:val="Ninguno"/>
          <w:rFonts w:ascii="Century Gothic" w:eastAsia="Century Gothic" w:hAnsi="Century Gothic" w:cs="Century Gothic"/>
          <w:sz w:val="24"/>
          <w:szCs w:val="24"/>
          <w:lang w:val="es-MX"/>
        </w:rPr>
        <w:t>discriminación tarifaria en perjuicio de quienes habitan las zonas con mayor dispersión y distancia</w:t>
      </w:r>
      <w:r>
        <w:rPr>
          <w:rStyle w:val="Ninguno"/>
          <w:rFonts w:ascii="Century Gothic" w:eastAsia="Century Gothic" w:hAnsi="Century Gothic" w:cs="Century Gothic"/>
          <w:sz w:val="24"/>
          <w:szCs w:val="24"/>
          <w:lang w:val="es-MX"/>
        </w:rPr>
        <w:t xml:space="preserve">, tomando en cuenta que </w:t>
      </w:r>
      <w:r w:rsidRPr="00C43910">
        <w:rPr>
          <w:rStyle w:val="Ninguno"/>
          <w:rFonts w:ascii="Century Gothic" w:hAnsi="Century Gothic"/>
          <w:sz w:val="24"/>
          <w:szCs w:val="24"/>
        </w:rPr>
        <w:t xml:space="preserve">el tramo comprendido entre Loma Blanca y El Porvenir, </w:t>
      </w:r>
      <w:r>
        <w:rPr>
          <w:rStyle w:val="Ninguno"/>
          <w:rFonts w:ascii="Century Gothic" w:hAnsi="Century Gothic"/>
          <w:sz w:val="24"/>
          <w:szCs w:val="24"/>
        </w:rPr>
        <w:t xml:space="preserve">representa </w:t>
      </w:r>
      <w:r w:rsidRPr="00C43910">
        <w:rPr>
          <w:rStyle w:val="Ninguno"/>
          <w:rFonts w:ascii="Century Gothic" w:hAnsi="Century Gothic"/>
          <w:sz w:val="24"/>
          <w:szCs w:val="24"/>
        </w:rPr>
        <w:t>un recorrido de alrededor de 65 kilómetros</w:t>
      </w:r>
      <w:r>
        <w:rPr>
          <w:rStyle w:val="Ninguno"/>
          <w:rFonts w:ascii="Century Gothic" w:hAnsi="Century Gothic"/>
          <w:sz w:val="24"/>
          <w:szCs w:val="24"/>
        </w:rPr>
        <w:t>.</w:t>
      </w:r>
    </w:p>
    <w:p w14:paraId="59D27C42" w14:textId="60D50790" w:rsidR="0017212E" w:rsidRPr="00F148F1" w:rsidRDefault="00AF1F60" w:rsidP="0020036A">
      <w:pPr>
        <w:pStyle w:val="Cuerpo"/>
        <w:spacing w:before="240" w:after="240" w:line="360" w:lineRule="auto"/>
        <w:jc w:val="both"/>
        <w:rPr>
          <w:rStyle w:val="Ninguno"/>
          <w:rFonts w:ascii="Century Gothic" w:eastAsia="Century Gothic" w:hAnsi="Century Gothic" w:cs="Century Gothic"/>
          <w:sz w:val="24"/>
          <w:szCs w:val="24"/>
          <w:lang w:val="es-MX"/>
        </w:rPr>
      </w:pPr>
      <w:r>
        <w:rPr>
          <w:rStyle w:val="Ninguno"/>
          <w:rFonts w:ascii="Century Gothic" w:eastAsia="Century Gothic" w:hAnsi="Century Gothic" w:cs="Century Gothic"/>
          <w:sz w:val="24"/>
          <w:szCs w:val="24"/>
          <w:lang w:val="es-MX"/>
        </w:rPr>
        <w:t>En ese sentido, la presente proposición plantea l</w:t>
      </w:r>
      <w:r w:rsidR="0020036A" w:rsidRPr="0020036A">
        <w:rPr>
          <w:rStyle w:val="Ninguno"/>
          <w:rFonts w:ascii="Century Gothic" w:eastAsia="Century Gothic" w:hAnsi="Century Gothic" w:cs="Century Gothic"/>
          <w:sz w:val="24"/>
          <w:szCs w:val="24"/>
          <w:lang w:val="es-MX"/>
        </w:rPr>
        <w:t xml:space="preserve">a integración tarifaria del Valle de Juárez al SIT </w:t>
      </w:r>
      <w:r>
        <w:rPr>
          <w:rStyle w:val="Ninguno"/>
          <w:rFonts w:ascii="Century Gothic" w:eastAsia="Century Gothic" w:hAnsi="Century Gothic" w:cs="Century Gothic"/>
          <w:sz w:val="24"/>
          <w:szCs w:val="24"/>
          <w:lang w:val="es-MX"/>
        </w:rPr>
        <w:t>como</w:t>
      </w:r>
      <w:r w:rsidR="0020036A" w:rsidRPr="0020036A">
        <w:rPr>
          <w:rStyle w:val="Ninguno"/>
          <w:rFonts w:ascii="Century Gothic" w:eastAsia="Century Gothic" w:hAnsi="Century Gothic" w:cs="Century Gothic"/>
          <w:sz w:val="24"/>
          <w:szCs w:val="24"/>
          <w:lang w:val="es-MX"/>
        </w:rPr>
        <w:t xml:space="preserve"> un acto de justicia social y de derecho a la movilidad en condiciones de igualdad</w:t>
      </w:r>
      <w:r>
        <w:rPr>
          <w:rStyle w:val="Ninguno"/>
          <w:rFonts w:ascii="Century Gothic" w:eastAsia="Century Gothic" w:hAnsi="Century Gothic" w:cs="Century Gothic"/>
          <w:sz w:val="24"/>
          <w:szCs w:val="24"/>
          <w:lang w:val="es-MX"/>
        </w:rPr>
        <w:t>, p</w:t>
      </w:r>
      <w:r w:rsidR="00F148F1" w:rsidRPr="00F148F1">
        <w:rPr>
          <w:rStyle w:val="Ninguno"/>
          <w:rFonts w:ascii="Century Gothic" w:eastAsia="Century Gothic" w:hAnsi="Century Gothic" w:cs="Century Gothic"/>
          <w:sz w:val="24"/>
          <w:szCs w:val="24"/>
          <w:lang w:val="es-MX"/>
        </w:rPr>
        <w:t xml:space="preserve">or lo </w:t>
      </w:r>
      <w:r>
        <w:rPr>
          <w:rStyle w:val="Ninguno"/>
          <w:rFonts w:ascii="Century Gothic" w:eastAsia="Century Gothic" w:hAnsi="Century Gothic" w:cs="Century Gothic"/>
          <w:sz w:val="24"/>
          <w:szCs w:val="24"/>
          <w:lang w:val="es-MX"/>
        </w:rPr>
        <w:t xml:space="preserve">que nos permitimos </w:t>
      </w:r>
      <w:r w:rsidR="00F148F1" w:rsidRPr="00F148F1">
        <w:rPr>
          <w:rStyle w:val="Ninguno"/>
          <w:rFonts w:ascii="Century Gothic" w:eastAsia="Century Gothic" w:hAnsi="Century Gothic" w:cs="Century Gothic"/>
          <w:sz w:val="24"/>
          <w:szCs w:val="24"/>
          <w:lang w:val="es-MX"/>
        </w:rPr>
        <w:t>somete</w:t>
      </w:r>
      <w:r>
        <w:rPr>
          <w:rStyle w:val="Ninguno"/>
          <w:rFonts w:ascii="Century Gothic" w:eastAsia="Century Gothic" w:hAnsi="Century Gothic" w:cs="Century Gothic"/>
          <w:sz w:val="24"/>
          <w:szCs w:val="24"/>
          <w:lang w:val="es-MX"/>
        </w:rPr>
        <w:t>r</w:t>
      </w:r>
      <w:r w:rsidR="00F148F1" w:rsidRPr="00F148F1">
        <w:rPr>
          <w:rStyle w:val="Ninguno"/>
          <w:rFonts w:ascii="Century Gothic" w:eastAsia="Century Gothic" w:hAnsi="Century Gothic" w:cs="Century Gothic"/>
          <w:sz w:val="24"/>
          <w:szCs w:val="24"/>
          <w:lang w:val="es-MX"/>
        </w:rPr>
        <w:t xml:space="preserve"> a consideración de esta Honorable Asamblea la siguiente</w:t>
      </w:r>
      <w:r w:rsidR="00A85419">
        <w:rPr>
          <w:rStyle w:val="Ninguno"/>
          <w:rFonts w:ascii="Century Gothic" w:eastAsia="Century Gothic" w:hAnsi="Century Gothic" w:cs="Century Gothic"/>
          <w:sz w:val="24"/>
          <w:szCs w:val="24"/>
          <w:lang w:val="es-MX"/>
        </w:rPr>
        <w:t xml:space="preserve"> proposición con carácter de</w:t>
      </w:r>
      <w:r w:rsidR="00F148F1" w:rsidRPr="00F148F1">
        <w:rPr>
          <w:rStyle w:val="Ninguno"/>
          <w:rFonts w:ascii="Century Gothic" w:eastAsia="Century Gothic" w:hAnsi="Century Gothic" w:cs="Century Gothic"/>
          <w:sz w:val="24"/>
          <w:szCs w:val="24"/>
          <w:lang w:val="es-MX"/>
        </w:rPr>
        <w:t>:</w:t>
      </w:r>
    </w:p>
    <w:p w14:paraId="75613C7C" w14:textId="77777777" w:rsidR="00F34FAF" w:rsidRPr="005A38A1" w:rsidRDefault="00F34FAF" w:rsidP="00F34FAF">
      <w:pPr>
        <w:spacing w:before="100" w:beforeAutospacing="1" w:after="100" w:afterAutospacing="1" w:line="360" w:lineRule="auto"/>
        <w:jc w:val="center"/>
        <w:rPr>
          <w:rFonts w:ascii="Century Gothic" w:eastAsia="Times New Roman" w:hAnsi="Century Gothic"/>
          <w:lang w:val="es-MX" w:eastAsia="es-MX"/>
        </w:rPr>
      </w:pPr>
      <w:r w:rsidRPr="005A38A1">
        <w:rPr>
          <w:rFonts w:ascii="Century Gothic" w:eastAsia="Times New Roman" w:hAnsi="Century Gothic"/>
          <w:b/>
          <w:bCs/>
          <w:lang w:val="es-MX" w:eastAsia="es-MX"/>
        </w:rPr>
        <w:lastRenderedPageBreak/>
        <w:t>ACUERDO</w:t>
      </w:r>
      <w:r w:rsidRPr="00F34FAF">
        <w:rPr>
          <w:rFonts w:ascii="Century Gothic" w:eastAsia="Times New Roman" w:hAnsi="Century Gothic"/>
          <w:b/>
          <w:bCs/>
          <w:lang w:val="es-MX" w:eastAsia="es-MX"/>
        </w:rPr>
        <w:t>.</w:t>
      </w:r>
    </w:p>
    <w:p w14:paraId="1A8C8499" w14:textId="0EEC0AEC" w:rsidR="005A53F1" w:rsidRDefault="00AF1F60" w:rsidP="00AF1F60">
      <w:pPr>
        <w:spacing w:before="100" w:beforeAutospacing="1" w:after="100" w:afterAutospacing="1" w:line="360" w:lineRule="auto"/>
        <w:jc w:val="both"/>
        <w:rPr>
          <w:rStyle w:val="Ninguno"/>
          <w:rFonts w:ascii="Century Gothic" w:hAnsi="Century Gothic"/>
        </w:rPr>
      </w:pPr>
      <w:r>
        <w:rPr>
          <w:rFonts w:ascii="Century Gothic" w:eastAsia="Times New Roman" w:hAnsi="Century Gothic"/>
          <w:b/>
          <w:bCs/>
          <w:lang w:val="es-MX" w:eastAsia="es-MX"/>
        </w:rPr>
        <w:t>ÚNICO</w:t>
      </w:r>
      <w:r w:rsidR="00F34FAF" w:rsidRPr="005A38A1">
        <w:rPr>
          <w:rFonts w:ascii="Century Gothic" w:eastAsia="Times New Roman" w:hAnsi="Century Gothic"/>
          <w:b/>
          <w:bCs/>
          <w:lang w:val="es-MX" w:eastAsia="es-MX"/>
        </w:rPr>
        <w:t>.</w:t>
      </w:r>
      <w:r w:rsidR="00F34FAF" w:rsidRPr="005A38A1">
        <w:rPr>
          <w:rFonts w:ascii="Century Gothic" w:eastAsia="Times New Roman" w:hAnsi="Century Gothic"/>
          <w:lang w:val="es-MX" w:eastAsia="es-MX"/>
        </w:rPr>
        <w:t xml:space="preserve"> </w:t>
      </w:r>
      <w:r w:rsidR="00B901C9">
        <w:rPr>
          <w:rFonts w:ascii="Century Gothic" w:eastAsia="Times New Roman" w:hAnsi="Century Gothic"/>
          <w:lang w:val="es-MX" w:eastAsia="es-MX"/>
        </w:rPr>
        <w:t>La Diputación Permanente de la Sexagésima Octava Legislatura</w:t>
      </w:r>
      <w:r w:rsidR="00B901C9" w:rsidRPr="00B901C9">
        <w:rPr>
          <w:rFonts w:ascii="Century Gothic" w:eastAsia="Times New Roman" w:hAnsi="Century Gothic"/>
          <w:lang w:val="es-MX" w:eastAsia="es-MX"/>
        </w:rPr>
        <w:t xml:space="preserve"> Congreso del Estado de Chihuahua</w:t>
      </w:r>
      <w:r w:rsidR="00B901C9">
        <w:rPr>
          <w:rFonts w:ascii="Century Gothic" w:eastAsia="Times New Roman" w:hAnsi="Century Gothic"/>
          <w:lang w:val="es-MX" w:eastAsia="es-MX"/>
        </w:rPr>
        <w:t xml:space="preserve">, </w:t>
      </w:r>
      <w:r w:rsidR="00B901C9" w:rsidRPr="00B901C9">
        <w:rPr>
          <w:rFonts w:ascii="Century Gothic" w:eastAsia="Times New Roman" w:hAnsi="Century Gothic"/>
          <w:lang w:val="es-MX" w:eastAsia="es-MX"/>
        </w:rPr>
        <w:t xml:space="preserve">exhorta respetuosamente </w:t>
      </w:r>
      <w:r>
        <w:rPr>
          <w:rStyle w:val="Ninguno"/>
          <w:rFonts w:ascii="Century Gothic" w:hAnsi="Century Gothic"/>
        </w:rPr>
        <w:t>a la Titular del Ejecutivo del Estado para que, a través de la Secretaría General de Gobierno y la Subsecretaría de Transporte, se lleven las acciones necesarias que permitan priorizar la inclusión de la ruta de transporte del Valle de Juárez al Sistema Integrado de Transporte, garantizando para las personas usuarias el pago de una tarifa integrada</w:t>
      </w:r>
      <w:r w:rsidR="005A53F1">
        <w:rPr>
          <w:rStyle w:val="Ninguno"/>
          <w:rFonts w:ascii="Century Gothic" w:hAnsi="Century Gothic"/>
        </w:rPr>
        <w:t xml:space="preserve"> e implementando las acciones necesarias para la debida acreditación del pago.</w:t>
      </w:r>
    </w:p>
    <w:p w14:paraId="78EF9D13" w14:textId="7AF5E922" w:rsidR="00C43910" w:rsidRPr="0017212E" w:rsidRDefault="007D140D" w:rsidP="0017212E">
      <w:pPr>
        <w:spacing w:before="100" w:beforeAutospacing="1" w:after="100" w:afterAutospacing="1" w:line="360" w:lineRule="auto"/>
        <w:jc w:val="both"/>
        <w:rPr>
          <w:rStyle w:val="Ninguno"/>
          <w:rFonts w:ascii="Century Gothic" w:hAnsi="Century Gothic"/>
          <w:lang w:val="es-MX"/>
        </w:rPr>
      </w:pPr>
      <w:r w:rsidRPr="00F34FAF">
        <w:rPr>
          <w:rStyle w:val="Ninguno"/>
          <w:rFonts w:ascii="Century Gothic" w:hAnsi="Century Gothic"/>
          <w:b/>
          <w:bCs/>
          <w:lang w:val="es-MX"/>
        </w:rPr>
        <w:t>ECONÓMICO. -</w:t>
      </w:r>
      <w:r w:rsidRPr="00F34FAF">
        <w:rPr>
          <w:rStyle w:val="Ninguno"/>
          <w:rFonts w:ascii="Century Gothic" w:hAnsi="Century Gothic"/>
          <w:lang w:val="es-MX"/>
        </w:rPr>
        <w:t xml:space="preserve"> Aprobado que sea, remítase copia de la presente Proposición </w:t>
      </w:r>
      <w:r w:rsidR="00F03619">
        <w:rPr>
          <w:rStyle w:val="Ninguno"/>
          <w:rFonts w:ascii="Century Gothic" w:hAnsi="Century Gothic"/>
          <w:lang w:val="es-MX"/>
        </w:rPr>
        <w:t xml:space="preserve">con carácter de </w:t>
      </w:r>
      <w:r w:rsidRPr="00F34FAF">
        <w:rPr>
          <w:rStyle w:val="Ninguno"/>
          <w:rFonts w:ascii="Century Gothic" w:hAnsi="Century Gothic"/>
          <w:lang w:val="es-MX"/>
        </w:rPr>
        <w:t>Acuerdo a las autoridades mencionadas, para los efectos conducentes.</w:t>
      </w:r>
    </w:p>
    <w:p w14:paraId="3C86AC7C" w14:textId="67029E5A" w:rsidR="00B836D0" w:rsidRPr="00F03619" w:rsidRDefault="00F34FAF" w:rsidP="00F03619">
      <w:pPr>
        <w:spacing w:before="100" w:beforeAutospacing="1" w:after="100" w:afterAutospacing="1" w:line="360" w:lineRule="auto"/>
        <w:jc w:val="both"/>
        <w:rPr>
          <w:rStyle w:val="Ninguno"/>
          <w:rFonts w:ascii="Century Gothic" w:eastAsia="Times New Roman" w:hAnsi="Century Gothic"/>
          <w:lang w:val="es-MX" w:eastAsia="es-MX"/>
        </w:rPr>
      </w:pPr>
      <w:r w:rsidRPr="00F34FAF">
        <w:rPr>
          <w:rFonts w:ascii="Century Gothic" w:eastAsia="Times New Roman" w:hAnsi="Century Gothic"/>
          <w:b/>
          <w:bCs/>
          <w:lang w:val="es-MX" w:eastAsia="es-MX"/>
        </w:rPr>
        <w:t>D A D O</w:t>
      </w:r>
      <w:r w:rsidRPr="005A38A1">
        <w:rPr>
          <w:rFonts w:ascii="Century Gothic" w:eastAsia="Times New Roman" w:hAnsi="Century Gothic"/>
          <w:lang w:val="es-MX" w:eastAsia="es-MX"/>
        </w:rPr>
        <w:t xml:space="preserve"> e</w:t>
      </w:r>
      <w:r w:rsidRPr="00F34FAF">
        <w:rPr>
          <w:rFonts w:ascii="Century Gothic" w:eastAsia="Times New Roman" w:hAnsi="Century Gothic"/>
          <w:lang w:val="es-MX" w:eastAsia="es-MX"/>
        </w:rPr>
        <w:t xml:space="preserve">n </w:t>
      </w:r>
      <w:r w:rsidR="0017212E">
        <w:rPr>
          <w:rFonts w:ascii="Century Gothic" w:eastAsia="Times New Roman" w:hAnsi="Century Gothic"/>
          <w:lang w:val="es-MX" w:eastAsia="es-MX"/>
        </w:rPr>
        <w:t>la Sala de Sesiones de la Diputación Permanente</w:t>
      </w:r>
      <w:r w:rsidRPr="00F34FAF">
        <w:rPr>
          <w:rFonts w:ascii="Century Gothic" w:eastAsia="Times New Roman" w:hAnsi="Century Gothic"/>
          <w:lang w:val="es-MX" w:eastAsia="es-MX"/>
        </w:rPr>
        <w:t xml:space="preserve"> </w:t>
      </w:r>
      <w:r w:rsidRPr="005A38A1">
        <w:rPr>
          <w:rFonts w:ascii="Century Gothic" w:eastAsia="Times New Roman" w:hAnsi="Century Gothic"/>
          <w:lang w:val="es-MX" w:eastAsia="es-MX"/>
        </w:rPr>
        <w:t xml:space="preserve">del Poder Legislativo del Estado de Chihuahua, </w:t>
      </w:r>
      <w:r w:rsidRPr="00F34FAF">
        <w:rPr>
          <w:rFonts w:ascii="Century Gothic" w:eastAsia="Times New Roman" w:hAnsi="Century Gothic"/>
          <w:lang w:val="es-MX" w:eastAsia="es-MX"/>
        </w:rPr>
        <w:t xml:space="preserve">a los </w:t>
      </w:r>
      <w:r w:rsidR="00AF1F60">
        <w:rPr>
          <w:rFonts w:ascii="Century Gothic" w:eastAsia="Times New Roman" w:hAnsi="Century Gothic"/>
          <w:lang w:val="es-MX" w:eastAsia="es-MX"/>
        </w:rPr>
        <w:t>28</w:t>
      </w:r>
      <w:r w:rsidRPr="005A38A1">
        <w:rPr>
          <w:rFonts w:ascii="Century Gothic" w:eastAsia="Times New Roman" w:hAnsi="Century Gothic"/>
          <w:lang w:val="es-MX" w:eastAsia="es-MX"/>
        </w:rPr>
        <w:t xml:space="preserve"> días del mes de </w:t>
      </w:r>
      <w:r w:rsidR="00AF1F60">
        <w:rPr>
          <w:rFonts w:ascii="Century Gothic" w:eastAsia="Times New Roman" w:hAnsi="Century Gothic"/>
          <w:lang w:val="es-MX" w:eastAsia="es-MX"/>
        </w:rPr>
        <w:t>agosto</w:t>
      </w:r>
      <w:r w:rsidRPr="005A38A1">
        <w:rPr>
          <w:rFonts w:ascii="Century Gothic" w:eastAsia="Times New Roman" w:hAnsi="Century Gothic"/>
          <w:lang w:val="es-MX" w:eastAsia="es-MX"/>
        </w:rPr>
        <w:t xml:space="preserve"> de dos mil veintiséis.</w:t>
      </w:r>
    </w:p>
    <w:bookmarkEnd w:id="1"/>
    <w:p w14:paraId="1593F5FA" w14:textId="77777777" w:rsidR="00B836D0" w:rsidRPr="00F34FAF" w:rsidRDefault="007D140D">
      <w:pPr>
        <w:pStyle w:val="Cuerpo"/>
        <w:jc w:val="center"/>
        <w:rPr>
          <w:rStyle w:val="Ninguno"/>
          <w:rFonts w:ascii="Century Gothic" w:eastAsia="Century Gothic" w:hAnsi="Century Gothic" w:cs="Century Gothic"/>
          <w:b/>
          <w:bCs/>
          <w:sz w:val="24"/>
          <w:szCs w:val="24"/>
          <w:lang w:val="es-MX"/>
        </w:rPr>
      </w:pPr>
      <w:r w:rsidRPr="00F34FAF">
        <w:rPr>
          <w:rStyle w:val="Ninguno"/>
          <w:rFonts w:ascii="Century Gothic" w:hAnsi="Century Gothic"/>
          <w:b/>
          <w:bCs/>
          <w:sz w:val="24"/>
          <w:szCs w:val="24"/>
          <w:lang w:val="es-MX"/>
        </w:rPr>
        <w:t>ATENTAMENTE,</w:t>
      </w:r>
    </w:p>
    <w:p w14:paraId="685044FF" w14:textId="77777777" w:rsidR="00B836D0" w:rsidRPr="00F34FAF" w:rsidRDefault="00B836D0">
      <w:pPr>
        <w:pStyle w:val="Cuerpo"/>
        <w:jc w:val="center"/>
        <w:rPr>
          <w:rStyle w:val="Ninguno"/>
          <w:rFonts w:ascii="Century Gothic" w:eastAsia="Century Gothic" w:hAnsi="Century Gothic" w:cs="Century Gothic"/>
          <w:b/>
          <w:bCs/>
          <w:sz w:val="24"/>
          <w:szCs w:val="24"/>
          <w:lang w:val="es-MX"/>
        </w:rPr>
      </w:pPr>
    </w:p>
    <w:p w14:paraId="6A73C7EC" w14:textId="7658C260" w:rsidR="00B836D0" w:rsidRPr="00F34FAF" w:rsidRDefault="00B836D0" w:rsidP="0095325B">
      <w:pPr>
        <w:pStyle w:val="Cuerpo"/>
        <w:rPr>
          <w:rStyle w:val="Ninguno"/>
          <w:rFonts w:ascii="Century Gothic" w:eastAsia="Century Gothic" w:hAnsi="Century Gothic" w:cs="Century Gothic"/>
          <w:b/>
          <w:bCs/>
          <w:sz w:val="24"/>
          <w:szCs w:val="24"/>
          <w:lang w:val="es-MX"/>
        </w:rPr>
      </w:pPr>
    </w:p>
    <w:p w14:paraId="4625DA3B" w14:textId="77777777" w:rsidR="00C43910" w:rsidRPr="00F34FAF" w:rsidRDefault="00C43910">
      <w:pPr>
        <w:pStyle w:val="Cuerpo"/>
        <w:jc w:val="center"/>
        <w:rPr>
          <w:rStyle w:val="Ninguno"/>
          <w:rFonts w:ascii="Century Gothic" w:eastAsia="Century Gothic" w:hAnsi="Century Gothic" w:cs="Century Gothic"/>
          <w:b/>
          <w:bCs/>
          <w:sz w:val="24"/>
          <w:szCs w:val="24"/>
          <w:lang w:val="es-MX"/>
        </w:rPr>
      </w:pPr>
    </w:p>
    <w:p w14:paraId="76C9880A" w14:textId="1DFA0C46" w:rsidR="00B836D0" w:rsidRDefault="007D140D">
      <w:pPr>
        <w:pStyle w:val="Cuerpo"/>
        <w:jc w:val="center"/>
        <w:rPr>
          <w:rStyle w:val="Ninguno"/>
          <w:rFonts w:ascii="Century Gothic" w:hAnsi="Century Gothic"/>
          <w:b/>
          <w:bCs/>
          <w:sz w:val="24"/>
          <w:szCs w:val="24"/>
          <w:lang w:val="es-MX"/>
        </w:rPr>
      </w:pPr>
      <w:r w:rsidRPr="00F34FAF">
        <w:rPr>
          <w:rStyle w:val="Ninguno"/>
          <w:rFonts w:ascii="Century Gothic" w:hAnsi="Century Gothic"/>
          <w:b/>
          <w:bCs/>
          <w:sz w:val="24"/>
          <w:szCs w:val="24"/>
          <w:lang w:val="es-MX"/>
        </w:rPr>
        <w:t>DIP. OSCAR DANIEL AVITIA ARELLANES.</w:t>
      </w:r>
    </w:p>
    <w:p w14:paraId="1CB597B3" w14:textId="77777777" w:rsidR="00F03619" w:rsidRPr="00F34FAF" w:rsidRDefault="00F03619">
      <w:pPr>
        <w:pStyle w:val="Cuerpo"/>
        <w:jc w:val="center"/>
        <w:rPr>
          <w:rStyle w:val="Ninguno"/>
          <w:rFonts w:ascii="Century Gothic" w:eastAsia="Century Gothic" w:hAnsi="Century Gothic" w:cs="Century Gothic"/>
          <w:b/>
          <w:bCs/>
          <w:sz w:val="24"/>
          <w:szCs w:val="24"/>
          <w:lang w:val="es-MX"/>
        </w:rPr>
      </w:pPr>
    </w:p>
    <w:p w14:paraId="2C74E9A3" w14:textId="77777777" w:rsidR="00B836D0" w:rsidRPr="00F34FAF" w:rsidRDefault="00B836D0">
      <w:pPr>
        <w:pStyle w:val="Cuerpo"/>
        <w:rPr>
          <w:rStyle w:val="Ninguno"/>
          <w:rFonts w:ascii="Century Gothic" w:eastAsia="Century Gothic" w:hAnsi="Century Gothic" w:cs="Century Gothic"/>
          <w:b/>
          <w:bCs/>
          <w:sz w:val="24"/>
          <w:szCs w:val="24"/>
          <w:lang w:val="es-MX"/>
        </w:rPr>
      </w:pPr>
    </w:p>
    <w:tbl>
      <w:tblPr>
        <w:tblStyle w:val="TableNormal"/>
        <w:tblW w:w="883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427"/>
        <w:gridCol w:w="4411"/>
      </w:tblGrid>
      <w:tr w:rsidR="00B836D0" w:rsidRPr="00F34FAF" w14:paraId="6464E189" w14:textId="77777777">
        <w:trPr>
          <w:trHeight w:val="1585"/>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1C33CB63"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lastRenderedPageBreak/>
              <w:t>Dip. Edin Cuauhtémoc Estrada Sotelo</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0A0E5F26"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 xml:space="preserve"> Dip. Magdalena Rentería Pérez</w:t>
            </w:r>
          </w:p>
        </w:tc>
      </w:tr>
      <w:tr w:rsidR="00B836D0" w:rsidRPr="00F34FAF" w14:paraId="1E585A15" w14:textId="77777777">
        <w:trPr>
          <w:trHeight w:val="157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0D2D2F79"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1982DB40"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Brenda Francisca Ríos Prieto</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4C21D2C2"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489F3245"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Elizabeth Guzmán Argueta</w:t>
            </w:r>
          </w:p>
        </w:tc>
      </w:tr>
      <w:tr w:rsidR="00B836D0" w:rsidRPr="00F34FAF" w14:paraId="6D35B4D1" w14:textId="77777777">
        <w:trPr>
          <w:trHeight w:val="157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3E84A960"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0262A83D"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Edith Palma Ontiveros</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1DDCCFE7"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3B209D0C"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Herminia Gómez Carrasco</w:t>
            </w:r>
          </w:p>
        </w:tc>
      </w:tr>
      <w:tr w:rsidR="00B836D0" w:rsidRPr="00F34FAF" w14:paraId="25A48568" w14:textId="77777777">
        <w:trPr>
          <w:trHeight w:val="157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40669F80"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3C01C8CB"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Leticia Ortega Máynez</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2B80DEAD"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09EB5EE7" w14:textId="77777777" w:rsidR="00B836D0" w:rsidRPr="00F34FAF" w:rsidRDefault="007D140D">
            <w:pPr>
              <w:pStyle w:val="Cuerpo"/>
              <w:spacing w:before="240" w:after="12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María Antonieta Pérez Reyes</w:t>
            </w:r>
          </w:p>
        </w:tc>
      </w:tr>
      <w:tr w:rsidR="00B836D0" w:rsidRPr="00F34FAF" w14:paraId="53CC8808" w14:textId="77777777">
        <w:trPr>
          <w:trHeight w:val="2050"/>
        </w:trPr>
        <w:tc>
          <w:tcPr>
            <w:tcW w:w="44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339EB72E"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6AE635BA" w14:textId="77777777" w:rsidR="00B836D0" w:rsidRPr="00F34FAF" w:rsidRDefault="007D140D">
            <w:pPr>
              <w:pStyle w:val="Cuerpo"/>
              <w:spacing w:before="240" w:after="120" w:line="360" w:lineRule="auto"/>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Dip. Jael Argüelles Díaz</w:t>
            </w:r>
          </w:p>
        </w:tc>
        <w:tc>
          <w:tcPr>
            <w:tcW w:w="44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1CA80E7E" w14:textId="77777777" w:rsidR="00B836D0" w:rsidRPr="00F34FAF" w:rsidRDefault="007D140D">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w:t>
            </w:r>
          </w:p>
          <w:p w14:paraId="7640BD3B" w14:textId="77777777" w:rsidR="00B836D0" w:rsidRPr="00F34FAF" w:rsidRDefault="007D140D">
            <w:pPr>
              <w:pStyle w:val="Cuerpo"/>
              <w:spacing w:before="240" w:after="120" w:line="360" w:lineRule="auto"/>
              <w:rPr>
                <w:rStyle w:val="Ninguno"/>
                <w:rFonts w:ascii="Century Gothic" w:eastAsia="Century Gothic" w:hAnsi="Century Gothic" w:cs="Century Gothic"/>
                <w:b/>
                <w:bCs/>
                <w:sz w:val="24"/>
                <w:szCs w:val="24"/>
                <w:shd w:val="clear" w:color="auto" w:fill="FEFFFF"/>
                <w:lang w:val="es-MX"/>
              </w:rPr>
            </w:pPr>
            <w:r w:rsidRPr="00F34FAF">
              <w:rPr>
                <w:rStyle w:val="Ninguno"/>
                <w:rFonts w:ascii="Century Gothic" w:hAnsi="Century Gothic"/>
                <w:b/>
                <w:bCs/>
                <w:sz w:val="24"/>
                <w:szCs w:val="24"/>
                <w:shd w:val="clear" w:color="auto" w:fill="FEFFFF"/>
                <w:lang w:val="es-MX"/>
              </w:rPr>
              <w:t xml:space="preserve">    Dip. Pedro Torres Estrada</w:t>
            </w:r>
          </w:p>
          <w:p w14:paraId="2CA868E3" w14:textId="77777777" w:rsidR="00B836D0" w:rsidRPr="00F34FAF" w:rsidRDefault="007D140D">
            <w:pPr>
              <w:pStyle w:val="Cuerpo"/>
              <w:spacing w:before="240" w:after="240" w:line="360" w:lineRule="auto"/>
              <w:jc w:val="center"/>
              <w:rPr>
                <w:rFonts w:ascii="Century Gothic" w:hAnsi="Century Gothic"/>
                <w:sz w:val="24"/>
                <w:szCs w:val="24"/>
                <w:lang w:val="es-MX"/>
              </w:rPr>
            </w:pPr>
            <w:r w:rsidRPr="00F34FAF">
              <w:rPr>
                <w:rStyle w:val="Ninguno"/>
                <w:rFonts w:ascii="Century Gothic" w:hAnsi="Century Gothic"/>
                <w:b/>
                <w:bCs/>
                <w:sz w:val="24"/>
                <w:szCs w:val="24"/>
                <w:shd w:val="clear" w:color="auto" w:fill="FEFFFF"/>
                <w:lang w:val="es-MX"/>
              </w:rPr>
              <w:t xml:space="preserve"> </w:t>
            </w:r>
          </w:p>
        </w:tc>
      </w:tr>
      <w:bookmarkEnd w:id="0"/>
    </w:tbl>
    <w:p w14:paraId="60F4D934" w14:textId="77777777" w:rsidR="00B836D0" w:rsidRPr="00F34FAF" w:rsidRDefault="00B836D0">
      <w:pPr>
        <w:pStyle w:val="Cuerpo"/>
        <w:widowControl w:val="0"/>
        <w:spacing w:line="240" w:lineRule="auto"/>
        <w:rPr>
          <w:rFonts w:ascii="Century Gothic" w:hAnsi="Century Gothic"/>
          <w:sz w:val="24"/>
          <w:szCs w:val="24"/>
          <w:lang w:val="es-MX"/>
        </w:rPr>
      </w:pPr>
    </w:p>
    <w:sectPr w:rsidR="00B836D0" w:rsidRPr="00F34FAF">
      <w:headerReference w:type="default" r:id="rId7"/>
      <w:pgSz w:w="12240" w:h="15840"/>
      <w:pgMar w:top="2835"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087E8" w14:textId="77777777" w:rsidR="00067105" w:rsidRDefault="00067105">
      <w:r>
        <w:separator/>
      </w:r>
    </w:p>
  </w:endnote>
  <w:endnote w:type="continuationSeparator" w:id="0">
    <w:p w14:paraId="16D768DE" w14:textId="77777777" w:rsidR="00067105" w:rsidRDefault="0006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Dancing Scrip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AC520" w14:textId="77777777" w:rsidR="00067105" w:rsidRDefault="00067105">
      <w:r>
        <w:separator/>
      </w:r>
    </w:p>
  </w:footnote>
  <w:footnote w:type="continuationSeparator" w:id="0">
    <w:p w14:paraId="0F786B30" w14:textId="77777777" w:rsidR="00067105" w:rsidRDefault="00067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32454" w14:textId="77777777" w:rsidR="00C43910" w:rsidRPr="007001E9" w:rsidRDefault="00C43910" w:rsidP="00C43910">
    <w:pPr>
      <w:ind w:left="1" w:hanging="3"/>
      <w:jc w:val="right"/>
      <w:rPr>
        <w:rFonts w:ascii="Lucida Handwriting" w:eastAsia="Dancing Script" w:hAnsi="Lucida Handwriting" w:cs="Dancing Script"/>
        <w:color w:val="000000"/>
        <w:sz w:val="18"/>
        <w:szCs w:val="18"/>
      </w:rPr>
    </w:pPr>
    <w:r>
      <w:rPr>
        <w:rFonts w:ascii="Century Gothic" w:hAnsi="Century Gothic"/>
      </w:rPr>
      <w:tab/>
      <w:t>“</w:t>
    </w:r>
    <w:r w:rsidRPr="007001E9">
      <w:rPr>
        <w:rFonts w:ascii="Lucida Handwriting" w:eastAsia="Dancing Script" w:hAnsi="Lucida Handwriting" w:cs="Dancing Script"/>
        <w:color w:val="000000"/>
        <w:sz w:val="18"/>
        <w:szCs w:val="18"/>
      </w:rPr>
      <w:t>202</w:t>
    </w:r>
    <w:r>
      <w:rPr>
        <w:rFonts w:ascii="Lucida Handwriting" w:eastAsia="Dancing Script" w:hAnsi="Lucida Handwriting" w:cs="Dancing Script"/>
        <w:sz w:val="18"/>
        <w:szCs w:val="18"/>
      </w:rPr>
      <w:t>6</w:t>
    </w:r>
    <w:r w:rsidRPr="007001E9">
      <w:rPr>
        <w:rFonts w:ascii="Lucida Handwriting" w:eastAsia="Dancing Script" w:hAnsi="Lucida Handwriting" w:cs="Dancing Script"/>
        <w:color w:val="000000"/>
        <w:sz w:val="18"/>
        <w:szCs w:val="18"/>
      </w:rPr>
      <w:t xml:space="preserve">, Año del </w:t>
    </w:r>
    <w:proofErr w:type="spellStart"/>
    <w:r w:rsidRPr="007001E9">
      <w:rPr>
        <w:rFonts w:ascii="Lucida Handwriting" w:eastAsia="Dancing Script" w:hAnsi="Lucida Handwriting" w:cs="Dancing Script"/>
        <w:sz w:val="18"/>
        <w:szCs w:val="18"/>
      </w:rPr>
      <w:t>Bic</w:t>
    </w:r>
    <w:r w:rsidRPr="007001E9">
      <w:rPr>
        <w:rFonts w:ascii="Lucida Handwriting" w:eastAsia="Dancing Script" w:hAnsi="Lucida Handwriting" w:cs="Dancing Script"/>
        <w:color w:val="000000"/>
        <w:sz w:val="18"/>
        <w:szCs w:val="18"/>
      </w:rPr>
      <w:t>entenario</w:t>
    </w:r>
    <w:proofErr w:type="spellEnd"/>
    <w:r w:rsidRPr="007001E9">
      <w:rPr>
        <w:rFonts w:ascii="Lucida Handwriting" w:eastAsia="Dancing Script" w:hAnsi="Lucida Handwriting" w:cs="Dancing Script"/>
        <w:color w:val="000000"/>
        <w:sz w:val="18"/>
        <w:szCs w:val="18"/>
      </w:rPr>
      <w:t xml:space="preserve"> de </w:t>
    </w:r>
    <w:r>
      <w:rPr>
        <w:rFonts w:ascii="Lucida Handwriting" w:eastAsia="Dancing Script" w:hAnsi="Lucida Handwriting" w:cs="Dancing Script"/>
        <w:color w:val="000000"/>
        <w:sz w:val="18"/>
        <w:szCs w:val="18"/>
      </w:rPr>
      <w:t xml:space="preserve">la </w:t>
    </w:r>
    <w:proofErr w:type="spellStart"/>
    <w:r>
      <w:rPr>
        <w:rFonts w:ascii="Lucida Handwriting" w:eastAsia="Dancing Script" w:hAnsi="Lucida Handwriting" w:cs="Dancing Script"/>
        <w:color w:val="000000"/>
        <w:sz w:val="18"/>
        <w:szCs w:val="18"/>
      </w:rPr>
      <w:t>Abolición</w:t>
    </w:r>
    <w:proofErr w:type="spellEnd"/>
    <w:r>
      <w:rPr>
        <w:rFonts w:ascii="Lucida Handwriting" w:eastAsia="Dancing Script" w:hAnsi="Lucida Handwriting" w:cs="Dancing Script"/>
        <w:color w:val="000000"/>
        <w:sz w:val="18"/>
        <w:szCs w:val="18"/>
      </w:rPr>
      <w:t xml:space="preserve"> de la </w:t>
    </w:r>
    <w:proofErr w:type="spellStart"/>
    <w:r>
      <w:rPr>
        <w:rFonts w:ascii="Lucida Handwriting" w:eastAsia="Dancing Script" w:hAnsi="Lucida Handwriting" w:cs="Dancing Script"/>
        <w:color w:val="000000"/>
        <w:sz w:val="18"/>
        <w:szCs w:val="18"/>
      </w:rPr>
      <w:t>Esclavitud</w:t>
    </w:r>
    <w:proofErr w:type="spellEnd"/>
    <w:r w:rsidRPr="007001E9">
      <w:rPr>
        <w:rFonts w:ascii="Lucida Handwriting" w:eastAsia="Dancing Script" w:hAnsi="Lucida Handwriting" w:cs="Dancing Script"/>
        <w:sz w:val="18"/>
        <w:szCs w:val="18"/>
      </w:rPr>
      <w:t xml:space="preserve"> </w:t>
    </w:r>
    <w:r w:rsidRPr="007001E9">
      <w:rPr>
        <w:rFonts w:ascii="Lucida Handwriting" w:eastAsia="Dancing Script" w:hAnsi="Lucida Handwriting" w:cs="Dancing Script"/>
        <w:color w:val="000000"/>
        <w:sz w:val="18"/>
        <w:szCs w:val="18"/>
      </w:rPr>
      <w:t>Chihuahua”</w:t>
    </w:r>
  </w:p>
  <w:p w14:paraId="7EA8BBEF" w14:textId="77777777" w:rsidR="00B836D0" w:rsidRDefault="00B836D0">
    <w:pPr>
      <w:pStyle w:val="Encabezado"/>
      <w:tabs>
        <w:tab w:val="clear" w:pos="8838"/>
        <w:tab w:val="right" w:pos="8818"/>
      </w:tabs>
    </w:pPr>
  </w:p>
  <w:p w14:paraId="2A3EABCC" w14:textId="77777777" w:rsidR="00B836D0" w:rsidRDefault="007D140D">
    <w:pPr>
      <w:pStyle w:val="Encabezado"/>
      <w:tabs>
        <w:tab w:val="clear" w:pos="8838"/>
        <w:tab w:val="right" w:pos="8818"/>
      </w:tabs>
      <w:jc w:val="right"/>
    </w:pPr>
    <w:r>
      <w:rPr>
        <w:rStyle w:val="Ninguno"/>
        <w:noProof/>
      </w:rPr>
      <w:drawing>
        <wp:inline distT="0" distB="0" distL="0" distR="0" wp14:anchorId="050405FD" wp14:editId="06667C07">
          <wp:extent cx="478164" cy="478164"/>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478164" cy="478164"/>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5115C"/>
    <w:multiLevelType w:val="multilevel"/>
    <w:tmpl w:val="3062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057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6D0"/>
    <w:rsid w:val="00052DC4"/>
    <w:rsid w:val="00067105"/>
    <w:rsid w:val="000764A0"/>
    <w:rsid w:val="0017212E"/>
    <w:rsid w:val="001B53FB"/>
    <w:rsid w:val="0020036A"/>
    <w:rsid w:val="00311B98"/>
    <w:rsid w:val="0032095F"/>
    <w:rsid w:val="003243D4"/>
    <w:rsid w:val="00403679"/>
    <w:rsid w:val="00441950"/>
    <w:rsid w:val="004D12FE"/>
    <w:rsid w:val="00500D86"/>
    <w:rsid w:val="00512402"/>
    <w:rsid w:val="005A53F1"/>
    <w:rsid w:val="005E31D0"/>
    <w:rsid w:val="0066719A"/>
    <w:rsid w:val="00760A79"/>
    <w:rsid w:val="00764D14"/>
    <w:rsid w:val="007D140D"/>
    <w:rsid w:val="008912E8"/>
    <w:rsid w:val="00907A76"/>
    <w:rsid w:val="0095325B"/>
    <w:rsid w:val="00986C3E"/>
    <w:rsid w:val="009A0690"/>
    <w:rsid w:val="009B6E98"/>
    <w:rsid w:val="009F3DAC"/>
    <w:rsid w:val="00A85419"/>
    <w:rsid w:val="00AF1F60"/>
    <w:rsid w:val="00B836D0"/>
    <w:rsid w:val="00B901C9"/>
    <w:rsid w:val="00BC4BE3"/>
    <w:rsid w:val="00BF1580"/>
    <w:rsid w:val="00C334C5"/>
    <w:rsid w:val="00C43910"/>
    <w:rsid w:val="00CA76F1"/>
    <w:rsid w:val="00CD0C27"/>
    <w:rsid w:val="00D4790B"/>
    <w:rsid w:val="00DE3B64"/>
    <w:rsid w:val="00E82466"/>
    <w:rsid w:val="00E85C8F"/>
    <w:rsid w:val="00F03619"/>
    <w:rsid w:val="00F148F1"/>
    <w:rsid w:val="00F34F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97B5"/>
  <w15:docId w15:val="{0A8FCCDE-4527-4FEB-83D1-55918814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 w:type="character" w:customStyle="1" w:styleId="Ninguno">
    <w:name w:val="Ninguno"/>
    <w:rPr>
      <w:lang w:val="es-ES_tradnl"/>
    </w:rPr>
  </w:style>
  <w:style w:type="paragraph" w:styleId="Encabezado">
    <w:name w:val="header"/>
    <w:pPr>
      <w:tabs>
        <w:tab w:val="center" w:pos="4419"/>
        <w:tab w:val="right" w:pos="8838"/>
      </w:tabs>
    </w:pPr>
    <w:rPr>
      <w:rFonts w:ascii="Calibri" w:eastAsia="Calibri" w:hAnsi="Calibri" w:cs="Calibri"/>
      <w:color w:val="000000"/>
      <w:sz w:val="22"/>
      <w:szCs w:val="22"/>
      <w:u w:color="000000"/>
      <w:lang w:val="es-ES_tradnl"/>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iedepgina">
    <w:name w:val="footer"/>
    <w:basedOn w:val="Normal"/>
    <w:link w:val="PiedepginaCar"/>
    <w:uiPriority w:val="99"/>
    <w:unhideWhenUsed/>
    <w:rsid w:val="00C43910"/>
    <w:pPr>
      <w:tabs>
        <w:tab w:val="center" w:pos="4419"/>
        <w:tab w:val="right" w:pos="8838"/>
      </w:tabs>
    </w:pPr>
  </w:style>
  <w:style w:type="character" w:customStyle="1" w:styleId="PiedepginaCar">
    <w:name w:val="Pie de página Car"/>
    <w:basedOn w:val="Fuentedeprrafopredeter"/>
    <w:link w:val="Piedepgina"/>
    <w:uiPriority w:val="99"/>
    <w:rsid w:val="00C43910"/>
    <w:rPr>
      <w:sz w:val="24"/>
      <w:szCs w:val="24"/>
      <w:lang w:val="en-US" w:eastAsia="en-US"/>
    </w:rPr>
  </w:style>
  <w:style w:type="paragraph" w:styleId="NormalWeb">
    <w:name w:val="Normal (Web)"/>
    <w:basedOn w:val="Normal"/>
    <w:uiPriority w:val="99"/>
    <w:unhideWhenUsed/>
    <w:rsid w:val="00F34F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character" w:styleId="Textoennegrita">
    <w:name w:val="Strong"/>
    <w:basedOn w:val="Fuentedeprrafopredeter"/>
    <w:uiPriority w:val="22"/>
    <w:qFormat/>
    <w:rsid w:val="00F34FAF"/>
    <w:rPr>
      <w:b/>
      <w:bCs/>
    </w:rPr>
  </w:style>
  <w:style w:type="paragraph" w:customStyle="1" w:styleId="z1qcye">
    <w:name w:val="z1qcye"/>
    <w:basedOn w:val="Normal"/>
    <w:rsid w:val="00E85C8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MX" w:eastAsia="es-MX"/>
    </w:rPr>
  </w:style>
  <w:style w:type="character" w:customStyle="1" w:styleId="t286pc">
    <w:name w:val="t286pc"/>
    <w:basedOn w:val="Fuentedeprrafopredeter"/>
    <w:rsid w:val="00E85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465684">
      <w:bodyDiv w:val="1"/>
      <w:marLeft w:val="0"/>
      <w:marRight w:val="0"/>
      <w:marTop w:val="0"/>
      <w:marBottom w:val="0"/>
      <w:divBdr>
        <w:top w:val="none" w:sz="0" w:space="0" w:color="auto"/>
        <w:left w:val="none" w:sz="0" w:space="0" w:color="auto"/>
        <w:bottom w:val="none" w:sz="0" w:space="0" w:color="auto"/>
        <w:right w:val="none" w:sz="0" w:space="0" w:color="auto"/>
      </w:divBdr>
    </w:div>
    <w:div w:id="937250746">
      <w:bodyDiv w:val="1"/>
      <w:marLeft w:val="0"/>
      <w:marRight w:val="0"/>
      <w:marTop w:val="0"/>
      <w:marBottom w:val="0"/>
      <w:divBdr>
        <w:top w:val="none" w:sz="0" w:space="0" w:color="auto"/>
        <w:left w:val="none" w:sz="0" w:space="0" w:color="auto"/>
        <w:bottom w:val="none" w:sz="0" w:space="0" w:color="auto"/>
        <w:right w:val="none" w:sz="0" w:space="0" w:color="auto"/>
      </w:divBdr>
      <w:divsChild>
        <w:div w:id="965936670">
          <w:marLeft w:val="0"/>
          <w:marRight w:val="0"/>
          <w:marTop w:val="180"/>
          <w:marBottom w:val="240"/>
          <w:divBdr>
            <w:top w:val="none" w:sz="0" w:space="0" w:color="auto"/>
            <w:left w:val="none" w:sz="0" w:space="0" w:color="auto"/>
            <w:bottom w:val="none" w:sz="0" w:space="0" w:color="auto"/>
            <w:right w:val="none" w:sz="0" w:space="0" w:color="auto"/>
          </w:divBdr>
        </w:div>
        <w:div w:id="2141068595">
          <w:marLeft w:val="0"/>
          <w:marRight w:val="0"/>
          <w:marTop w:val="0"/>
          <w:marBottom w:val="0"/>
          <w:divBdr>
            <w:top w:val="none" w:sz="0" w:space="0" w:color="auto"/>
            <w:left w:val="none" w:sz="0" w:space="0" w:color="auto"/>
            <w:bottom w:val="none" w:sz="0" w:space="0" w:color="auto"/>
            <w:right w:val="none" w:sz="0" w:space="0" w:color="auto"/>
          </w:divBdr>
        </w:div>
      </w:divsChild>
    </w:div>
    <w:div w:id="1189754947">
      <w:bodyDiv w:val="1"/>
      <w:marLeft w:val="0"/>
      <w:marRight w:val="0"/>
      <w:marTop w:val="0"/>
      <w:marBottom w:val="0"/>
      <w:divBdr>
        <w:top w:val="none" w:sz="0" w:space="0" w:color="auto"/>
        <w:left w:val="none" w:sz="0" w:space="0" w:color="auto"/>
        <w:bottom w:val="none" w:sz="0" w:space="0" w:color="auto"/>
        <w:right w:val="none" w:sz="0" w:space="0" w:color="auto"/>
      </w:divBdr>
    </w:div>
    <w:div w:id="1392850401">
      <w:bodyDiv w:val="1"/>
      <w:marLeft w:val="0"/>
      <w:marRight w:val="0"/>
      <w:marTop w:val="0"/>
      <w:marBottom w:val="0"/>
      <w:divBdr>
        <w:top w:val="none" w:sz="0" w:space="0" w:color="auto"/>
        <w:left w:val="none" w:sz="0" w:space="0" w:color="auto"/>
        <w:bottom w:val="none" w:sz="0" w:space="0" w:color="auto"/>
        <w:right w:val="none" w:sz="0" w:space="0" w:color="auto"/>
      </w:divBdr>
    </w:div>
    <w:div w:id="2046711932">
      <w:bodyDiv w:val="1"/>
      <w:marLeft w:val="0"/>
      <w:marRight w:val="0"/>
      <w:marTop w:val="0"/>
      <w:marBottom w:val="0"/>
      <w:divBdr>
        <w:top w:val="none" w:sz="0" w:space="0" w:color="auto"/>
        <w:left w:val="none" w:sz="0" w:space="0" w:color="auto"/>
        <w:bottom w:val="none" w:sz="0" w:space="0" w:color="auto"/>
        <w:right w:val="none" w:sz="0" w:space="0" w:color="auto"/>
      </w:divBdr>
    </w:div>
    <w:div w:id="2112702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1137</Words>
  <Characters>6259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Lorena González García</dc:creator>
  <cp:lastModifiedBy>Ana Araujo</cp:lastModifiedBy>
  <cp:revision>2</cp:revision>
  <cp:lastPrinted>2026-08-27T20:23:00Z</cp:lastPrinted>
  <dcterms:created xsi:type="dcterms:W3CDTF">2026-08-28T17:04:00Z</dcterms:created>
  <dcterms:modified xsi:type="dcterms:W3CDTF">2026-08-28T17:04:00Z</dcterms:modified>
</cp:coreProperties>
</file>