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FB78A" w14:textId="77777777" w:rsidR="003B2801" w:rsidRDefault="003B2801">
      <w:pPr>
        <w:pStyle w:val="BodyA"/>
        <w:spacing w:line="360" w:lineRule="auto"/>
        <w:jc w:val="both"/>
        <w:rPr>
          <w:rFonts w:ascii="Arial" w:eastAsia="Arial" w:hAnsi="Arial" w:cs="Arial"/>
          <w:b/>
          <w:bCs/>
          <w:sz w:val="36"/>
          <w:szCs w:val="36"/>
        </w:rPr>
      </w:pPr>
    </w:p>
    <w:p w14:paraId="4CE48C78" w14:textId="77777777" w:rsidR="005465F4" w:rsidRDefault="00FE2823">
      <w:pPr>
        <w:pStyle w:val="BodyA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HONORABLE </w:t>
      </w:r>
      <w:r w:rsidR="005465F4">
        <w:rPr>
          <w:rFonts w:ascii="Century Gothic" w:hAnsi="Century Gothic"/>
          <w:b/>
          <w:bCs/>
        </w:rPr>
        <w:t xml:space="preserve">DIPUTACIÓN PERMANENTE DEL </w:t>
      </w:r>
    </w:p>
    <w:p w14:paraId="7621079D" w14:textId="7237BCDE" w:rsidR="003B2801" w:rsidRDefault="00FE2823">
      <w:pPr>
        <w:pStyle w:val="BodyA"/>
        <w:jc w:val="both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hAnsi="Century Gothic"/>
          <w:b/>
          <w:bCs/>
        </w:rPr>
        <w:t xml:space="preserve">CONGRESO DEL ESTADO DE CHIHUAHUA </w:t>
      </w:r>
    </w:p>
    <w:p w14:paraId="6C2E141C" w14:textId="77777777" w:rsidR="003B2801" w:rsidRDefault="00FE2823">
      <w:pPr>
        <w:pStyle w:val="BodyA"/>
        <w:jc w:val="both"/>
        <w:rPr>
          <w:rFonts w:ascii="Century Gothic" w:eastAsia="Century Gothic" w:hAnsi="Century Gothic" w:cs="Century Gothic"/>
          <w:b/>
          <w:bCs/>
          <w:lang w:val="it-IT"/>
        </w:rPr>
      </w:pPr>
      <w:r>
        <w:rPr>
          <w:rFonts w:ascii="Century Gothic" w:hAnsi="Century Gothic"/>
          <w:b/>
          <w:bCs/>
          <w:lang w:val="it-IT"/>
        </w:rPr>
        <w:t xml:space="preserve">P R E S E N T E. </w:t>
      </w:r>
    </w:p>
    <w:p w14:paraId="3EC65C99" w14:textId="77777777" w:rsidR="003B2801" w:rsidRDefault="003B2801">
      <w:pPr>
        <w:pStyle w:val="BodyA"/>
        <w:spacing w:line="360" w:lineRule="auto"/>
        <w:jc w:val="both"/>
        <w:rPr>
          <w:rFonts w:ascii="Century Gothic" w:eastAsia="Century Gothic" w:hAnsi="Century Gothic" w:cs="Century Gothic"/>
          <w:b/>
          <w:bCs/>
        </w:rPr>
      </w:pPr>
    </w:p>
    <w:p w14:paraId="0DD6C4A1" w14:textId="55ECA9DA" w:rsidR="000516EE" w:rsidRPr="00AA48F8" w:rsidRDefault="00FE2823">
      <w:pPr>
        <w:pStyle w:val="NormalWeb"/>
        <w:shd w:val="clear" w:color="auto" w:fill="FFFFFF"/>
        <w:spacing w:before="0" w:after="120" w:line="360" w:lineRule="auto"/>
        <w:jc w:val="both"/>
        <w:rPr>
          <w:rFonts w:ascii="Century Gothic" w:hAnsi="Century Gothic"/>
          <w:lang w:val="en-US"/>
        </w:rPr>
      </w:pPr>
      <w:r>
        <w:rPr>
          <w:rFonts w:ascii="Century Gothic" w:hAnsi="Century Gothic"/>
        </w:rPr>
        <w:t xml:space="preserve">El suscrito, </w:t>
      </w:r>
      <w:r>
        <w:rPr>
          <w:rFonts w:ascii="Century Gothic" w:hAnsi="Century Gothic"/>
          <w:b/>
          <w:bCs/>
          <w:lang w:val="en-US"/>
        </w:rPr>
        <w:t>ISMAEL PÉREZ PAVÍA</w:t>
      </w:r>
      <w:r>
        <w:rPr>
          <w:rFonts w:ascii="Century Gothic" w:hAnsi="Century Gothic"/>
          <w:lang w:val="en-US"/>
        </w:rPr>
        <w:t xml:space="preserve">, </w:t>
      </w:r>
      <w:proofErr w:type="spellStart"/>
      <w:r>
        <w:rPr>
          <w:rFonts w:ascii="Century Gothic" w:hAnsi="Century Gothic"/>
          <w:lang w:val="en-US"/>
        </w:rPr>
        <w:t>en</w:t>
      </w:r>
      <w:proofErr w:type="spellEnd"/>
      <w:r>
        <w:rPr>
          <w:rFonts w:ascii="Century Gothic" w:hAnsi="Century Gothic"/>
          <w:lang w:val="en-US"/>
        </w:rPr>
        <w:t xml:space="preserve"> mi </w:t>
      </w:r>
      <w:proofErr w:type="spellStart"/>
      <w:r>
        <w:rPr>
          <w:rFonts w:ascii="Century Gothic" w:hAnsi="Century Gothic"/>
          <w:lang w:val="en-US"/>
        </w:rPr>
        <w:t>carácter</w:t>
      </w:r>
      <w:proofErr w:type="spellEnd"/>
      <w:r>
        <w:rPr>
          <w:rFonts w:ascii="Century Gothic" w:hAnsi="Century Gothic"/>
          <w:lang w:val="en-US"/>
        </w:rPr>
        <w:t xml:space="preserve"> de </w:t>
      </w:r>
      <w:proofErr w:type="spellStart"/>
      <w:r>
        <w:rPr>
          <w:rFonts w:ascii="Century Gothic" w:hAnsi="Century Gothic"/>
          <w:lang w:val="en-US"/>
        </w:rPr>
        <w:t>diputado</w:t>
      </w:r>
      <w:proofErr w:type="spellEnd"/>
      <w:r>
        <w:rPr>
          <w:rFonts w:ascii="Century Gothic" w:hAnsi="Century Gothic"/>
          <w:lang w:val="en-US"/>
        </w:rPr>
        <w:t xml:space="preserve"> de la </w:t>
      </w:r>
      <w:proofErr w:type="spellStart"/>
      <w:r>
        <w:rPr>
          <w:rFonts w:ascii="Century Gothic" w:hAnsi="Century Gothic"/>
          <w:lang w:val="en-US"/>
        </w:rPr>
        <w:t>Sexagésima</w:t>
      </w:r>
      <w:proofErr w:type="spellEnd"/>
      <w:r>
        <w:rPr>
          <w:rFonts w:ascii="Century Gothic" w:hAnsi="Century Gothic"/>
          <w:lang w:val="en-US"/>
        </w:rPr>
        <w:t xml:space="preserve"> </w:t>
      </w:r>
      <w:proofErr w:type="spellStart"/>
      <w:r>
        <w:rPr>
          <w:rFonts w:ascii="Century Gothic" w:hAnsi="Century Gothic"/>
          <w:lang w:val="en-US"/>
        </w:rPr>
        <w:t>Octava</w:t>
      </w:r>
      <w:proofErr w:type="spellEnd"/>
      <w:r>
        <w:rPr>
          <w:rFonts w:ascii="Century Gothic" w:hAnsi="Century Gothic"/>
          <w:lang w:val="en-US"/>
        </w:rPr>
        <w:t xml:space="preserve"> </w:t>
      </w:r>
      <w:proofErr w:type="spellStart"/>
      <w:r>
        <w:rPr>
          <w:rFonts w:ascii="Century Gothic" w:hAnsi="Century Gothic"/>
          <w:lang w:val="en-US"/>
        </w:rPr>
        <w:t>Legislatura</w:t>
      </w:r>
      <w:proofErr w:type="spellEnd"/>
      <w:r>
        <w:rPr>
          <w:rFonts w:ascii="Century Gothic" w:hAnsi="Century Gothic"/>
          <w:lang w:val="en-US"/>
        </w:rPr>
        <w:t xml:space="preserve"> del Honorable </w:t>
      </w:r>
      <w:proofErr w:type="spellStart"/>
      <w:r>
        <w:rPr>
          <w:rFonts w:ascii="Century Gothic" w:hAnsi="Century Gothic"/>
          <w:lang w:val="en-US"/>
        </w:rPr>
        <w:t>Congreso</w:t>
      </w:r>
      <w:proofErr w:type="spellEnd"/>
      <w:r>
        <w:rPr>
          <w:rFonts w:ascii="Century Gothic" w:hAnsi="Century Gothic"/>
          <w:lang w:val="en-US"/>
        </w:rPr>
        <w:t xml:space="preserve"> del Estado, </w:t>
      </w:r>
      <w:proofErr w:type="spellStart"/>
      <w:r>
        <w:rPr>
          <w:rFonts w:ascii="Century Gothic" w:hAnsi="Century Gothic"/>
          <w:lang w:val="en-US"/>
        </w:rPr>
        <w:t>integrante</w:t>
      </w:r>
      <w:proofErr w:type="spellEnd"/>
      <w:r>
        <w:rPr>
          <w:rFonts w:ascii="Century Gothic" w:hAnsi="Century Gothic"/>
          <w:lang w:val="en-US"/>
        </w:rPr>
        <w:t xml:space="preserve"> del Grupo </w:t>
      </w:r>
      <w:proofErr w:type="spellStart"/>
      <w:r>
        <w:rPr>
          <w:rFonts w:ascii="Century Gothic" w:hAnsi="Century Gothic"/>
          <w:lang w:val="en-US"/>
        </w:rPr>
        <w:t>Parlamentario</w:t>
      </w:r>
      <w:proofErr w:type="spellEnd"/>
      <w:r>
        <w:rPr>
          <w:rFonts w:ascii="Century Gothic" w:hAnsi="Century Gothic"/>
          <w:lang w:val="en-US"/>
        </w:rPr>
        <w:t xml:space="preserve"> del Partido </w:t>
      </w:r>
      <w:proofErr w:type="spellStart"/>
      <w:r>
        <w:rPr>
          <w:rFonts w:ascii="Century Gothic" w:hAnsi="Century Gothic"/>
          <w:lang w:val="en-US"/>
        </w:rPr>
        <w:t>Acción</w:t>
      </w:r>
      <w:proofErr w:type="spellEnd"/>
      <w:r>
        <w:rPr>
          <w:rFonts w:ascii="Century Gothic" w:hAnsi="Century Gothic"/>
          <w:lang w:val="en-US"/>
        </w:rPr>
        <w:t xml:space="preserve"> Nacional y </w:t>
      </w:r>
      <w:proofErr w:type="spellStart"/>
      <w:r>
        <w:rPr>
          <w:rFonts w:ascii="Century Gothic" w:hAnsi="Century Gothic"/>
          <w:lang w:val="en-US"/>
        </w:rPr>
        <w:t>en</w:t>
      </w:r>
      <w:proofErr w:type="spellEnd"/>
      <w:r>
        <w:rPr>
          <w:rFonts w:ascii="Century Gothic" w:hAnsi="Century Gothic"/>
          <w:lang w:val="en-US"/>
        </w:rPr>
        <w:t xml:space="preserve"> </w:t>
      </w:r>
      <w:proofErr w:type="spellStart"/>
      <w:r>
        <w:rPr>
          <w:rFonts w:ascii="Century Gothic" w:hAnsi="Century Gothic"/>
          <w:lang w:val="en-US"/>
        </w:rPr>
        <w:t>su</w:t>
      </w:r>
      <w:proofErr w:type="spellEnd"/>
      <w:r>
        <w:rPr>
          <w:rFonts w:ascii="Century Gothic" w:hAnsi="Century Gothic"/>
          <w:lang w:val="en-US"/>
        </w:rPr>
        <w:t xml:space="preserve"> </w:t>
      </w:r>
      <w:proofErr w:type="spellStart"/>
      <w:r>
        <w:rPr>
          <w:rFonts w:ascii="Century Gothic" w:hAnsi="Century Gothic"/>
          <w:lang w:val="en-US"/>
        </w:rPr>
        <w:t>representación</w:t>
      </w:r>
      <w:proofErr w:type="spellEnd"/>
      <w:r>
        <w:rPr>
          <w:rFonts w:ascii="Century Gothic" w:hAnsi="Century Gothic"/>
          <w:lang w:val="en-US"/>
        </w:rPr>
        <w:t xml:space="preserve">, con </w:t>
      </w:r>
      <w:proofErr w:type="spellStart"/>
      <w:r>
        <w:rPr>
          <w:rFonts w:ascii="Century Gothic" w:hAnsi="Century Gothic"/>
          <w:lang w:val="en-US"/>
        </w:rPr>
        <w:t>fundamento</w:t>
      </w:r>
      <w:proofErr w:type="spellEnd"/>
      <w:r>
        <w:rPr>
          <w:rFonts w:ascii="Century Gothic" w:hAnsi="Century Gothic"/>
          <w:lang w:val="en-US"/>
        </w:rPr>
        <w:t xml:space="preserve"> </w:t>
      </w:r>
      <w:proofErr w:type="spellStart"/>
      <w:r>
        <w:rPr>
          <w:rFonts w:ascii="Century Gothic" w:hAnsi="Century Gothic"/>
          <w:lang w:val="en-US"/>
        </w:rPr>
        <w:t>en</w:t>
      </w:r>
      <w:proofErr w:type="spellEnd"/>
      <w:r>
        <w:rPr>
          <w:rFonts w:ascii="Century Gothic" w:hAnsi="Century Gothic"/>
          <w:lang w:val="en-US"/>
        </w:rPr>
        <w:t xml:space="preserve"> lo </w:t>
      </w:r>
      <w:proofErr w:type="spellStart"/>
      <w:r>
        <w:rPr>
          <w:rFonts w:ascii="Century Gothic" w:hAnsi="Century Gothic"/>
          <w:lang w:val="en-US"/>
        </w:rPr>
        <w:t>dispuesto</w:t>
      </w:r>
      <w:proofErr w:type="spellEnd"/>
      <w:r>
        <w:rPr>
          <w:rFonts w:ascii="Century Gothic" w:hAnsi="Century Gothic"/>
          <w:lang w:val="en-US"/>
        </w:rPr>
        <w:t xml:space="preserve"> por las </w:t>
      </w:r>
      <w:proofErr w:type="spellStart"/>
      <w:r>
        <w:rPr>
          <w:rFonts w:ascii="Century Gothic" w:hAnsi="Century Gothic"/>
          <w:lang w:val="en-US"/>
        </w:rPr>
        <w:t>fracciones</w:t>
      </w:r>
      <w:proofErr w:type="spellEnd"/>
      <w:r>
        <w:rPr>
          <w:rFonts w:ascii="Century Gothic" w:hAnsi="Century Gothic"/>
          <w:lang w:val="en-US"/>
        </w:rPr>
        <w:t xml:space="preserve"> I y II del </w:t>
      </w:r>
      <w:proofErr w:type="spellStart"/>
      <w:r>
        <w:rPr>
          <w:rFonts w:ascii="Century Gothic" w:hAnsi="Century Gothic"/>
          <w:lang w:val="en-US"/>
        </w:rPr>
        <w:t>artículo</w:t>
      </w:r>
      <w:proofErr w:type="spellEnd"/>
      <w:r>
        <w:rPr>
          <w:rFonts w:ascii="Century Gothic" w:hAnsi="Century Gothic"/>
          <w:lang w:val="en-US"/>
        </w:rPr>
        <w:t xml:space="preserve"> 64, </w:t>
      </w:r>
      <w:proofErr w:type="spellStart"/>
      <w:r>
        <w:rPr>
          <w:rFonts w:ascii="Century Gothic" w:hAnsi="Century Gothic"/>
          <w:lang w:val="en-US"/>
        </w:rPr>
        <w:t>fracción</w:t>
      </w:r>
      <w:proofErr w:type="spellEnd"/>
      <w:r>
        <w:rPr>
          <w:rFonts w:ascii="Century Gothic" w:hAnsi="Century Gothic"/>
          <w:lang w:val="en-US"/>
        </w:rPr>
        <w:t xml:space="preserve"> I del </w:t>
      </w:r>
      <w:proofErr w:type="spellStart"/>
      <w:r>
        <w:rPr>
          <w:rFonts w:ascii="Century Gothic" w:hAnsi="Century Gothic"/>
          <w:lang w:val="en-US"/>
        </w:rPr>
        <w:t>artículo</w:t>
      </w:r>
      <w:proofErr w:type="spellEnd"/>
      <w:r>
        <w:rPr>
          <w:rFonts w:ascii="Century Gothic" w:hAnsi="Century Gothic"/>
          <w:lang w:val="en-US"/>
        </w:rPr>
        <w:t xml:space="preserve"> 68 de la Constitución Política del </w:t>
      </w:r>
      <w:r>
        <w:rPr>
          <w:rFonts w:ascii="Century Gothic" w:hAnsi="Century Gothic"/>
          <w:lang w:val="en-US"/>
        </w:rPr>
        <w:t xml:space="preserve">Estado de Chihuahua, </w:t>
      </w:r>
      <w:proofErr w:type="spellStart"/>
      <w:r>
        <w:rPr>
          <w:rFonts w:ascii="Century Gothic" w:hAnsi="Century Gothic"/>
          <w:lang w:val="en-US"/>
        </w:rPr>
        <w:t>así</w:t>
      </w:r>
      <w:proofErr w:type="spellEnd"/>
      <w:r>
        <w:rPr>
          <w:rFonts w:ascii="Century Gothic" w:hAnsi="Century Gothic"/>
          <w:lang w:val="en-US"/>
        </w:rPr>
        <w:t xml:space="preserve"> </w:t>
      </w:r>
      <w:proofErr w:type="spellStart"/>
      <w:r>
        <w:rPr>
          <w:rFonts w:ascii="Century Gothic" w:hAnsi="Century Gothic"/>
          <w:lang w:val="en-US"/>
        </w:rPr>
        <w:t>como</w:t>
      </w:r>
      <w:proofErr w:type="spellEnd"/>
      <w:r>
        <w:rPr>
          <w:rFonts w:ascii="Century Gothic" w:hAnsi="Century Gothic"/>
          <w:lang w:val="en-US"/>
        </w:rPr>
        <w:t xml:space="preserve"> </w:t>
      </w:r>
      <w:proofErr w:type="spellStart"/>
      <w:r>
        <w:rPr>
          <w:rFonts w:ascii="Century Gothic" w:hAnsi="Century Gothic"/>
          <w:lang w:val="en-US"/>
        </w:rPr>
        <w:t>en</w:t>
      </w:r>
      <w:proofErr w:type="spellEnd"/>
      <w:r>
        <w:rPr>
          <w:rFonts w:ascii="Century Gothic" w:hAnsi="Century Gothic"/>
          <w:lang w:val="en-US"/>
        </w:rPr>
        <w:t xml:space="preserve"> la </w:t>
      </w:r>
      <w:proofErr w:type="spellStart"/>
      <w:r>
        <w:rPr>
          <w:rFonts w:ascii="Century Gothic" w:hAnsi="Century Gothic"/>
          <w:lang w:val="en-US"/>
        </w:rPr>
        <w:t>fracción</w:t>
      </w:r>
      <w:proofErr w:type="spellEnd"/>
      <w:r>
        <w:rPr>
          <w:rFonts w:ascii="Century Gothic" w:hAnsi="Century Gothic"/>
          <w:lang w:val="en-US"/>
        </w:rPr>
        <w:t xml:space="preserve"> I del </w:t>
      </w:r>
      <w:proofErr w:type="spellStart"/>
      <w:r>
        <w:rPr>
          <w:rFonts w:ascii="Century Gothic" w:hAnsi="Century Gothic"/>
          <w:lang w:val="en-US"/>
        </w:rPr>
        <w:t>artículo</w:t>
      </w:r>
      <w:proofErr w:type="spellEnd"/>
      <w:r>
        <w:rPr>
          <w:rFonts w:ascii="Century Gothic" w:hAnsi="Century Gothic"/>
          <w:lang w:val="en-US"/>
        </w:rPr>
        <w:t xml:space="preserve"> 167 de la Ley </w:t>
      </w:r>
      <w:proofErr w:type="spellStart"/>
      <w:r>
        <w:rPr>
          <w:rFonts w:ascii="Century Gothic" w:hAnsi="Century Gothic"/>
          <w:lang w:val="en-US"/>
        </w:rPr>
        <w:t>Orgánica</w:t>
      </w:r>
      <w:proofErr w:type="spellEnd"/>
      <w:r>
        <w:rPr>
          <w:rFonts w:ascii="Century Gothic" w:hAnsi="Century Gothic"/>
          <w:lang w:val="en-US"/>
        </w:rPr>
        <w:t xml:space="preserve"> del </w:t>
      </w:r>
      <w:proofErr w:type="spellStart"/>
      <w:r>
        <w:rPr>
          <w:rFonts w:ascii="Century Gothic" w:hAnsi="Century Gothic"/>
          <w:lang w:val="en-US"/>
        </w:rPr>
        <w:t>Poder</w:t>
      </w:r>
      <w:proofErr w:type="spellEnd"/>
      <w:r>
        <w:rPr>
          <w:rFonts w:ascii="Century Gothic" w:hAnsi="Century Gothic"/>
          <w:lang w:val="en-US"/>
        </w:rPr>
        <w:t xml:space="preserve"> </w:t>
      </w:r>
      <w:proofErr w:type="spellStart"/>
      <w:r>
        <w:rPr>
          <w:rFonts w:ascii="Century Gothic" w:hAnsi="Century Gothic"/>
          <w:lang w:val="en-US"/>
        </w:rPr>
        <w:t>Legislativo</w:t>
      </w:r>
      <w:proofErr w:type="spellEnd"/>
      <w:r>
        <w:rPr>
          <w:rFonts w:ascii="Century Gothic" w:hAnsi="Century Gothic"/>
          <w:lang w:val="en-US"/>
        </w:rPr>
        <w:t xml:space="preserve">, y </w:t>
      </w:r>
      <w:proofErr w:type="spellStart"/>
      <w:r>
        <w:rPr>
          <w:rFonts w:ascii="Century Gothic" w:hAnsi="Century Gothic"/>
          <w:lang w:val="en-US"/>
        </w:rPr>
        <w:t>el</w:t>
      </w:r>
      <w:proofErr w:type="spellEnd"/>
      <w:r>
        <w:rPr>
          <w:rFonts w:ascii="Century Gothic" w:hAnsi="Century Gothic"/>
          <w:lang w:val="en-US"/>
        </w:rPr>
        <w:t xml:space="preserve"> </w:t>
      </w:r>
      <w:proofErr w:type="spellStart"/>
      <w:r>
        <w:rPr>
          <w:rFonts w:ascii="Century Gothic" w:hAnsi="Century Gothic"/>
          <w:lang w:val="en-US"/>
        </w:rPr>
        <w:t>artículo</w:t>
      </w:r>
      <w:proofErr w:type="spellEnd"/>
      <w:r>
        <w:rPr>
          <w:rFonts w:ascii="Century Gothic" w:hAnsi="Century Gothic"/>
          <w:lang w:val="en-US"/>
        </w:rPr>
        <w:t xml:space="preserve"> 77 del </w:t>
      </w:r>
      <w:proofErr w:type="spellStart"/>
      <w:r>
        <w:rPr>
          <w:rFonts w:ascii="Century Gothic" w:hAnsi="Century Gothic"/>
          <w:lang w:val="en-US"/>
        </w:rPr>
        <w:t>Reglamento</w:t>
      </w:r>
      <w:proofErr w:type="spellEnd"/>
      <w:r>
        <w:rPr>
          <w:rFonts w:ascii="Century Gothic" w:hAnsi="Century Gothic"/>
          <w:lang w:val="en-US"/>
        </w:rPr>
        <w:t xml:space="preserve"> Interior y de </w:t>
      </w:r>
      <w:proofErr w:type="spellStart"/>
      <w:r>
        <w:rPr>
          <w:rFonts w:ascii="Century Gothic" w:hAnsi="Century Gothic"/>
          <w:lang w:val="en-US"/>
        </w:rPr>
        <w:t>Prácticas</w:t>
      </w:r>
      <w:proofErr w:type="spellEnd"/>
      <w:r>
        <w:rPr>
          <w:rFonts w:ascii="Century Gothic" w:hAnsi="Century Gothic"/>
          <w:lang w:val="en-US"/>
        </w:rPr>
        <w:t xml:space="preserve"> </w:t>
      </w:r>
      <w:proofErr w:type="spellStart"/>
      <w:r>
        <w:rPr>
          <w:rFonts w:ascii="Century Gothic" w:hAnsi="Century Gothic"/>
          <w:lang w:val="en-US"/>
        </w:rPr>
        <w:t>Parlamentarias</w:t>
      </w:r>
      <w:proofErr w:type="spellEnd"/>
      <w:r>
        <w:rPr>
          <w:rFonts w:ascii="Century Gothic" w:hAnsi="Century Gothic"/>
          <w:lang w:val="en-US"/>
        </w:rPr>
        <w:t xml:space="preserve"> del </w:t>
      </w:r>
      <w:proofErr w:type="spellStart"/>
      <w:r>
        <w:rPr>
          <w:rFonts w:ascii="Century Gothic" w:hAnsi="Century Gothic"/>
          <w:lang w:val="en-US"/>
        </w:rPr>
        <w:t>Poder</w:t>
      </w:r>
      <w:proofErr w:type="spellEnd"/>
      <w:r>
        <w:rPr>
          <w:rFonts w:ascii="Century Gothic" w:hAnsi="Century Gothic"/>
          <w:lang w:val="en-US"/>
        </w:rPr>
        <w:t xml:space="preserve"> </w:t>
      </w:r>
      <w:proofErr w:type="spellStart"/>
      <w:r>
        <w:rPr>
          <w:rFonts w:ascii="Century Gothic" w:hAnsi="Century Gothic"/>
          <w:lang w:val="en-US"/>
        </w:rPr>
        <w:t>Legislativo</w:t>
      </w:r>
      <w:proofErr w:type="spellEnd"/>
      <w:r>
        <w:rPr>
          <w:rFonts w:ascii="Century Gothic" w:hAnsi="Century Gothic"/>
          <w:lang w:val="en-US"/>
        </w:rPr>
        <w:t xml:space="preserve">, </w:t>
      </w:r>
      <w:proofErr w:type="spellStart"/>
      <w:r w:rsidR="00AA48F8" w:rsidRPr="00AA48F8">
        <w:rPr>
          <w:rFonts w:ascii="Century Gothic" w:hAnsi="Century Gothic"/>
          <w:lang w:val="en-US"/>
        </w:rPr>
        <w:t>somete</w:t>
      </w:r>
      <w:proofErr w:type="spellEnd"/>
      <w:r w:rsidR="00AA48F8" w:rsidRPr="00AA48F8">
        <w:rPr>
          <w:rFonts w:ascii="Century Gothic" w:hAnsi="Century Gothic"/>
          <w:lang w:val="en-US"/>
        </w:rPr>
        <w:t xml:space="preserve"> a la </w:t>
      </w:r>
      <w:proofErr w:type="spellStart"/>
      <w:r w:rsidR="00AA48F8" w:rsidRPr="00AA48F8">
        <w:rPr>
          <w:rFonts w:ascii="Century Gothic" w:hAnsi="Century Gothic"/>
          <w:lang w:val="en-US"/>
        </w:rPr>
        <w:t>consideración</w:t>
      </w:r>
      <w:proofErr w:type="spellEnd"/>
      <w:r w:rsidR="00AA48F8" w:rsidRPr="00AA48F8">
        <w:rPr>
          <w:rFonts w:ascii="Century Gothic" w:hAnsi="Century Gothic"/>
          <w:lang w:val="en-US"/>
        </w:rPr>
        <w:t xml:space="preserve"> de </w:t>
      </w:r>
      <w:proofErr w:type="spellStart"/>
      <w:r w:rsidR="00AA48F8" w:rsidRPr="00AA48F8">
        <w:rPr>
          <w:rFonts w:ascii="Century Gothic" w:hAnsi="Century Gothic"/>
          <w:lang w:val="en-US"/>
        </w:rPr>
        <w:t>esta</w:t>
      </w:r>
      <w:proofErr w:type="spellEnd"/>
      <w:r w:rsidR="00AA48F8" w:rsidRPr="00AA48F8">
        <w:rPr>
          <w:rFonts w:ascii="Century Gothic" w:hAnsi="Century Gothic"/>
          <w:lang w:val="en-US"/>
        </w:rPr>
        <w:t xml:space="preserve"> </w:t>
      </w:r>
      <w:proofErr w:type="spellStart"/>
      <w:r w:rsidR="005465F4">
        <w:rPr>
          <w:rFonts w:ascii="Century Gothic" w:hAnsi="Century Gothic"/>
          <w:lang w:val="en-US"/>
        </w:rPr>
        <w:t>Diputación</w:t>
      </w:r>
      <w:proofErr w:type="spellEnd"/>
      <w:r w:rsidR="005465F4">
        <w:rPr>
          <w:rFonts w:ascii="Century Gothic" w:hAnsi="Century Gothic"/>
          <w:lang w:val="en-US"/>
        </w:rPr>
        <w:t xml:space="preserve"> Permanente</w:t>
      </w:r>
      <w:r w:rsidR="00AA48F8" w:rsidRPr="00AA48F8">
        <w:rPr>
          <w:rFonts w:ascii="Century Gothic" w:hAnsi="Century Gothic"/>
          <w:lang w:val="en-US"/>
        </w:rPr>
        <w:t xml:space="preserve"> la </w:t>
      </w:r>
      <w:proofErr w:type="spellStart"/>
      <w:r w:rsidR="00AA48F8" w:rsidRPr="00AA48F8">
        <w:rPr>
          <w:rFonts w:ascii="Century Gothic" w:hAnsi="Century Gothic"/>
          <w:lang w:val="en-US"/>
        </w:rPr>
        <w:t>presente</w:t>
      </w:r>
      <w:proofErr w:type="spellEnd"/>
      <w:r w:rsidR="00AA48F8" w:rsidRPr="00AA48F8">
        <w:rPr>
          <w:rFonts w:ascii="Century Gothic" w:hAnsi="Century Gothic"/>
          <w:lang w:val="en-US"/>
        </w:rPr>
        <w:t xml:space="preserve"> </w:t>
      </w:r>
      <w:proofErr w:type="spellStart"/>
      <w:r w:rsidR="00AA48F8" w:rsidRPr="00AA48F8">
        <w:rPr>
          <w:rFonts w:ascii="Century Gothic" w:hAnsi="Century Gothic"/>
          <w:lang w:val="en-US"/>
        </w:rPr>
        <w:t>Proposición</w:t>
      </w:r>
      <w:proofErr w:type="spellEnd"/>
      <w:r w:rsidR="00AA48F8" w:rsidRPr="00AA48F8">
        <w:rPr>
          <w:rFonts w:ascii="Century Gothic" w:hAnsi="Century Gothic"/>
          <w:lang w:val="en-US"/>
        </w:rPr>
        <w:t xml:space="preserve"> con </w:t>
      </w:r>
      <w:proofErr w:type="spellStart"/>
      <w:r w:rsidR="00AA48F8" w:rsidRPr="00AA48F8">
        <w:rPr>
          <w:rFonts w:ascii="Century Gothic" w:hAnsi="Century Gothic"/>
          <w:lang w:val="en-US"/>
        </w:rPr>
        <w:t>Carácter</w:t>
      </w:r>
      <w:proofErr w:type="spellEnd"/>
      <w:r w:rsidR="00AA48F8" w:rsidRPr="00AA48F8">
        <w:rPr>
          <w:rFonts w:ascii="Century Gothic" w:hAnsi="Century Gothic"/>
          <w:lang w:val="en-US"/>
        </w:rPr>
        <w:t xml:space="preserve"> de Punto de </w:t>
      </w:r>
      <w:proofErr w:type="spellStart"/>
      <w:r w:rsidR="00AA48F8" w:rsidRPr="00AA48F8">
        <w:rPr>
          <w:rFonts w:ascii="Century Gothic" w:hAnsi="Century Gothic"/>
          <w:lang w:val="en-US"/>
        </w:rPr>
        <w:t>Acuerdo</w:t>
      </w:r>
      <w:proofErr w:type="spellEnd"/>
      <w:r w:rsidR="00AA48F8" w:rsidRPr="00AA48F8">
        <w:rPr>
          <w:rFonts w:ascii="Century Gothic" w:hAnsi="Century Gothic"/>
          <w:lang w:val="en-US"/>
        </w:rPr>
        <w:t xml:space="preserve">, al tenor de la </w:t>
      </w:r>
      <w:proofErr w:type="spellStart"/>
      <w:r w:rsidR="00AA48F8" w:rsidRPr="00AA48F8">
        <w:rPr>
          <w:rFonts w:ascii="Century Gothic" w:hAnsi="Century Gothic"/>
          <w:lang w:val="en-US"/>
        </w:rPr>
        <w:t>siguiente</w:t>
      </w:r>
      <w:proofErr w:type="spellEnd"/>
      <w:r w:rsidR="00AA48F8" w:rsidRPr="00AA48F8">
        <w:rPr>
          <w:rFonts w:ascii="Century Gothic" w:hAnsi="Century Gothic"/>
          <w:lang w:val="en-US"/>
        </w:rPr>
        <w:t>:</w:t>
      </w:r>
    </w:p>
    <w:p w14:paraId="2810F3BC" w14:textId="77777777" w:rsidR="003B2801" w:rsidRDefault="00FE2823">
      <w:pPr>
        <w:pStyle w:val="BodyB"/>
        <w:spacing w:line="360" w:lineRule="auto"/>
        <w:jc w:val="center"/>
        <w:rPr>
          <w:rFonts w:ascii="Century Gothic" w:eastAsia="Century Gothic" w:hAnsi="Century Gothic" w:cs="Century Gothic"/>
          <w:b/>
          <w:bCs/>
          <w:shd w:val="clear" w:color="auto" w:fill="FFFFFF"/>
        </w:rPr>
      </w:pPr>
      <w:r>
        <w:rPr>
          <w:rFonts w:ascii="Century Gothic" w:hAnsi="Century Gothic"/>
          <w:b/>
          <w:bCs/>
          <w:shd w:val="clear" w:color="auto" w:fill="FFFFFF"/>
        </w:rPr>
        <w:t>EXPOSICIÓN DE MOTIVOS</w:t>
      </w:r>
    </w:p>
    <w:p w14:paraId="7F473E88" w14:textId="1814F579" w:rsidR="00985394" w:rsidRPr="00985394" w:rsidRDefault="00985394" w:rsidP="009853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bdr w:val="none" w:sz="0" w:space="0" w:color="auto"/>
          <w:lang w:val="es-MX" w:eastAsia="es-MX"/>
        </w:rPr>
      </w:pP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 xml:space="preserve">El Humedal Río San Pedro-Meoqui representa uno de los ecosistemas de mayor importancia ambiental del </w:t>
      </w:r>
      <w:r>
        <w:rPr>
          <w:rFonts w:ascii="Century Gothic" w:eastAsia="Times New Roman" w:hAnsi="Century Gothic"/>
          <w:bdr w:val="none" w:sz="0" w:space="0" w:color="auto"/>
          <w:lang w:val="es-MX" w:eastAsia="es-MX"/>
        </w:rPr>
        <w:t>E</w:t>
      </w: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stado de Chihuahua. El 2 de febrero de 2012 fue inscrito como Humedal de Importancia Internacional bajo el Sitio Ramsar número 2047, reconocimiento que acredita su relevancia ecológica, su riqueza biológica y su importancia para la conservación de especies residentes y migratorias.</w:t>
      </w:r>
    </w:p>
    <w:p w14:paraId="364BB2C5" w14:textId="7719F214" w:rsidR="00985394" w:rsidRPr="00985394" w:rsidRDefault="00985394" w:rsidP="009853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bdr w:val="none" w:sz="0" w:space="0" w:color="auto"/>
          <w:lang w:val="es-MX" w:eastAsia="es-MX"/>
        </w:rPr>
      </w:pP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El área protegida comprende aproximadamente 374 hectáreas del Río San Pedro, entre el Vado de Ortiz y el Vado del Torreón, dentro de la cuenca del Río Conchos. Su ubicación permite mantener procesos ecológicos fundamentales para el equilibrio ambiental de la región y constituye un corredor biológico indispensable para numerosas especies.</w:t>
      </w:r>
    </w:p>
    <w:p w14:paraId="131DC75B" w14:textId="1A73C157" w:rsidR="00985394" w:rsidRPr="00985394" w:rsidRDefault="00985394" w:rsidP="009853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bdr w:val="none" w:sz="0" w:space="0" w:color="auto"/>
          <w:lang w:val="es-MX" w:eastAsia="es-MX"/>
        </w:rPr>
      </w:pP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 xml:space="preserve">Cada invierno, miles de aves provenientes del sur de Canadá y del norte de Estados Unidos encuentran en este sitio las condiciones necesarias para alimentarse, descansar y continuar sus rutas migratorias. Los estudios y monitoreos realizados en la zona han documentado la presencia de más de 200 especies de aves, entre ellas pelícanos blancos, garzas, patos, halcones, </w:t>
      </w: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lastRenderedPageBreak/>
        <w:t>águilas, colibríes y el Rascón Azteca, Rallus tenuirostris, especie catalogada en peligro de extinción.</w:t>
      </w:r>
    </w:p>
    <w:p w14:paraId="55AB8074" w14:textId="1054EF01" w:rsidR="00985394" w:rsidRPr="00985394" w:rsidRDefault="00985394" w:rsidP="009853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bdr w:val="none" w:sz="0" w:space="0" w:color="auto"/>
          <w:lang w:val="es-MX" w:eastAsia="es-MX"/>
        </w:rPr>
      </w:pP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Además, el humedal alberga peces, mamíferos y vegetación nativa que conforman un ecosistema de enorme riqueza biológica. La presencia de mezquites, huizaches, sauces, álamos, conejos, liebres, zorrillos y gato montés demuestra la importancia de conservar este espacio bajo criterios de prevención, restauración y manejo sustentable.</w:t>
      </w:r>
    </w:p>
    <w:p w14:paraId="5744ADBF" w14:textId="57F486A1" w:rsidR="00985394" w:rsidRPr="00985394" w:rsidRDefault="00985394" w:rsidP="009853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bdr w:val="none" w:sz="0" w:space="0" w:color="auto"/>
          <w:lang w:val="es-MX" w:eastAsia="es-MX"/>
        </w:rPr>
      </w:pP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La relevancia de estos ecosistemas se encuentra respaldada también por datos internacionales. Aunque los humedales cubren apenas alrededor del 6</w:t>
      </w:r>
      <w:r w:rsidR="005465F4">
        <w:rPr>
          <w:rFonts w:ascii="Century Gothic" w:eastAsia="Times New Roman" w:hAnsi="Century Gothic"/>
          <w:bdr w:val="none" w:sz="0" w:space="0" w:color="auto"/>
          <w:lang w:val="es-MX" w:eastAsia="es-MX"/>
        </w:rPr>
        <w:t xml:space="preserve">% </w:t>
      </w: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de la superficie terrestre, albergan cerca del 40</w:t>
      </w:r>
      <w:r w:rsidR="005465F4">
        <w:rPr>
          <w:rFonts w:ascii="Century Gothic" w:eastAsia="Times New Roman" w:hAnsi="Century Gothic"/>
          <w:bdr w:val="none" w:sz="0" w:space="0" w:color="auto"/>
          <w:lang w:val="es-MX" w:eastAsia="es-MX"/>
        </w:rPr>
        <w:t xml:space="preserve">% </w:t>
      </w: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de todas las especies de plantas y animales del mundo.</w:t>
      </w:r>
    </w:p>
    <w:p w14:paraId="6CE98AEE" w14:textId="5ADDA1BB" w:rsidR="00985394" w:rsidRPr="00985394" w:rsidRDefault="00985394" w:rsidP="009853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bdr w:val="none" w:sz="0" w:space="0" w:color="auto"/>
          <w:lang w:val="es-MX" w:eastAsia="es-MX"/>
        </w:rPr>
      </w:pP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Su deterioro, por tanto, no representa únicamente la pérdida de flora y fauna. También disminuye la capacidad natural de regulación del agua, aumenta la vulnerabilidad frente a sequías e inundaciones y reduce la capacidad de las comunidades para enfrentar los efectos del cambio climático.</w:t>
      </w:r>
    </w:p>
    <w:p w14:paraId="1658950A" w14:textId="03927B92" w:rsidR="00985394" w:rsidRPr="00985394" w:rsidRDefault="00985394" w:rsidP="009853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bdr w:val="none" w:sz="0" w:space="0" w:color="auto"/>
          <w:lang w:val="es-MX" w:eastAsia="es-MX"/>
        </w:rPr>
      </w:pP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Por ello, la conservación del Humedal Río San Pedro-Meoqui debe asumirse como una responsabilidad prioritaria de las autoridades competentes.</w:t>
      </w:r>
    </w:p>
    <w:p w14:paraId="28259EAA" w14:textId="259B5473" w:rsidR="00985394" w:rsidRPr="00985394" w:rsidRDefault="00985394" w:rsidP="009853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bdr w:val="none" w:sz="0" w:space="0" w:color="auto"/>
          <w:lang w:val="es-MX" w:eastAsia="es-MX"/>
        </w:rPr>
      </w:pP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Sin embargo, actualmente este ecosistema enfrenta un grave proceso de deterioro derivado de la insuficiencia del caudal ecológico necesario para conservar las condiciones hidrológicas que dieron origen a su reconocimiento como Sitio Ramsar.</w:t>
      </w:r>
    </w:p>
    <w:p w14:paraId="51E4FE8B" w14:textId="53039365" w:rsidR="00985394" w:rsidRPr="00985394" w:rsidRDefault="00985394" w:rsidP="009853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bdr w:val="none" w:sz="0" w:space="0" w:color="auto"/>
          <w:lang w:val="es-MX" w:eastAsia="es-MX"/>
        </w:rPr>
      </w:pP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El caudal ecológico representa el volumen, la calidad y el régimen de flujo de agua necesarios para conservar los procesos naturales, la biodiversidad y los servicios ambientales que proporciona un ecosistema acuático.</w:t>
      </w:r>
    </w:p>
    <w:p w14:paraId="5524F148" w14:textId="05AD7711" w:rsidR="00985394" w:rsidRPr="00985394" w:rsidRDefault="00985394" w:rsidP="009853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bdr w:val="none" w:sz="0" w:space="0" w:color="auto"/>
          <w:lang w:val="es-MX" w:eastAsia="es-MX"/>
        </w:rPr>
      </w:pP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Cuando dichos flujos disminuyen o se interrumpen,</w:t>
      </w:r>
      <w:r w:rsidR="005465F4">
        <w:rPr>
          <w:rFonts w:ascii="Century Gothic" w:eastAsia="Times New Roman" w:hAnsi="Century Gothic"/>
          <w:bdr w:val="none" w:sz="0" w:space="0" w:color="auto"/>
          <w:lang w:val="es-MX" w:eastAsia="es-MX"/>
        </w:rPr>
        <w:t xml:space="preserve"> </w:t>
      </w: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se reduce la disponibilidad de hábitat, disminuye la calidad del agua, se altera la vegetación, se afecta la supervivencia de especies residentes y migratorias y aumenta el riesgo de daños ambientales irreversibles.</w:t>
      </w:r>
    </w:p>
    <w:p w14:paraId="67A6AD3E" w14:textId="6ABD830B" w:rsidR="00985394" w:rsidRPr="00985394" w:rsidRDefault="00985394" w:rsidP="009853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bdr w:val="none" w:sz="0" w:space="0" w:color="auto"/>
          <w:lang w:val="es-MX" w:eastAsia="es-MX"/>
        </w:rPr>
      </w:pP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La situación que actualmente enfrenta el Humedal Río San Pedro-Meoqui no puede considerarse únicamente como consecuencia inevitable de las condiciones naturales o climáticas.</w:t>
      </w:r>
    </w:p>
    <w:p w14:paraId="3F53BC1A" w14:textId="65E8CBF3" w:rsidR="00985394" w:rsidRPr="00985394" w:rsidRDefault="00985394" w:rsidP="009853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bdr w:val="none" w:sz="0" w:space="0" w:color="auto"/>
          <w:lang w:val="es-MX" w:eastAsia="es-MX"/>
        </w:rPr>
      </w:pP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 xml:space="preserve">Su conservación depende también del cumplimiento oportuno de las atribuciones y obligaciones jurídicas que corresponden a las autoridades </w:t>
      </w: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lastRenderedPageBreak/>
        <w:t>responsables de la administración de las aguas nacionales, la protección del medio ambiente y la conservación de los ecosistemas.</w:t>
      </w:r>
    </w:p>
    <w:p w14:paraId="3B70AB4F" w14:textId="03591BDC" w:rsidR="00985394" w:rsidRPr="00985394" w:rsidRDefault="00985394" w:rsidP="009853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bdr w:val="none" w:sz="0" w:space="0" w:color="auto"/>
          <w:lang w:val="es-MX" w:eastAsia="es-MX"/>
        </w:rPr>
      </w:pP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Durante años, este sitio fue reconocido por la calidad de sus cuerpos de agua, la abundancia de especies y las condiciones ambientales que permitían a numerosas especies alimentarse, reproducirse y completar sus rutas migratorias.</w:t>
      </w:r>
    </w:p>
    <w:p w14:paraId="0DC33DBA" w14:textId="0C8E78C1" w:rsidR="00985394" w:rsidRPr="00985394" w:rsidRDefault="00985394" w:rsidP="009853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bdr w:val="none" w:sz="0" w:space="0" w:color="auto"/>
          <w:lang w:val="es-MX" w:eastAsia="es-MX"/>
        </w:rPr>
      </w:pP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Hoy, esa realidad se encuentra seriamente comprometida.</w:t>
      </w:r>
    </w:p>
    <w:p w14:paraId="76B50A37" w14:textId="50BB2F92" w:rsidR="00985394" w:rsidRPr="00985394" w:rsidRDefault="00985394" w:rsidP="009853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bdr w:val="none" w:sz="0" w:space="0" w:color="auto"/>
          <w:lang w:val="es-MX" w:eastAsia="es-MX"/>
        </w:rPr>
      </w:pP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Cada temporada en la que el humedal permanece sin el caudal ecológico suficiente representa una mayor pérdida de biodiversidad, una disminución de los servicios ambientales y un incremento en el riesgo de que los daños al ecosistema alcancen un carácter irreversible.</w:t>
      </w:r>
    </w:p>
    <w:p w14:paraId="690259CA" w14:textId="681632CC" w:rsidR="00985394" w:rsidRPr="00985394" w:rsidRDefault="00985394" w:rsidP="009853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bdr w:val="none" w:sz="0" w:space="0" w:color="auto"/>
          <w:lang w:val="es-MX" w:eastAsia="es-MX"/>
        </w:rPr>
      </w:pP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 xml:space="preserve">Permitir que uno de los humedales más importantes del </w:t>
      </w:r>
      <w:r w:rsidR="005465F4">
        <w:rPr>
          <w:rFonts w:ascii="Century Gothic" w:eastAsia="Times New Roman" w:hAnsi="Century Gothic"/>
          <w:bdr w:val="none" w:sz="0" w:space="0" w:color="auto"/>
          <w:lang w:val="es-MX" w:eastAsia="es-MX"/>
        </w:rPr>
        <w:t>E</w:t>
      </w: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stado de continúe deteriorándose por la ausencia de acciones suficientes para garantizar sus condiciones hidrológicas implicaría incumplir las obligaciones constitucionales, legales e internacionales asumidas por el Estado mexicano.</w:t>
      </w:r>
    </w:p>
    <w:p w14:paraId="773C90FC" w14:textId="54691F47" w:rsidR="00985394" w:rsidRPr="00985394" w:rsidRDefault="00985394" w:rsidP="009853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bdr w:val="none" w:sz="0" w:space="0" w:color="auto"/>
          <w:lang w:val="es-MX" w:eastAsia="es-MX"/>
        </w:rPr>
      </w:pP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En primer término, el artículo 4º de la Constitu</w:t>
      </w:r>
      <w:r w:rsidR="005465F4">
        <w:rPr>
          <w:rFonts w:ascii="Century Gothic" w:eastAsia="Times New Roman" w:hAnsi="Century Gothic"/>
          <w:bdr w:val="none" w:sz="0" w:space="0" w:color="auto"/>
          <w:lang w:val="es-MX" w:eastAsia="es-MX"/>
        </w:rPr>
        <w:t xml:space="preserve">cional </w:t>
      </w: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reconoce el derecho de toda persona a un medio ambiente sano para su desarrollo y bienestar y establece expresamente la responsabilidad del Estado de garantizar el respeto a dicho derecho.</w:t>
      </w:r>
    </w:p>
    <w:p w14:paraId="4B9750D8" w14:textId="5FE1D1B7" w:rsidR="00985394" w:rsidRPr="00985394" w:rsidRDefault="00985394" w:rsidP="009853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bdr w:val="none" w:sz="0" w:space="0" w:color="auto"/>
          <w:lang w:val="es-MX" w:eastAsia="es-MX"/>
        </w:rPr>
      </w:pP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Este mandato constitucional obliga a las autoridades a prevenir el deterioro ambiental y adoptar las acciones necesarias para proteger los ecosistemas cuya conservación resulta fundamental para garantizar el equilibrio ecológico.</w:t>
      </w:r>
    </w:p>
    <w:p w14:paraId="6F0783A3" w14:textId="75373B09" w:rsidR="00985394" w:rsidRPr="00985394" w:rsidRDefault="00985394" w:rsidP="009853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bdr w:val="none" w:sz="0" w:space="0" w:color="auto"/>
          <w:lang w:val="es-MX" w:eastAsia="es-MX"/>
        </w:rPr>
      </w:pP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Asimismo, la Ley General del Equilibrio Ecológico y la Protección al Ambiente establece las bases jurídicas para la preservación y restauración del equilibrio ecológico, así como para la protección del medio ambiente y la conservación de los recursos naturales.</w:t>
      </w:r>
    </w:p>
    <w:p w14:paraId="7B77AEED" w14:textId="62E0B523" w:rsidR="00985394" w:rsidRPr="00985394" w:rsidRDefault="00985394" w:rsidP="009853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bdr w:val="none" w:sz="0" w:space="0" w:color="auto"/>
          <w:lang w:val="es-MX" w:eastAsia="es-MX"/>
        </w:rPr>
      </w:pP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De manera particular, la Ley de Aguas Nacionales, en su artículo 86 BIS 1, establece obligaciones y atribuciones específicas para la Comisión Nacional del Agua respecto de la preservación de los humedales afectados por los regímenes de flujo de aguas nacionales.</w:t>
      </w:r>
    </w:p>
    <w:p w14:paraId="397EC637" w14:textId="77777777" w:rsidR="00985394" w:rsidRPr="00985394" w:rsidRDefault="00985394" w:rsidP="009853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bdr w:val="none" w:sz="0" w:space="0" w:color="auto"/>
          <w:lang w:val="es-MX" w:eastAsia="es-MX"/>
        </w:rPr>
      </w:pP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La fracción I establece la atribución de delimitar y llevar el inventario de los humedales ubicados en bienes nacionales o inundados por aguas nacionales.</w:t>
      </w:r>
    </w:p>
    <w:p w14:paraId="4F86F915" w14:textId="77777777" w:rsidR="00985394" w:rsidRPr="00985394" w:rsidRDefault="00985394" w:rsidP="009853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bdr w:val="none" w:sz="0" w:space="0" w:color="auto"/>
          <w:lang w:val="es-MX" w:eastAsia="es-MX"/>
        </w:rPr>
      </w:pPr>
    </w:p>
    <w:p w14:paraId="2D0FD758" w14:textId="6191FD11" w:rsidR="00985394" w:rsidRPr="00985394" w:rsidRDefault="00985394" w:rsidP="009853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bdr w:val="none" w:sz="0" w:space="0" w:color="auto"/>
          <w:lang w:val="es-MX" w:eastAsia="es-MX"/>
        </w:rPr>
      </w:pP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La fracción II dispone la facultad de promover reservas de aguas nacionales o reservas ecológicas para garantizar la preservación de los humedales.</w:t>
      </w:r>
    </w:p>
    <w:p w14:paraId="4D58886A" w14:textId="38A670F5" w:rsidR="00985394" w:rsidRPr="00985394" w:rsidRDefault="00985394" w:rsidP="009853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bdr w:val="none" w:sz="0" w:space="0" w:color="auto"/>
          <w:lang w:val="es-MX" w:eastAsia="es-MX"/>
        </w:rPr>
      </w:pP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La fracción III establece la atribución de proponer Normas Oficiales Mexicanas dirigidas a preservar, proteger y, en su caso, restaurar los humedales, las aguas nacionales que los alimentan y los ecosistemas acuáticos e hidrológicos relacionados con ellos.</w:t>
      </w:r>
    </w:p>
    <w:p w14:paraId="3021E8ED" w14:textId="5D10059B" w:rsidR="00985394" w:rsidRPr="00985394" w:rsidRDefault="00985394" w:rsidP="009853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bdr w:val="none" w:sz="0" w:space="0" w:color="auto"/>
          <w:lang w:val="es-MX" w:eastAsia="es-MX"/>
        </w:rPr>
      </w:pP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Finalmente, la fracción IV establece la obligación de promover y, en su caso, realizar las acciones y medidas necesarias para rehabilitar o restaurar los humedales, así como establecer entornos naturales o perímetros de protección que permitan preservar sus condiciones hidrológicas y su equilibrio ecológico.</w:t>
      </w:r>
    </w:p>
    <w:p w14:paraId="13B162C9" w14:textId="4AB3E2E6" w:rsidR="00985394" w:rsidRPr="00985394" w:rsidRDefault="00985394" w:rsidP="009853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bdr w:val="none" w:sz="0" w:space="0" w:color="auto"/>
          <w:lang w:val="es-MX" w:eastAsia="es-MX"/>
        </w:rPr>
      </w:pP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Resulta incongruente que el Estado mexicano haya promovido y obtenido en 2012 el reconocimiento internacional del Humedal Río San Pedro-Meoqui como Sitio Ramsar y que, 14 años después, no se garantice de manera efectiva el caudal ecológico indispensable para conservar las condiciones ambientales que justificaron dicha declaratoria.</w:t>
      </w:r>
    </w:p>
    <w:p w14:paraId="1B7ECBA6" w14:textId="7F4E4F85" w:rsidR="00985394" w:rsidRPr="00985394" w:rsidRDefault="00985394" w:rsidP="009853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bdr w:val="none" w:sz="0" w:space="0" w:color="auto"/>
          <w:lang w:val="es-MX" w:eastAsia="es-MX"/>
        </w:rPr>
      </w:pP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La protección de un humedal no termina con su inscripción en una lista internacional.</w:t>
      </w:r>
      <w:r w:rsidR="005465F4">
        <w:rPr>
          <w:rFonts w:ascii="Century Gothic" w:eastAsia="Times New Roman" w:hAnsi="Century Gothic"/>
          <w:bdr w:val="none" w:sz="0" w:space="0" w:color="auto"/>
          <w:lang w:val="es-MX" w:eastAsia="es-MX"/>
        </w:rPr>
        <w:t xml:space="preserve"> </w:t>
      </w: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El reconocimiento implica una responsabilidad permanente de conservación, vigilancia, manejo sustentable y restauración.</w:t>
      </w:r>
    </w:p>
    <w:p w14:paraId="362E5CBF" w14:textId="3877BFBC" w:rsidR="00985394" w:rsidRPr="00985394" w:rsidRDefault="00985394" w:rsidP="009853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bdr w:val="none" w:sz="0" w:space="0" w:color="auto"/>
          <w:lang w:val="es-MX" w:eastAsia="es-MX"/>
        </w:rPr>
      </w:pP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De lo contrario, el reconocimiento internacional corre el riesgo de convertirse en una distinción meramente simbólica mientras el ecosistema continúa deteriorándose.</w:t>
      </w:r>
    </w:p>
    <w:p w14:paraId="09889295" w14:textId="5288900E" w:rsidR="00985394" w:rsidRPr="00985394" w:rsidRDefault="00985394" w:rsidP="009853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bdr w:val="none" w:sz="0" w:space="0" w:color="auto"/>
          <w:lang w:val="es-MX" w:eastAsia="es-MX"/>
        </w:rPr>
      </w:pP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Por ello, resulta indispensable que las autoridades federales actúen de manera coordinada, inmediata e integral.</w:t>
      </w:r>
    </w:p>
    <w:p w14:paraId="0041BEBB" w14:textId="77777777" w:rsidR="00C34F41" w:rsidRDefault="00985394" w:rsidP="009853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bdr w:val="none" w:sz="0" w:space="0" w:color="auto"/>
          <w:lang w:val="es-MX" w:eastAsia="es-MX"/>
        </w:rPr>
      </w:pP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No basta con reconocer la existencia del problema.</w:t>
      </w:r>
      <w:r w:rsidR="005465F4">
        <w:rPr>
          <w:rFonts w:ascii="Century Gothic" w:eastAsia="Times New Roman" w:hAnsi="Century Gothic"/>
          <w:bdr w:val="none" w:sz="0" w:space="0" w:color="auto"/>
          <w:lang w:val="es-MX" w:eastAsia="es-MX"/>
        </w:rPr>
        <w:t xml:space="preserve"> </w:t>
      </w:r>
      <w:r w:rsidRP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Es necesario implementar acciones suficientes para atender el deterioro ambiental, garantizar el caudal ecológico necesario, conservar las condiciones hidrológicas del humedal y, en su caso, realizar las medidas de rehabilitación y restauración que permitan recuperar las zonas afectadas.</w:t>
      </w:r>
      <w:r w:rsidR="00C34F41">
        <w:rPr>
          <w:rFonts w:ascii="Century Gothic" w:eastAsia="Times New Roman" w:hAnsi="Century Gothic"/>
          <w:bdr w:val="none" w:sz="0" w:space="0" w:color="auto"/>
          <w:lang w:val="es-MX" w:eastAsia="es-MX"/>
        </w:rPr>
        <w:t xml:space="preserve"> </w:t>
      </w:r>
    </w:p>
    <w:p w14:paraId="19ED2A0B" w14:textId="595DD859" w:rsidR="003475D5" w:rsidRDefault="002B7ED4" w:rsidP="009853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Century Gothic" w:eastAsia="Times New Roman" w:hAnsi="Century Gothic"/>
          <w:bdr w:val="none" w:sz="0" w:space="0" w:color="auto"/>
          <w:lang w:val="es-MX" w:eastAsia="es-MX"/>
        </w:rPr>
      </w:pPr>
      <w:r w:rsidRPr="002B7ED4">
        <w:rPr>
          <w:rFonts w:ascii="Century Gothic" w:eastAsia="Times New Roman" w:hAnsi="Century Gothic"/>
          <w:bdr w:val="none" w:sz="0" w:space="0" w:color="auto"/>
          <w:lang w:val="es-MX" w:eastAsia="es-MX"/>
        </w:rPr>
        <w:t>Proteger este humedal significa defender la biodiversidad, el equilibrio ambiental, el patrimonio natural de Chihuahua y el derecho de las futuras generaciones a di</w:t>
      </w:r>
      <w:r w:rsidR="00985394">
        <w:rPr>
          <w:rFonts w:ascii="Century Gothic" w:eastAsia="Times New Roman" w:hAnsi="Century Gothic"/>
          <w:bdr w:val="none" w:sz="0" w:space="0" w:color="auto"/>
          <w:lang w:val="es-MX" w:eastAsia="es-MX"/>
        </w:rPr>
        <w:t>s</w:t>
      </w:r>
      <w:r w:rsidRPr="002B7ED4">
        <w:rPr>
          <w:rFonts w:ascii="Century Gothic" w:eastAsia="Times New Roman" w:hAnsi="Century Gothic"/>
          <w:bdr w:val="none" w:sz="0" w:space="0" w:color="auto"/>
          <w:lang w:val="es-MX" w:eastAsia="es-MX"/>
        </w:rPr>
        <w:t>frutar de un medio ambiente sano.</w:t>
      </w:r>
    </w:p>
    <w:p w14:paraId="7C0FCE35" w14:textId="148D5ED1" w:rsidR="003B2801" w:rsidRDefault="00FE2823" w:rsidP="00B2656A">
      <w:pPr>
        <w:pStyle w:val="BodyB"/>
        <w:spacing w:line="360" w:lineRule="auto"/>
        <w:jc w:val="both"/>
        <w:rPr>
          <w:rFonts w:ascii="Century Gothic" w:hAnsi="Century Gothic"/>
          <w:shd w:val="clear" w:color="auto" w:fill="FFFFFF"/>
        </w:rPr>
      </w:pPr>
      <w:r>
        <w:rPr>
          <w:rFonts w:ascii="Century Gothic" w:hAnsi="Century Gothic"/>
          <w:shd w:val="clear" w:color="auto" w:fill="FFFFFF"/>
        </w:rPr>
        <w:lastRenderedPageBreak/>
        <w:t>Por lo anteriormente expuesto y fundado, pongo a consideración de esta</w:t>
      </w:r>
      <w:r w:rsidR="005465F4">
        <w:rPr>
          <w:rFonts w:ascii="Century Gothic" w:hAnsi="Century Gothic"/>
          <w:shd w:val="clear" w:color="auto" w:fill="FFFFFF"/>
        </w:rPr>
        <w:t xml:space="preserve"> </w:t>
      </w:r>
      <w:r>
        <w:rPr>
          <w:rFonts w:ascii="Century Gothic" w:hAnsi="Century Gothic"/>
          <w:shd w:val="clear" w:color="auto" w:fill="FFFFFF"/>
        </w:rPr>
        <w:t>Honorable Asamblea Legislativa el siguiente proyecto con carácter de:</w:t>
      </w:r>
    </w:p>
    <w:p w14:paraId="1C2092EE" w14:textId="77777777" w:rsidR="00B2656A" w:rsidRPr="00B2656A" w:rsidRDefault="00B2656A" w:rsidP="00B2656A">
      <w:pPr>
        <w:pStyle w:val="BodyB"/>
        <w:spacing w:line="360" w:lineRule="auto"/>
        <w:jc w:val="both"/>
        <w:rPr>
          <w:rFonts w:ascii="Century Gothic" w:eastAsia="Century Gothic" w:hAnsi="Century Gothic" w:cs="Century Gothic"/>
          <w:shd w:val="clear" w:color="auto" w:fill="FFFFFF"/>
        </w:rPr>
      </w:pPr>
    </w:p>
    <w:p w14:paraId="0566C703" w14:textId="77777777" w:rsidR="003B2801" w:rsidRDefault="00FE2823">
      <w:pPr>
        <w:pStyle w:val="NormalWeb"/>
        <w:shd w:val="clear" w:color="auto" w:fill="FFFFFF"/>
        <w:spacing w:before="0" w:after="120" w:line="360" w:lineRule="auto"/>
        <w:jc w:val="center"/>
        <w:rPr>
          <w:rFonts w:ascii="Century Gothic" w:eastAsia="Century Gothic" w:hAnsi="Century Gothic" w:cs="Century Gothic"/>
          <w:b/>
          <w:bCs/>
          <w:shd w:val="clear" w:color="auto" w:fill="FFFFFF"/>
        </w:rPr>
      </w:pPr>
      <w:r>
        <w:rPr>
          <w:rFonts w:ascii="Century Gothic" w:hAnsi="Century Gothic"/>
          <w:b/>
          <w:bCs/>
          <w:shd w:val="clear" w:color="auto" w:fill="FFFFFF"/>
        </w:rPr>
        <w:t>ACUERDO:</w:t>
      </w:r>
    </w:p>
    <w:p w14:paraId="39E1BD8F" w14:textId="0467EE7A" w:rsidR="001D2553" w:rsidRDefault="005465F4" w:rsidP="001D2553">
      <w:pPr>
        <w:pStyle w:val="NormalWeb"/>
        <w:shd w:val="clear" w:color="auto" w:fill="FFFFFF"/>
        <w:spacing w:after="120" w:line="360" w:lineRule="auto"/>
        <w:jc w:val="both"/>
        <w:rPr>
          <w:rFonts w:ascii="Century Gothic" w:hAnsi="Century Gothic"/>
          <w:shd w:val="clear" w:color="auto" w:fill="FFFFFF"/>
        </w:rPr>
      </w:pPr>
      <w:r>
        <w:rPr>
          <w:rFonts w:ascii="Century Gothic" w:hAnsi="Century Gothic"/>
          <w:b/>
          <w:bCs/>
          <w:shd w:val="clear" w:color="auto" w:fill="FFFFFF"/>
        </w:rPr>
        <w:t>ÚNICO</w:t>
      </w:r>
      <w:r w:rsidR="001D2553">
        <w:rPr>
          <w:rFonts w:ascii="Century Gothic" w:hAnsi="Century Gothic"/>
          <w:b/>
          <w:bCs/>
          <w:shd w:val="clear" w:color="auto" w:fill="FFFFFF"/>
        </w:rPr>
        <w:t xml:space="preserve">. </w:t>
      </w:r>
      <w:bookmarkStart w:id="0" w:name="OLE_LINK1"/>
      <w:r w:rsidR="00985394" w:rsidRPr="00985394">
        <w:rPr>
          <w:rFonts w:ascii="Century Gothic" w:hAnsi="Century Gothic"/>
          <w:shd w:val="clear" w:color="auto" w:fill="FFFFFF"/>
        </w:rPr>
        <w:t>La Sexagésima Octava Legislatura del Honorable Congreso del Estado de Chihuahua exhorta respetuosamente a la Comisión Nacional del Agua, a la Secretaría de Medio Ambiente y Recursos Naturales y a la Comisión Nacional de Áreas Naturales Protegidas para que, en el ámbito de sus respectivas atribuciones y de manera coordinada, implementen con carácter urgente las acciones necesarias para atender el grave deterioro ambiental del Humedal Río San Pedro-Meoqui, Sitio Ramsar 2047, garantizar el caudal ecológico indispensable para mantener sus condiciones hidrológicas y funcionalidad ecológica, así como fortalecer las medidas de protección, conservación y, en su caso, restauración del ecosistema.</w:t>
      </w:r>
    </w:p>
    <w:p w14:paraId="418F06E5" w14:textId="77777777" w:rsidR="00985394" w:rsidRPr="00985394" w:rsidRDefault="00985394" w:rsidP="001D2553">
      <w:pPr>
        <w:pStyle w:val="NormalWeb"/>
        <w:shd w:val="clear" w:color="auto" w:fill="FFFFFF"/>
        <w:spacing w:after="120" w:line="360" w:lineRule="auto"/>
        <w:jc w:val="both"/>
        <w:rPr>
          <w:rFonts w:ascii="Century Gothic" w:hAnsi="Century Gothic"/>
          <w:shd w:val="clear" w:color="auto" w:fill="FFFFFF"/>
        </w:rPr>
      </w:pPr>
    </w:p>
    <w:bookmarkEnd w:id="0"/>
    <w:p w14:paraId="5461D68E" w14:textId="725A6622" w:rsidR="00B2656A" w:rsidRDefault="00FE2823" w:rsidP="001D2553">
      <w:pPr>
        <w:pStyle w:val="NormalWeb"/>
        <w:shd w:val="clear" w:color="auto" w:fill="FFFFFF"/>
        <w:spacing w:after="120" w:line="360" w:lineRule="auto"/>
        <w:jc w:val="both"/>
        <w:rPr>
          <w:rFonts w:ascii="Century Gothic" w:hAnsi="Century Gothic"/>
          <w:shd w:val="clear" w:color="auto" w:fill="FFFFFF"/>
        </w:rPr>
      </w:pPr>
      <w:r>
        <w:rPr>
          <w:rFonts w:ascii="Century Gothic" w:hAnsi="Century Gothic"/>
          <w:b/>
          <w:bCs/>
          <w:shd w:val="clear" w:color="auto" w:fill="FFFFFF"/>
        </w:rPr>
        <w:t>ECONÓMICO</w:t>
      </w:r>
      <w:r>
        <w:rPr>
          <w:rFonts w:ascii="Century Gothic" w:hAnsi="Century Gothic"/>
          <w:shd w:val="clear" w:color="auto" w:fill="FFFFFF"/>
        </w:rPr>
        <w:t xml:space="preserve">. Aprobado que sea, túrnese a la Secretaría de Asuntos Legislativos para que elabore la Minuta de </w:t>
      </w:r>
      <w:r>
        <w:rPr>
          <w:rFonts w:ascii="Century Gothic" w:hAnsi="Century Gothic"/>
          <w:shd w:val="clear" w:color="auto" w:fill="FFFFFF"/>
        </w:rPr>
        <w:t xml:space="preserve">Acuerdo correspondiente. </w:t>
      </w:r>
    </w:p>
    <w:p w14:paraId="0EFD5D84" w14:textId="77777777" w:rsidR="00985394" w:rsidRPr="001D2553" w:rsidRDefault="00985394" w:rsidP="001D2553">
      <w:pPr>
        <w:pStyle w:val="NormalWeb"/>
        <w:shd w:val="clear" w:color="auto" w:fill="FFFFFF"/>
        <w:spacing w:after="120" w:line="360" w:lineRule="auto"/>
        <w:jc w:val="both"/>
        <w:rPr>
          <w:rFonts w:ascii="Century Gothic" w:hAnsi="Century Gothic"/>
          <w:b/>
          <w:bCs/>
          <w:shd w:val="clear" w:color="auto" w:fill="FFFFFF"/>
        </w:rPr>
      </w:pPr>
    </w:p>
    <w:p w14:paraId="581D115F" w14:textId="53528D18" w:rsidR="00985394" w:rsidRPr="00945031" w:rsidRDefault="00FE2823" w:rsidP="00945031">
      <w:pPr>
        <w:pStyle w:val="NormalWeb"/>
        <w:shd w:val="clear" w:color="auto" w:fill="FFFFFF"/>
        <w:spacing w:before="0" w:after="120" w:line="360" w:lineRule="auto"/>
        <w:jc w:val="both"/>
        <w:rPr>
          <w:rFonts w:ascii="Century Gothic" w:hAnsi="Century Gothic"/>
          <w:shd w:val="clear" w:color="auto" w:fill="FFFFFF"/>
        </w:rPr>
      </w:pPr>
      <w:r>
        <w:rPr>
          <w:rFonts w:ascii="Century Gothic" w:hAnsi="Century Gothic"/>
          <w:b/>
          <w:bCs/>
          <w:shd w:val="clear" w:color="auto" w:fill="FFFFFF"/>
        </w:rPr>
        <w:t>DADO</w:t>
      </w:r>
      <w:r>
        <w:rPr>
          <w:rFonts w:ascii="Century Gothic" w:hAnsi="Century Gothic"/>
          <w:shd w:val="clear" w:color="auto" w:fill="FFFFFF"/>
        </w:rPr>
        <w:t xml:space="preserve"> en </w:t>
      </w:r>
      <w:r w:rsidR="005465F4">
        <w:rPr>
          <w:rFonts w:ascii="Century Gothic" w:hAnsi="Century Gothic"/>
          <w:shd w:val="clear" w:color="auto" w:fill="FFFFFF"/>
        </w:rPr>
        <w:t>Sesión de la Segunda Diputación Permanente</w:t>
      </w:r>
      <w:r>
        <w:rPr>
          <w:rFonts w:ascii="Century Gothic" w:hAnsi="Century Gothic"/>
          <w:shd w:val="clear" w:color="auto" w:fill="FFFFFF"/>
        </w:rPr>
        <w:t xml:space="preserve">, en la ciudad de </w:t>
      </w:r>
      <w:r w:rsidR="005465F4">
        <w:rPr>
          <w:rFonts w:ascii="Century Gothic" w:hAnsi="Century Gothic"/>
          <w:shd w:val="clear" w:color="auto" w:fill="FFFFFF"/>
        </w:rPr>
        <w:t>Parral</w:t>
      </w:r>
      <w:r>
        <w:rPr>
          <w:rFonts w:ascii="Century Gothic" w:hAnsi="Century Gothic"/>
          <w:shd w:val="clear" w:color="auto" w:fill="FFFFFF"/>
        </w:rPr>
        <w:t xml:space="preserve">, a los </w:t>
      </w:r>
      <w:r w:rsidR="004947C0">
        <w:rPr>
          <w:rFonts w:ascii="Century Gothic" w:hAnsi="Century Gothic"/>
          <w:shd w:val="clear" w:color="auto" w:fill="FFFFFF"/>
        </w:rPr>
        <w:t>1</w:t>
      </w:r>
      <w:r w:rsidR="00985394">
        <w:rPr>
          <w:rFonts w:ascii="Century Gothic" w:hAnsi="Century Gothic"/>
          <w:shd w:val="clear" w:color="auto" w:fill="FFFFFF"/>
        </w:rPr>
        <w:t>7</w:t>
      </w:r>
      <w:r w:rsidR="00D932DE">
        <w:rPr>
          <w:rFonts w:ascii="Century Gothic" w:hAnsi="Century Gothic"/>
          <w:shd w:val="clear" w:color="auto" w:fill="FFFFFF"/>
        </w:rPr>
        <w:t xml:space="preserve"> </w:t>
      </w:r>
      <w:r>
        <w:rPr>
          <w:rFonts w:ascii="Century Gothic" w:hAnsi="Century Gothic"/>
          <w:shd w:val="clear" w:color="auto" w:fill="FFFFFF"/>
        </w:rPr>
        <w:t xml:space="preserve">días del mes de </w:t>
      </w:r>
      <w:r w:rsidR="00985394">
        <w:rPr>
          <w:rFonts w:ascii="Century Gothic" w:hAnsi="Century Gothic"/>
          <w:shd w:val="clear" w:color="auto" w:fill="FFFFFF"/>
        </w:rPr>
        <w:t>julio</w:t>
      </w:r>
      <w:r w:rsidR="004F604D">
        <w:rPr>
          <w:rFonts w:ascii="Century Gothic" w:hAnsi="Century Gothic"/>
          <w:shd w:val="clear" w:color="auto" w:fill="FFFFFF"/>
        </w:rPr>
        <w:t xml:space="preserve"> </w:t>
      </w:r>
      <w:r>
        <w:rPr>
          <w:rFonts w:ascii="Century Gothic" w:hAnsi="Century Gothic"/>
          <w:shd w:val="clear" w:color="auto" w:fill="FFFFFF"/>
        </w:rPr>
        <w:t>de 202</w:t>
      </w:r>
      <w:r w:rsidR="00E67934">
        <w:rPr>
          <w:rFonts w:ascii="Century Gothic" w:hAnsi="Century Gothic"/>
          <w:shd w:val="clear" w:color="auto" w:fill="FFFFFF"/>
        </w:rPr>
        <w:t>6</w:t>
      </w:r>
      <w:r>
        <w:rPr>
          <w:rFonts w:ascii="Century Gothic" w:hAnsi="Century Gothic"/>
          <w:shd w:val="clear" w:color="auto" w:fill="FFFFFF"/>
        </w:rPr>
        <w:t xml:space="preserve">. </w:t>
      </w:r>
    </w:p>
    <w:p w14:paraId="24B511B7" w14:textId="77777777" w:rsidR="003B2801" w:rsidRDefault="00FE2823">
      <w:pPr>
        <w:pStyle w:val="NormalWeb"/>
        <w:shd w:val="clear" w:color="auto" w:fill="FFFFFF"/>
        <w:spacing w:before="0" w:line="360" w:lineRule="auto"/>
        <w:jc w:val="center"/>
        <w:rPr>
          <w:rFonts w:ascii="Century Gothic" w:eastAsia="Century Gothic" w:hAnsi="Century Gothic" w:cs="Century Gothic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entury Gothic" w:hAnsi="Century Gothic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 T E N T A M E N T E </w:t>
      </w:r>
    </w:p>
    <w:p w14:paraId="51755EB7" w14:textId="77777777" w:rsidR="003B2801" w:rsidRDefault="00FE2823">
      <w:pPr>
        <w:pStyle w:val="NormalWeb"/>
        <w:shd w:val="clear" w:color="auto" w:fill="FFFFFF"/>
        <w:spacing w:before="0" w:line="360" w:lineRule="auto"/>
        <w:jc w:val="center"/>
        <w:rPr>
          <w:rFonts w:ascii="Century Gothic" w:eastAsia="Century Gothic" w:hAnsi="Century Gothic" w:cs="Century Gothic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entury Gothic" w:hAnsi="Century Gothic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GRUPO PARLAMENTARIO DEL PARTIDO ACCI</w:t>
      </w:r>
      <w:r>
        <w:rPr>
          <w:rFonts w:ascii="Century Gothic" w:hAnsi="Century Gothic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ON NACIONAL</w:t>
      </w:r>
    </w:p>
    <w:p w14:paraId="1EBF6607" w14:textId="77777777" w:rsidR="003B2801" w:rsidRDefault="003B2801">
      <w:pPr>
        <w:pStyle w:val="BodyC"/>
        <w:rPr>
          <w:rFonts w:ascii="Century Gothic" w:eastAsia="Century Gothic" w:hAnsi="Century Gothic" w:cs="Century Gothic"/>
          <w:b/>
          <w:bCs/>
          <w:kern w:val="2"/>
        </w:rPr>
      </w:pPr>
    </w:p>
    <w:p w14:paraId="2FB9E253" w14:textId="77777777" w:rsidR="003B2801" w:rsidRDefault="003B2801">
      <w:pPr>
        <w:pStyle w:val="BodyC"/>
        <w:rPr>
          <w:rFonts w:ascii="Century Gothic" w:eastAsia="Century Gothic" w:hAnsi="Century Gothic" w:cs="Century Gothic"/>
          <w:b/>
          <w:bCs/>
          <w:kern w:val="2"/>
        </w:rPr>
      </w:pPr>
    </w:p>
    <w:p w14:paraId="092C6472" w14:textId="77777777" w:rsidR="003B2801" w:rsidRDefault="003B2801">
      <w:pPr>
        <w:pStyle w:val="BodyC"/>
        <w:rPr>
          <w:rFonts w:ascii="Century Gothic" w:eastAsia="Century Gothic" w:hAnsi="Century Gothic" w:cs="Century Gothic"/>
          <w:b/>
          <w:bCs/>
          <w:kern w:val="2"/>
        </w:rPr>
      </w:pPr>
    </w:p>
    <w:p w14:paraId="0716182C" w14:textId="77777777" w:rsidR="003B2801" w:rsidRDefault="00FE2823">
      <w:pPr>
        <w:pStyle w:val="BodyC"/>
        <w:tabs>
          <w:tab w:val="left" w:pos="6120"/>
        </w:tabs>
        <w:spacing w:after="160" w:line="360" w:lineRule="auto"/>
        <w:jc w:val="center"/>
        <w:rPr>
          <w:rFonts w:ascii="Century Gothic" w:eastAsia="Century Gothic" w:hAnsi="Century Gothic" w:cs="Century Gothic"/>
          <w:b/>
          <w:bCs/>
          <w:shd w:val="clear" w:color="auto" w:fill="FFFFFF"/>
        </w:rPr>
        <w:sectPr w:rsidR="003B2801">
          <w:headerReference w:type="default" r:id="rId6"/>
          <w:pgSz w:w="12240" w:h="15840"/>
          <w:pgMar w:top="1417" w:right="1701" w:bottom="1417" w:left="1701" w:header="708" w:footer="708" w:gutter="0"/>
          <w:cols w:space="720"/>
        </w:sectPr>
      </w:pPr>
      <w:r>
        <w:rPr>
          <w:rFonts w:ascii="Century Gothic" w:hAnsi="Century Gothic"/>
          <w:b/>
          <w:bCs/>
          <w:shd w:val="clear" w:color="auto" w:fill="FFFFFF"/>
        </w:rPr>
        <w:t>DIP. ISMAEL PÉREZ PAVÍA</w:t>
      </w:r>
    </w:p>
    <w:p w14:paraId="75AA10A5" w14:textId="77777777" w:rsidR="003B2801" w:rsidRDefault="003B2801">
      <w:pPr>
        <w:pStyle w:val="BodyC"/>
        <w:spacing w:line="360" w:lineRule="auto"/>
        <w:sectPr w:rsidR="003B2801">
          <w:type w:val="continuous"/>
          <w:pgSz w:w="12240" w:h="15840"/>
          <w:pgMar w:top="1417" w:right="1701" w:bottom="1417" w:left="1701" w:header="708" w:footer="708" w:gutter="0"/>
          <w:cols w:num="2" w:space="720"/>
        </w:sectPr>
      </w:pPr>
    </w:p>
    <w:p w14:paraId="184D80C8" w14:textId="77777777" w:rsidR="003B2801" w:rsidRDefault="003B2801">
      <w:pPr>
        <w:pStyle w:val="BodyC"/>
        <w:spacing w:line="360" w:lineRule="auto"/>
        <w:jc w:val="center"/>
        <w:rPr>
          <w:rFonts w:ascii="Century Gothic" w:eastAsia="Century Gothic" w:hAnsi="Century Gothic" w:cs="Century Gothic"/>
          <w:b/>
          <w:bCs/>
        </w:rPr>
      </w:pPr>
    </w:p>
    <w:p w14:paraId="70522F47" w14:textId="77777777" w:rsidR="003B2801" w:rsidRDefault="003B2801">
      <w:pPr>
        <w:pStyle w:val="BodyC"/>
        <w:spacing w:line="360" w:lineRule="auto"/>
        <w:jc w:val="center"/>
        <w:rPr>
          <w:rFonts w:ascii="Century Gothic" w:eastAsia="Century Gothic" w:hAnsi="Century Gothic" w:cs="Century Gothic"/>
          <w:b/>
          <w:bCs/>
        </w:rPr>
      </w:pPr>
    </w:p>
    <w:p w14:paraId="1BECA098" w14:textId="77777777" w:rsidR="003B2801" w:rsidRDefault="00FE2823">
      <w:pPr>
        <w:pStyle w:val="BodyCA"/>
        <w:tabs>
          <w:tab w:val="left" w:pos="6120"/>
        </w:tabs>
        <w:spacing w:line="360" w:lineRule="auto"/>
        <w:jc w:val="center"/>
        <w:rPr>
          <w:rFonts w:ascii="Century Gothic" w:eastAsia="Century Gothic" w:hAnsi="Century Gothic" w:cs="Century Gothic"/>
          <w:b/>
          <w:bCs/>
        </w:rPr>
      </w:pPr>
      <w:r>
        <w:rPr>
          <w:rFonts w:ascii="Arial" w:hAnsi="Arial"/>
          <w:b/>
          <w:bCs/>
        </w:rPr>
        <w:t xml:space="preserve"> </w:t>
      </w:r>
      <w:r>
        <w:rPr>
          <w:rFonts w:ascii="Century Gothic" w:hAnsi="Century Gothic"/>
          <w:b/>
          <w:bCs/>
        </w:rPr>
        <w:t>DIP. JOSÉ ALFREDO CHÁVEZ MADRID</w:t>
      </w:r>
    </w:p>
    <w:p w14:paraId="5FD9ACFA" w14:textId="77777777" w:rsidR="003B2801" w:rsidRDefault="003B2801">
      <w:pPr>
        <w:pStyle w:val="BodyCA"/>
        <w:tabs>
          <w:tab w:val="left" w:pos="6120"/>
        </w:tabs>
        <w:spacing w:line="360" w:lineRule="auto"/>
        <w:jc w:val="center"/>
        <w:rPr>
          <w:rFonts w:ascii="Century Gothic" w:eastAsia="Century Gothic" w:hAnsi="Century Gothic" w:cs="Century Gothic"/>
          <w:b/>
          <w:bCs/>
        </w:rPr>
      </w:pPr>
    </w:p>
    <w:p w14:paraId="3CCDD0C8" w14:textId="77777777" w:rsidR="003B2801" w:rsidRDefault="003B2801">
      <w:pPr>
        <w:pStyle w:val="BodyCA"/>
        <w:tabs>
          <w:tab w:val="left" w:pos="6120"/>
        </w:tabs>
        <w:spacing w:line="360" w:lineRule="auto"/>
        <w:jc w:val="center"/>
        <w:rPr>
          <w:rFonts w:ascii="Century Gothic" w:eastAsia="Century Gothic" w:hAnsi="Century Gothic" w:cs="Century Gothic"/>
          <w:b/>
          <w:bCs/>
        </w:rPr>
      </w:pPr>
    </w:p>
    <w:p w14:paraId="3ECF59F4" w14:textId="77777777" w:rsidR="003B2801" w:rsidRDefault="00FE2823">
      <w:pPr>
        <w:pStyle w:val="BodyCA"/>
        <w:tabs>
          <w:tab w:val="left" w:pos="6120"/>
        </w:tabs>
        <w:spacing w:line="360" w:lineRule="auto"/>
        <w:jc w:val="center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hAnsi="Century Gothic"/>
          <w:b/>
          <w:bCs/>
        </w:rPr>
        <w:t>DIP. ARTURO ZUBIA</w:t>
      </w:r>
    </w:p>
    <w:p w14:paraId="33BAC28E" w14:textId="77777777" w:rsidR="003B2801" w:rsidRDefault="00FE2823">
      <w:pPr>
        <w:pStyle w:val="BodyCA"/>
        <w:tabs>
          <w:tab w:val="left" w:pos="6120"/>
        </w:tabs>
        <w:spacing w:line="360" w:lineRule="auto"/>
        <w:jc w:val="center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hAnsi="Century Gothic"/>
          <w:b/>
          <w:bCs/>
        </w:rPr>
        <w:t>FERNÁNDEZ</w:t>
      </w:r>
    </w:p>
    <w:p w14:paraId="1EC67E0E" w14:textId="77777777" w:rsidR="003B2801" w:rsidRDefault="003B2801">
      <w:pPr>
        <w:pStyle w:val="BodyCA"/>
        <w:tabs>
          <w:tab w:val="left" w:pos="6120"/>
        </w:tabs>
        <w:spacing w:line="360" w:lineRule="auto"/>
        <w:jc w:val="center"/>
        <w:rPr>
          <w:rFonts w:ascii="Century Gothic" w:eastAsia="Century Gothic" w:hAnsi="Century Gothic" w:cs="Century Gothic"/>
          <w:b/>
          <w:bCs/>
        </w:rPr>
      </w:pPr>
    </w:p>
    <w:p w14:paraId="3FDEA8F7" w14:textId="77777777" w:rsidR="003B2801" w:rsidRDefault="003B2801">
      <w:pPr>
        <w:pStyle w:val="BodyCA"/>
        <w:tabs>
          <w:tab w:val="left" w:pos="6120"/>
        </w:tabs>
        <w:spacing w:line="360" w:lineRule="auto"/>
        <w:jc w:val="center"/>
        <w:rPr>
          <w:rFonts w:ascii="Century Gothic" w:eastAsia="Century Gothic" w:hAnsi="Century Gothic" w:cs="Century Gothic"/>
          <w:b/>
          <w:bCs/>
        </w:rPr>
      </w:pPr>
    </w:p>
    <w:p w14:paraId="5C04E951" w14:textId="77777777" w:rsidR="003B2801" w:rsidRDefault="00FE2823">
      <w:pPr>
        <w:pStyle w:val="BodyCA"/>
        <w:tabs>
          <w:tab w:val="left" w:pos="6120"/>
        </w:tabs>
        <w:spacing w:line="360" w:lineRule="auto"/>
        <w:jc w:val="center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hAnsi="Century Gothic"/>
          <w:b/>
          <w:bCs/>
        </w:rPr>
        <w:t>DIP. EDNA XÓCHITL CONTRERAS</w:t>
      </w:r>
    </w:p>
    <w:p w14:paraId="43779D3F" w14:textId="77777777" w:rsidR="003B2801" w:rsidRDefault="00FE2823">
      <w:pPr>
        <w:pStyle w:val="BodyCA"/>
        <w:tabs>
          <w:tab w:val="left" w:pos="6120"/>
        </w:tabs>
        <w:spacing w:line="360" w:lineRule="auto"/>
        <w:jc w:val="center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hAnsi="Century Gothic"/>
          <w:b/>
          <w:bCs/>
        </w:rPr>
        <w:t>HERRERA</w:t>
      </w:r>
    </w:p>
    <w:p w14:paraId="5ED8450A" w14:textId="77777777" w:rsidR="003B2801" w:rsidRDefault="003B2801">
      <w:pPr>
        <w:pStyle w:val="BodyCA"/>
        <w:tabs>
          <w:tab w:val="left" w:pos="6120"/>
        </w:tabs>
        <w:spacing w:line="360" w:lineRule="auto"/>
        <w:jc w:val="center"/>
        <w:rPr>
          <w:rFonts w:ascii="Century Gothic" w:eastAsia="Century Gothic" w:hAnsi="Century Gothic" w:cs="Century Gothic"/>
          <w:b/>
          <w:bCs/>
        </w:rPr>
      </w:pPr>
    </w:p>
    <w:p w14:paraId="29DD7197" w14:textId="77777777" w:rsidR="003B2801" w:rsidRDefault="003B2801">
      <w:pPr>
        <w:pStyle w:val="BodyCA"/>
        <w:tabs>
          <w:tab w:val="left" w:pos="6120"/>
        </w:tabs>
        <w:spacing w:line="360" w:lineRule="auto"/>
        <w:jc w:val="center"/>
        <w:rPr>
          <w:rFonts w:ascii="Century Gothic" w:eastAsia="Century Gothic" w:hAnsi="Century Gothic" w:cs="Century Gothic"/>
          <w:b/>
          <w:bCs/>
        </w:rPr>
      </w:pPr>
    </w:p>
    <w:p w14:paraId="2F5B8958" w14:textId="77777777" w:rsidR="003B2801" w:rsidRDefault="00FE2823">
      <w:pPr>
        <w:pStyle w:val="BodyCA"/>
        <w:tabs>
          <w:tab w:val="left" w:pos="6120"/>
        </w:tabs>
        <w:spacing w:line="360" w:lineRule="auto"/>
        <w:jc w:val="center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hAnsi="Century Gothic"/>
          <w:b/>
          <w:bCs/>
        </w:rPr>
        <w:t>DIP. ROBERTO MARCELINO CARREÓN HUITRÓN</w:t>
      </w:r>
    </w:p>
    <w:p w14:paraId="65B0C67D" w14:textId="77777777" w:rsidR="003B2801" w:rsidRDefault="003B2801">
      <w:pPr>
        <w:pStyle w:val="BodyCA"/>
        <w:tabs>
          <w:tab w:val="left" w:pos="6120"/>
        </w:tabs>
        <w:spacing w:line="360" w:lineRule="auto"/>
        <w:jc w:val="center"/>
        <w:rPr>
          <w:rFonts w:ascii="Century Gothic" w:eastAsia="Century Gothic" w:hAnsi="Century Gothic" w:cs="Century Gothic"/>
          <w:b/>
          <w:bCs/>
        </w:rPr>
      </w:pPr>
    </w:p>
    <w:p w14:paraId="49BB9B3A" w14:textId="77777777" w:rsidR="003B2801" w:rsidRDefault="003B2801">
      <w:pPr>
        <w:pStyle w:val="BodyCA"/>
        <w:tabs>
          <w:tab w:val="left" w:pos="6120"/>
        </w:tabs>
        <w:spacing w:line="360" w:lineRule="auto"/>
        <w:jc w:val="center"/>
        <w:rPr>
          <w:rFonts w:ascii="Century Gothic" w:eastAsia="Century Gothic" w:hAnsi="Century Gothic" w:cs="Century Gothic"/>
          <w:b/>
          <w:bCs/>
        </w:rPr>
      </w:pPr>
    </w:p>
    <w:p w14:paraId="15466C08" w14:textId="37F9935F" w:rsidR="003B2801" w:rsidRDefault="00FE2823" w:rsidP="00E73E1D">
      <w:pPr>
        <w:pStyle w:val="BodyCA"/>
        <w:tabs>
          <w:tab w:val="left" w:pos="6120"/>
        </w:tabs>
        <w:spacing w:line="360" w:lineRule="auto"/>
        <w:jc w:val="center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hAnsi="Century Gothic"/>
          <w:b/>
          <w:bCs/>
        </w:rPr>
        <w:t>DIP. SAÚL MIRELES CORRA</w:t>
      </w:r>
      <w:r w:rsidR="00E73E1D">
        <w:rPr>
          <w:rFonts w:ascii="Century Gothic" w:hAnsi="Century Gothic"/>
          <w:b/>
          <w:bCs/>
        </w:rPr>
        <w:t>L</w:t>
      </w:r>
    </w:p>
    <w:p w14:paraId="2079D1F4" w14:textId="77777777" w:rsidR="003B2801" w:rsidRDefault="003B2801" w:rsidP="00E73E1D">
      <w:pPr>
        <w:pStyle w:val="BodyCA"/>
        <w:tabs>
          <w:tab w:val="left" w:pos="6120"/>
        </w:tabs>
        <w:spacing w:line="360" w:lineRule="auto"/>
        <w:rPr>
          <w:rFonts w:ascii="Century Gothic" w:eastAsia="Century Gothic" w:hAnsi="Century Gothic" w:cs="Century Gothic"/>
          <w:b/>
          <w:bCs/>
        </w:rPr>
      </w:pPr>
    </w:p>
    <w:p w14:paraId="7C784DE3" w14:textId="77777777" w:rsidR="003B2801" w:rsidRDefault="003B2801">
      <w:pPr>
        <w:pStyle w:val="BodyCA"/>
        <w:tabs>
          <w:tab w:val="left" w:pos="6120"/>
        </w:tabs>
        <w:spacing w:line="360" w:lineRule="auto"/>
        <w:jc w:val="center"/>
        <w:rPr>
          <w:rFonts w:ascii="Century Gothic" w:eastAsia="Century Gothic" w:hAnsi="Century Gothic" w:cs="Century Gothic"/>
          <w:b/>
          <w:bCs/>
        </w:rPr>
      </w:pPr>
    </w:p>
    <w:p w14:paraId="2E50EBE9" w14:textId="77777777" w:rsidR="003B2801" w:rsidRDefault="00FE2823">
      <w:pPr>
        <w:pStyle w:val="BodyCA"/>
        <w:tabs>
          <w:tab w:val="left" w:pos="6120"/>
        </w:tabs>
        <w:spacing w:line="360" w:lineRule="auto"/>
        <w:jc w:val="center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hAnsi="Century Gothic"/>
          <w:b/>
          <w:bCs/>
        </w:rPr>
        <w:t>DIP. JORGE CARLOS</w:t>
      </w:r>
    </w:p>
    <w:p w14:paraId="71771971" w14:textId="77777777" w:rsidR="003B2801" w:rsidRDefault="00FE2823">
      <w:pPr>
        <w:pStyle w:val="BodyCA"/>
        <w:tabs>
          <w:tab w:val="left" w:pos="6120"/>
        </w:tabs>
        <w:spacing w:line="360" w:lineRule="auto"/>
        <w:jc w:val="center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hAnsi="Century Gothic"/>
          <w:b/>
          <w:bCs/>
        </w:rPr>
        <w:t>SOTO PRIETO</w:t>
      </w:r>
    </w:p>
    <w:p w14:paraId="0117EF0D" w14:textId="77777777" w:rsidR="003B2801" w:rsidRDefault="003B2801">
      <w:pPr>
        <w:pStyle w:val="BodyCA"/>
        <w:tabs>
          <w:tab w:val="left" w:pos="6120"/>
        </w:tabs>
        <w:spacing w:line="360" w:lineRule="auto"/>
        <w:rPr>
          <w:rFonts w:ascii="Century Gothic" w:eastAsia="Century Gothic" w:hAnsi="Century Gothic" w:cs="Century Gothic"/>
          <w:b/>
          <w:bCs/>
        </w:rPr>
      </w:pPr>
    </w:p>
    <w:p w14:paraId="0E3A87E3" w14:textId="77777777" w:rsidR="003B2801" w:rsidRDefault="003B2801">
      <w:pPr>
        <w:pStyle w:val="BodyCA"/>
        <w:tabs>
          <w:tab w:val="left" w:pos="6120"/>
        </w:tabs>
        <w:spacing w:line="360" w:lineRule="auto"/>
        <w:rPr>
          <w:rFonts w:ascii="Century Gothic" w:eastAsia="Century Gothic" w:hAnsi="Century Gothic" w:cs="Century Gothic"/>
          <w:b/>
          <w:bCs/>
        </w:rPr>
      </w:pPr>
    </w:p>
    <w:p w14:paraId="767BD1D9" w14:textId="77777777" w:rsidR="003B2801" w:rsidRDefault="00FE2823">
      <w:pPr>
        <w:pStyle w:val="BodyCA"/>
        <w:tabs>
          <w:tab w:val="left" w:pos="6120"/>
        </w:tabs>
        <w:spacing w:line="360" w:lineRule="auto"/>
        <w:jc w:val="center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hAnsi="Century Gothic"/>
          <w:b/>
          <w:bCs/>
        </w:rPr>
        <w:t>DIP. CARLOS ALFREDO OLSON SAN VICENTE</w:t>
      </w:r>
    </w:p>
    <w:p w14:paraId="072E7AFE" w14:textId="77777777" w:rsidR="003B2801" w:rsidRDefault="003B2801">
      <w:pPr>
        <w:pStyle w:val="BodyCA"/>
        <w:tabs>
          <w:tab w:val="left" w:pos="6120"/>
        </w:tabs>
        <w:spacing w:line="360" w:lineRule="auto"/>
        <w:jc w:val="center"/>
        <w:rPr>
          <w:rFonts w:ascii="Century Gothic" w:eastAsia="Century Gothic" w:hAnsi="Century Gothic" w:cs="Century Gothic"/>
          <w:b/>
          <w:bCs/>
        </w:rPr>
      </w:pPr>
    </w:p>
    <w:p w14:paraId="1D311574" w14:textId="77777777" w:rsidR="003B2801" w:rsidRDefault="003B2801">
      <w:pPr>
        <w:pStyle w:val="BodyCA"/>
        <w:tabs>
          <w:tab w:val="left" w:pos="6120"/>
        </w:tabs>
        <w:spacing w:line="360" w:lineRule="auto"/>
        <w:jc w:val="center"/>
        <w:rPr>
          <w:rFonts w:ascii="Century Gothic" w:eastAsia="Century Gothic" w:hAnsi="Century Gothic" w:cs="Century Gothic"/>
          <w:b/>
          <w:bCs/>
        </w:rPr>
      </w:pPr>
    </w:p>
    <w:p w14:paraId="5BC1CB14" w14:textId="77777777" w:rsidR="00E73E1D" w:rsidRDefault="00E73E1D">
      <w:pPr>
        <w:pStyle w:val="BodyCA"/>
        <w:tabs>
          <w:tab w:val="left" w:pos="6120"/>
        </w:tabs>
        <w:spacing w:line="360" w:lineRule="auto"/>
        <w:jc w:val="center"/>
        <w:rPr>
          <w:rFonts w:ascii="Century Gothic" w:hAnsi="Century Gothic"/>
          <w:b/>
          <w:bCs/>
        </w:rPr>
      </w:pPr>
    </w:p>
    <w:p w14:paraId="6193A17D" w14:textId="77777777" w:rsidR="00E73E1D" w:rsidRDefault="00E73E1D">
      <w:pPr>
        <w:pStyle w:val="BodyCA"/>
        <w:tabs>
          <w:tab w:val="left" w:pos="6120"/>
        </w:tabs>
        <w:spacing w:line="360" w:lineRule="auto"/>
        <w:jc w:val="center"/>
        <w:rPr>
          <w:rFonts w:ascii="Century Gothic" w:hAnsi="Century Gothic"/>
          <w:b/>
          <w:bCs/>
        </w:rPr>
      </w:pPr>
    </w:p>
    <w:p w14:paraId="7F10B8F0" w14:textId="3498B63A" w:rsidR="003B2801" w:rsidRDefault="00FE2823">
      <w:pPr>
        <w:pStyle w:val="BodyCA"/>
        <w:tabs>
          <w:tab w:val="left" w:pos="6120"/>
        </w:tabs>
        <w:spacing w:line="360" w:lineRule="auto"/>
        <w:jc w:val="center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hAnsi="Century Gothic"/>
          <w:b/>
          <w:bCs/>
        </w:rPr>
        <w:t xml:space="preserve">DIP. </w:t>
      </w:r>
      <w:r>
        <w:rPr>
          <w:rFonts w:ascii="Century Gothic" w:hAnsi="Century Gothic"/>
          <w:b/>
          <w:bCs/>
        </w:rPr>
        <w:t>JOCELINE VEGA VARGAS</w:t>
      </w:r>
    </w:p>
    <w:p w14:paraId="3F93B910" w14:textId="77777777" w:rsidR="003B2801" w:rsidRDefault="003B2801">
      <w:pPr>
        <w:pStyle w:val="BodyCA"/>
        <w:tabs>
          <w:tab w:val="left" w:pos="6120"/>
        </w:tabs>
        <w:spacing w:line="360" w:lineRule="auto"/>
        <w:jc w:val="center"/>
        <w:rPr>
          <w:rFonts w:ascii="Century Gothic" w:eastAsia="Century Gothic" w:hAnsi="Century Gothic" w:cs="Century Gothic"/>
          <w:b/>
          <w:bCs/>
        </w:rPr>
      </w:pPr>
    </w:p>
    <w:p w14:paraId="212F679E" w14:textId="77777777" w:rsidR="003B2801" w:rsidRDefault="003B2801">
      <w:pPr>
        <w:pStyle w:val="BodyCA"/>
        <w:tabs>
          <w:tab w:val="left" w:pos="6120"/>
        </w:tabs>
        <w:spacing w:line="360" w:lineRule="auto"/>
        <w:rPr>
          <w:rFonts w:ascii="Century Gothic" w:eastAsia="Century Gothic" w:hAnsi="Century Gothic" w:cs="Century Gothic"/>
          <w:b/>
          <w:bCs/>
        </w:rPr>
      </w:pPr>
    </w:p>
    <w:p w14:paraId="32A6D2D8" w14:textId="77777777" w:rsidR="003B2801" w:rsidRDefault="003B2801">
      <w:pPr>
        <w:pStyle w:val="BodyCA"/>
        <w:tabs>
          <w:tab w:val="left" w:pos="6120"/>
        </w:tabs>
        <w:spacing w:line="360" w:lineRule="auto"/>
        <w:jc w:val="center"/>
        <w:rPr>
          <w:rFonts w:ascii="Century Gothic" w:eastAsia="Century Gothic" w:hAnsi="Century Gothic" w:cs="Century Gothic"/>
          <w:b/>
          <w:bCs/>
        </w:rPr>
      </w:pPr>
    </w:p>
    <w:p w14:paraId="44F37605" w14:textId="77777777" w:rsidR="003B2801" w:rsidRDefault="00FE2823">
      <w:pPr>
        <w:pStyle w:val="BodyCA"/>
        <w:tabs>
          <w:tab w:val="left" w:pos="6120"/>
        </w:tabs>
        <w:spacing w:line="360" w:lineRule="auto"/>
        <w:jc w:val="center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hAnsi="Century Gothic"/>
          <w:b/>
          <w:bCs/>
        </w:rPr>
        <w:t>DIP. YESENIA GUADALUPE REYES CALZADÍAS</w:t>
      </w:r>
    </w:p>
    <w:p w14:paraId="4B037795" w14:textId="77777777" w:rsidR="003B2801" w:rsidRDefault="003B2801">
      <w:pPr>
        <w:pStyle w:val="BodyCA"/>
        <w:tabs>
          <w:tab w:val="left" w:pos="6120"/>
        </w:tabs>
        <w:spacing w:line="360" w:lineRule="auto"/>
        <w:jc w:val="center"/>
        <w:rPr>
          <w:rFonts w:ascii="Century Gothic" w:eastAsia="Century Gothic" w:hAnsi="Century Gothic" w:cs="Century Gothic"/>
          <w:b/>
          <w:bCs/>
        </w:rPr>
      </w:pPr>
    </w:p>
    <w:p w14:paraId="5F0F59D5" w14:textId="77777777" w:rsidR="003B2801" w:rsidRDefault="003B2801">
      <w:pPr>
        <w:pStyle w:val="BodyCA"/>
        <w:tabs>
          <w:tab w:val="left" w:pos="6120"/>
        </w:tabs>
        <w:spacing w:line="360" w:lineRule="auto"/>
        <w:jc w:val="center"/>
        <w:rPr>
          <w:rFonts w:ascii="Century Gothic" w:eastAsia="Century Gothic" w:hAnsi="Century Gothic" w:cs="Century Gothic"/>
          <w:b/>
          <w:bCs/>
        </w:rPr>
      </w:pPr>
    </w:p>
    <w:p w14:paraId="6AF61DE3" w14:textId="77777777" w:rsidR="003B2801" w:rsidRDefault="00FE2823">
      <w:pPr>
        <w:pStyle w:val="BodyCA"/>
        <w:tabs>
          <w:tab w:val="left" w:pos="6120"/>
        </w:tabs>
        <w:spacing w:line="360" w:lineRule="auto"/>
        <w:jc w:val="center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hAnsi="Century Gothic"/>
          <w:b/>
          <w:bCs/>
        </w:rPr>
        <w:t>DIP. CARLA YAMILETH RIVAS MARTÍNEZ</w:t>
      </w:r>
    </w:p>
    <w:p w14:paraId="4BD122E1" w14:textId="77777777" w:rsidR="00E73E1D" w:rsidRDefault="00E73E1D" w:rsidP="00E73E1D">
      <w:pPr>
        <w:pStyle w:val="BodyCA"/>
        <w:tabs>
          <w:tab w:val="left" w:pos="6120"/>
        </w:tabs>
        <w:spacing w:after="160" w:line="360" w:lineRule="auto"/>
        <w:rPr>
          <w:rFonts w:ascii="Century Gothic" w:eastAsia="Century Gothic" w:hAnsi="Century Gothic" w:cs="Century Gothic"/>
        </w:rPr>
      </w:pPr>
    </w:p>
    <w:p w14:paraId="5AEE4CB5" w14:textId="77777777" w:rsidR="00E73E1D" w:rsidRDefault="00E73E1D" w:rsidP="00E73E1D">
      <w:pPr>
        <w:pStyle w:val="BodyCA"/>
        <w:tabs>
          <w:tab w:val="left" w:pos="6120"/>
        </w:tabs>
        <w:spacing w:after="160" w:line="360" w:lineRule="auto"/>
        <w:rPr>
          <w:rFonts w:ascii="Century Gothic" w:eastAsia="Century Gothic" w:hAnsi="Century Gothic" w:cs="Century Gothic"/>
        </w:rPr>
      </w:pPr>
    </w:p>
    <w:p w14:paraId="0F3DB894" w14:textId="77777777" w:rsidR="003B2801" w:rsidRDefault="00FE2823">
      <w:pPr>
        <w:pStyle w:val="BodyCA"/>
        <w:tabs>
          <w:tab w:val="left" w:pos="6120"/>
        </w:tabs>
        <w:spacing w:after="160" w:line="360" w:lineRule="auto"/>
        <w:jc w:val="center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hAnsi="Century Gothic"/>
          <w:b/>
          <w:bCs/>
        </w:rPr>
        <w:t>DIP. NANCY JANETH</w:t>
      </w:r>
    </w:p>
    <w:p w14:paraId="5DC57D12" w14:textId="4C6EF757" w:rsidR="00E73E1D" w:rsidRDefault="00FE2823" w:rsidP="00E73E1D">
      <w:pPr>
        <w:pStyle w:val="BodyCA"/>
        <w:tabs>
          <w:tab w:val="left" w:pos="6120"/>
        </w:tabs>
        <w:spacing w:after="160" w:line="360" w:lineRule="auto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FRÍAS </w:t>
      </w:r>
      <w:proofErr w:type="spellStart"/>
      <w:r>
        <w:rPr>
          <w:rFonts w:ascii="Century Gothic" w:hAnsi="Century Gothic"/>
          <w:b/>
          <w:bCs/>
        </w:rPr>
        <w:t>FRÍA</w:t>
      </w:r>
      <w:r w:rsidR="00B853F8">
        <w:rPr>
          <w:rFonts w:ascii="Century Gothic" w:hAnsi="Century Gothic"/>
          <w:b/>
          <w:bCs/>
        </w:rPr>
        <w:t>S</w:t>
      </w:r>
      <w:proofErr w:type="spellEnd"/>
    </w:p>
    <w:p w14:paraId="7224B3BD" w14:textId="77777777" w:rsidR="00E73E1D" w:rsidRDefault="00E73E1D" w:rsidP="00E73E1D">
      <w:pPr>
        <w:pStyle w:val="BodyCA"/>
        <w:tabs>
          <w:tab w:val="left" w:pos="6120"/>
        </w:tabs>
        <w:spacing w:after="160" w:line="360" w:lineRule="auto"/>
        <w:rPr>
          <w:rFonts w:ascii="Century Gothic" w:hAnsi="Century Gothic"/>
          <w:b/>
          <w:bCs/>
        </w:rPr>
      </w:pPr>
    </w:p>
    <w:p w14:paraId="0C9CAFDD" w14:textId="1370D6E6" w:rsidR="00E73E1D" w:rsidRDefault="00E73E1D" w:rsidP="00E73E1D">
      <w:pPr>
        <w:pStyle w:val="BodyCA"/>
        <w:tabs>
          <w:tab w:val="left" w:pos="6120"/>
        </w:tabs>
        <w:spacing w:after="160" w:line="360" w:lineRule="auto"/>
        <w:jc w:val="center"/>
        <w:sectPr w:rsidR="00E73E1D" w:rsidSect="00E73E1D">
          <w:headerReference w:type="default" r:id="rId7"/>
          <w:pgSz w:w="12240" w:h="15840"/>
          <w:pgMar w:top="1417" w:right="1701" w:bottom="1417" w:left="1701" w:header="708" w:footer="708" w:gutter="0"/>
          <w:cols w:num="2" w:space="720"/>
        </w:sectPr>
      </w:pPr>
      <w:r>
        <w:rPr>
          <w:rFonts w:ascii="Century Gothic" w:hAnsi="Century Gothic"/>
          <w:b/>
          <w:bCs/>
        </w:rPr>
        <w:t>DIP. JAIME TORRES AMA</w:t>
      </w:r>
      <w:r w:rsidR="009572F4">
        <w:rPr>
          <w:rFonts w:ascii="Century Gothic" w:hAnsi="Century Gothic"/>
          <w:b/>
          <w:bCs/>
        </w:rPr>
        <w:t>Y</w:t>
      </w:r>
      <w:r w:rsidR="00037515">
        <w:rPr>
          <w:rFonts w:ascii="Century Gothic" w:hAnsi="Century Gothic"/>
          <w:b/>
          <w:bCs/>
        </w:rPr>
        <w:t>A</w:t>
      </w:r>
    </w:p>
    <w:p w14:paraId="4DDEC142" w14:textId="77777777" w:rsidR="00E73E1D" w:rsidRDefault="00E73E1D" w:rsidP="00E67934">
      <w:pPr>
        <w:pStyle w:val="BodyCA"/>
        <w:tabs>
          <w:tab w:val="left" w:pos="6120"/>
        </w:tabs>
        <w:spacing w:after="160" w:line="360" w:lineRule="auto"/>
        <w:sectPr w:rsidR="00E73E1D">
          <w:headerReference w:type="default" r:id="rId8"/>
          <w:pgSz w:w="12240" w:h="15840"/>
          <w:pgMar w:top="1417" w:right="1701" w:bottom="1417" w:left="1701" w:header="708" w:footer="708" w:gutter="0"/>
          <w:cols w:num="2" w:space="720"/>
        </w:sectPr>
      </w:pPr>
    </w:p>
    <w:p w14:paraId="75A8E35B" w14:textId="77777777" w:rsidR="003B2801" w:rsidRDefault="003B2801">
      <w:pPr>
        <w:pStyle w:val="BodyA"/>
        <w:spacing w:line="360" w:lineRule="auto"/>
        <w:jc w:val="both"/>
        <w:rPr>
          <w:rFonts w:ascii="Arial" w:eastAsia="Arial" w:hAnsi="Arial" w:cs="Arial"/>
          <w:b/>
          <w:bCs/>
          <w:sz w:val="36"/>
          <w:szCs w:val="36"/>
        </w:rPr>
      </w:pPr>
    </w:p>
    <w:sectPr w:rsidR="003B2801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E66EF" w14:textId="77777777" w:rsidR="008B4825" w:rsidRDefault="008B4825">
      <w:r>
        <w:separator/>
      </w:r>
    </w:p>
  </w:endnote>
  <w:endnote w:type="continuationSeparator" w:id="0">
    <w:p w14:paraId="3CE6743E" w14:textId="77777777" w:rsidR="008B4825" w:rsidRDefault="008B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445A2" w14:textId="77777777" w:rsidR="003B2801" w:rsidRDefault="003B2801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8F90D" w14:textId="77777777" w:rsidR="008B4825" w:rsidRDefault="008B4825">
      <w:r>
        <w:separator/>
      </w:r>
    </w:p>
  </w:footnote>
  <w:footnote w:type="continuationSeparator" w:id="0">
    <w:p w14:paraId="55E9282C" w14:textId="77777777" w:rsidR="008B4825" w:rsidRDefault="008B4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2746D" w14:textId="4D7CB287" w:rsidR="003B2801" w:rsidRDefault="000516EE">
    <w:pPr>
      <w:pStyle w:val="HeaderFooterA"/>
      <w:tabs>
        <w:tab w:val="clear" w:pos="9020"/>
        <w:tab w:val="left" w:pos="3703"/>
      </w:tabs>
    </w:pPr>
    <w:r>
      <w:rPr>
        <w:noProof/>
      </w:rPr>
      <mc:AlternateContent>
        <mc:Choice Requires="wps">
          <w:drawing>
            <wp:anchor distT="152400" distB="152400" distL="152400" distR="152400" simplePos="0" relativeHeight="251665408" behindDoc="1" locked="0" layoutInCell="1" allowOverlap="1" wp14:anchorId="43D9B5AA" wp14:editId="6ADF8241">
              <wp:simplePos x="0" y="0"/>
              <wp:positionH relativeFrom="page">
                <wp:posOffset>1080135</wp:posOffset>
              </wp:positionH>
              <wp:positionV relativeFrom="page">
                <wp:posOffset>432012</wp:posOffset>
              </wp:positionV>
              <wp:extent cx="5311367" cy="883284"/>
              <wp:effectExtent l="0" t="0" r="0" b="0"/>
              <wp:wrapNone/>
              <wp:docPr id="1073741826" name="officeArt object" descr="Forma lib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11367" cy="883284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1976EB6" w14:textId="77777777" w:rsidR="000516EE" w:rsidRDefault="000516EE" w:rsidP="000516EE">
                          <w:pPr>
                            <w:pStyle w:val="BodyA"/>
                            <w:spacing w:before="1" w:line="206" w:lineRule="auto"/>
                            <w:ind w:left="2058"/>
                            <w:jc w:val="right"/>
                            <w:rPr>
                              <w:i/>
                              <w:iCs/>
                              <w:sz w:val="21"/>
                              <w:szCs w:val="21"/>
                            </w:rPr>
                          </w:pPr>
                          <w:r>
                            <w:rPr>
                              <w:i/>
                              <w:iCs/>
                              <w:sz w:val="21"/>
                              <w:szCs w:val="21"/>
                            </w:rPr>
                            <w:t>"2026, Año de Margarita Maza Parada"</w:t>
                          </w:r>
                        </w:p>
                        <w:p w14:paraId="697F235E" w14:textId="77777777" w:rsidR="000516EE" w:rsidRDefault="000516EE" w:rsidP="000516EE">
                          <w:pPr>
                            <w:pStyle w:val="BodyA"/>
                            <w:spacing w:before="1" w:line="206" w:lineRule="auto"/>
                            <w:ind w:left="2058"/>
                            <w:jc w:val="right"/>
                          </w:pPr>
                          <w:r>
                            <w:rPr>
                              <w:i/>
                              <w:iCs/>
                              <w:sz w:val="21"/>
                              <w:szCs w:val="21"/>
                            </w:rPr>
                            <w:t>“2026, Año del Bicentenario de la Abolición de la Esclavitud en el Estado de Chihuahua”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 xmlns:w16cei="http://schemas.microsoft.com/office/word/2026/wordml/cei" xmlns:oel="http://schemas.microsoft.com/office/2019/extlst">
          <w:pict>
            <v:shapetype w14:anchorId="43D9B5AA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Forma libre 1" style="position:absolute;margin-left:85.05pt;margin-top:34pt;width:418.2pt;height:69.55pt;z-index:-25165107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" filled="f" stroked="f" strokeweight="1pt">
              <v:stroke miterlimit="4"/>
              <v:textbox inset="0,0,0,0">
                <w:txbxContent>
                  <w:p w14:paraId="41976EB6" w14:textId="77777777" w:rsidR="000516EE" w:rsidRDefault="000516EE" w:rsidP="000516EE">
                    <w:pPr>
                      <w:pStyle w:val="BodyA"/>
                      <w:spacing w:before="1" w:line="206" w:lineRule="auto"/>
                      <w:ind w:left="2058"/>
                      <w:jc w:val="right"/>
                      <w:rPr>
                        <w:i/>
                        <w:iCs/>
                        <w:sz w:val="21"/>
                        <w:szCs w:val="21"/>
                      </w:rPr>
                    </w:pPr>
                    <w:r>
                      <w:rPr>
                        <w:i/>
                        <w:iCs/>
                        <w:sz w:val="21"/>
                        <w:szCs w:val="21"/>
                      </w:rPr>
                      <w:t>"2026, Año de Margarita Maza Parada"</w:t>
                    </w:r>
                  </w:p>
                  <w:p w14:paraId="697F235E" w14:textId="77777777" w:rsidR="000516EE" w:rsidRDefault="000516EE" w:rsidP="000516EE">
                    <w:pPr>
                      <w:pStyle w:val="BodyA"/>
                      <w:spacing w:before="1" w:line="206" w:lineRule="auto"/>
                      <w:ind w:left="2058"/>
                      <w:jc w:val="right"/>
                    </w:pPr>
                    <w:r>
                      <w:rPr>
                        <w:i/>
                        <w:iCs/>
                        <w:sz w:val="21"/>
                        <w:szCs w:val="21"/>
                      </w:rPr>
                      <w:t>“2026, Año del Bicentenario de la Abolición de la Esclavitud en el Estado de Chihuahua”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152400" distB="152400" distL="152400" distR="152400" simplePos="0" relativeHeight="251655168" behindDoc="1" locked="0" layoutInCell="1" allowOverlap="1" wp14:anchorId="4E3936C4" wp14:editId="03F6EBF3">
          <wp:simplePos x="0" y="0"/>
          <wp:positionH relativeFrom="page">
            <wp:posOffset>350520</wp:posOffset>
          </wp:positionH>
          <wp:positionV relativeFrom="page">
            <wp:posOffset>225941</wp:posOffset>
          </wp:positionV>
          <wp:extent cx="797443" cy="712383"/>
          <wp:effectExtent l="0" t="0" r="0" b="0"/>
          <wp:wrapNone/>
          <wp:docPr id="1073741825" name="officeArt object" descr="Descripción: LogoCongreso-Final-01 (1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escripción: LogoCongreso-Final-01 (1)" descr="Descripción: LogoCongreso-Final-01 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7443" cy="71238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7D0BC" w14:textId="0C5E61BC" w:rsidR="00E73E1D" w:rsidRDefault="00E73E1D">
    <w:pPr>
      <w:pStyle w:val="HeaderFooter"/>
    </w:pPr>
    <w:r>
      <w:rPr>
        <w:noProof/>
      </w:rPr>
      <w:drawing>
        <wp:anchor distT="152400" distB="152400" distL="152400" distR="152400" simplePos="0" relativeHeight="251662336" behindDoc="1" locked="0" layoutInCell="1" allowOverlap="1" wp14:anchorId="242B8600" wp14:editId="34C0685F">
          <wp:simplePos x="0" y="0"/>
          <wp:positionH relativeFrom="page">
            <wp:posOffset>273331</wp:posOffset>
          </wp:positionH>
          <wp:positionV relativeFrom="page">
            <wp:posOffset>171194</wp:posOffset>
          </wp:positionV>
          <wp:extent cx="797443" cy="712383"/>
          <wp:effectExtent l="0" t="0" r="0" b="0"/>
          <wp:wrapNone/>
          <wp:docPr id="117551107" name="officeArt object" descr="Descripción: LogoCongreso-Final-01 (1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Descripción: LogoCongreso-Final-01 (1)" descr="Descripción: LogoCongreso-Final-01 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7443" cy="71238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93FB3" w14:textId="1CA81F6A" w:rsidR="003B2801" w:rsidRDefault="003B2801">
    <w:pPr>
      <w:pStyle w:val="HeaderFoo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38A42" w14:textId="65154F33" w:rsidR="003B2801" w:rsidRDefault="00FE2823">
    <w:pPr>
      <w:pStyle w:val="HeaderFooterA"/>
      <w:tabs>
        <w:tab w:val="clear" w:pos="9020"/>
        <w:tab w:val="left" w:pos="3703"/>
      </w:tabs>
    </w:pPr>
    <w:r>
      <w:rPr>
        <w:noProof/>
      </w:rPr>
      <w:drawing>
        <wp:anchor distT="152400" distB="152400" distL="152400" distR="152400" simplePos="0" relativeHeight="251657216" behindDoc="1" locked="0" layoutInCell="1" allowOverlap="1" wp14:anchorId="7021ABDA" wp14:editId="56CABBEF">
          <wp:simplePos x="0" y="0"/>
          <wp:positionH relativeFrom="page">
            <wp:posOffset>228302</wp:posOffset>
          </wp:positionH>
          <wp:positionV relativeFrom="page">
            <wp:posOffset>168450</wp:posOffset>
          </wp:positionV>
          <wp:extent cx="1057275" cy="1019175"/>
          <wp:effectExtent l="0" t="0" r="0" b="0"/>
          <wp:wrapNone/>
          <wp:docPr id="1073741829" name="officeArt object" descr="Descripción: LogoCongreso-Final-01 (1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Descripción: LogoCongreso-Final-01 (1)" descr="Descripción: LogoCongreso-Final-01 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7275" cy="10191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01"/>
    <w:rsid w:val="00037515"/>
    <w:rsid w:val="00043014"/>
    <w:rsid w:val="00046DCF"/>
    <w:rsid w:val="0005125C"/>
    <w:rsid w:val="000516EE"/>
    <w:rsid w:val="000F19C4"/>
    <w:rsid w:val="00110DC2"/>
    <w:rsid w:val="001D2553"/>
    <w:rsid w:val="001F6783"/>
    <w:rsid w:val="002641A0"/>
    <w:rsid w:val="002B11BD"/>
    <w:rsid w:val="002B7ED4"/>
    <w:rsid w:val="002D7084"/>
    <w:rsid w:val="002F59B1"/>
    <w:rsid w:val="003475D5"/>
    <w:rsid w:val="00372CE3"/>
    <w:rsid w:val="0039221F"/>
    <w:rsid w:val="003B2801"/>
    <w:rsid w:val="003D42E7"/>
    <w:rsid w:val="004368A3"/>
    <w:rsid w:val="004528B2"/>
    <w:rsid w:val="004947C0"/>
    <w:rsid w:val="004B18C8"/>
    <w:rsid w:val="004D5459"/>
    <w:rsid w:val="004F604D"/>
    <w:rsid w:val="005465F4"/>
    <w:rsid w:val="005A03A4"/>
    <w:rsid w:val="005A33ED"/>
    <w:rsid w:val="00656A75"/>
    <w:rsid w:val="00670053"/>
    <w:rsid w:val="006A611C"/>
    <w:rsid w:val="006C6871"/>
    <w:rsid w:val="006E54AF"/>
    <w:rsid w:val="006F570D"/>
    <w:rsid w:val="00703CB2"/>
    <w:rsid w:val="0072705A"/>
    <w:rsid w:val="0075585F"/>
    <w:rsid w:val="007F09CB"/>
    <w:rsid w:val="008169B1"/>
    <w:rsid w:val="00890F49"/>
    <w:rsid w:val="0089399A"/>
    <w:rsid w:val="008B4825"/>
    <w:rsid w:val="008B79B5"/>
    <w:rsid w:val="00945031"/>
    <w:rsid w:val="0095163B"/>
    <w:rsid w:val="009572F4"/>
    <w:rsid w:val="00985394"/>
    <w:rsid w:val="00A2718F"/>
    <w:rsid w:val="00A34E59"/>
    <w:rsid w:val="00A55EC3"/>
    <w:rsid w:val="00A97E8D"/>
    <w:rsid w:val="00AA48F8"/>
    <w:rsid w:val="00AC49FB"/>
    <w:rsid w:val="00AD7ED6"/>
    <w:rsid w:val="00B2656A"/>
    <w:rsid w:val="00B32268"/>
    <w:rsid w:val="00B35479"/>
    <w:rsid w:val="00B71869"/>
    <w:rsid w:val="00B853F8"/>
    <w:rsid w:val="00BD287A"/>
    <w:rsid w:val="00C163C7"/>
    <w:rsid w:val="00C34F41"/>
    <w:rsid w:val="00C82C29"/>
    <w:rsid w:val="00C92F6D"/>
    <w:rsid w:val="00CF153C"/>
    <w:rsid w:val="00D169F6"/>
    <w:rsid w:val="00D912E5"/>
    <w:rsid w:val="00D932DE"/>
    <w:rsid w:val="00DA66A3"/>
    <w:rsid w:val="00DC4521"/>
    <w:rsid w:val="00DC62A7"/>
    <w:rsid w:val="00E019D7"/>
    <w:rsid w:val="00E67934"/>
    <w:rsid w:val="00E716ED"/>
    <w:rsid w:val="00E73E1D"/>
    <w:rsid w:val="00E8214F"/>
    <w:rsid w:val="00EC741E"/>
    <w:rsid w:val="00EC7AEB"/>
    <w:rsid w:val="00F10342"/>
    <w:rsid w:val="00F211DD"/>
    <w:rsid w:val="00FC2616"/>
    <w:rsid w:val="00FD3D40"/>
    <w:rsid w:val="00FD5830"/>
    <w:rsid w:val="00FE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FE4467"/>
  <w15:docId w15:val="{BD04D515-8EE8-8747-AEA0-AEB4F6A1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MX" w:eastAsia="es-MX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A">
    <w:name w:val="Header &amp; Footer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  <w:lang w:val="es-ES_tradnl"/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C">
    <w:name w:val="Body C"/>
    <w:rPr>
      <w:rFonts w:eastAsia="Times New Roman"/>
      <w:color w:val="000000"/>
      <w:sz w:val="24"/>
      <w:szCs w:val="24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CA">
    <w:name w:val="Body C A"/>
    <w:rPr>
      <w:rFonts w:cs="Arial Unicode MS"/>
      <w:color w:val="000000"/>
      <w:sz w:val="24"/>
      <w:szCs w:val="24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Encabezado">
    <w:name w:val="header"/>
    <w:basedOn w:val="Normal"/>
    <w:link w:val="EncabezadoCar"/>
    <w:uiPriority w:val="99"/>
    <w:unhideWhenUsed/>
    <w:rsid w:val="00B853F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853F8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B853F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853F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1519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Daniela Flores Chacon</dc:creator>
  <cp:lastModifiedBy>Andrea Daniela Flores Chacon</cp:lastModifiedBy>
  <cp:revision>2</cp:revision>
  <cp:lastPrinted>2026-05-05T20:19:00Z</cp:lastPrinted>
  <dcterms:created xsi:type="dcterms:W3CDTF">2026-07-15T20:10:00Z</dcterms:created>
  <dcterms:modified xsi:type="dcterms:W3CDTF">2026-07-15T20:10:00Z</dcterms:modified>
</cp:coreProperties>
</file>