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04C5B" w14:textId="77777777" w:rsidR="005912ED" w:rsidRDefault="005912ED">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1A3DE43A" w14:textId="77777777" w:rsidR="005912ED" w:rsidRDefault="00C65652">
      <w:pPr>
        <w:spacing w:line="258" w:lineRule="auto"/>
        <w:jc w:val="both"/>
        <w:rPr>
          <w:rFonts w:ascii="Century Gothic" w:eastAsia="Century Gothic" w:hAnsi="Century Gothic" w:cs="Century Gothic"/>
          <w:b/>
          <w:bCs/>
          <w:sz w:val="26"/>
          <w:szCs w:val="26"/>
        </w:rPr>
      </w:pPr>
      <w:r>
        <w:rPr>
          <w:rFonts w:ascii="Century Gothic" w:eastAsia="Century Gothic" w:hAnsi="Century Gothic" w:cs="Century Gothic"/>
          <w:b/>
          <w:bCs/>
          <w:sz w:val="26"/>
          <w:szCs w:val="26"/>
        </w:rPr>
        <w:t>INICIATIVA CON CARÁCTER DE DECRETO POR MEDIO DE LA CUAL SE REFORMAN DIVERSAS DISPOSICIONES DE LA LEY DE DERECHOS DE LAS PERSONAS MAYORES EN EL ESTADO DE CHIHUAHUA Y DE LA LEY DE GOBIERNO DIGITAL PARA EL ESTADO DE CHIHUAHUA, EN MATERIA DE ALFABETIZACIÓN E INCLUSIÓN DIGITAL.</w:t>
      </w:r>
    </w:p>
    <w:p w14:paraId="53693C24" w14:textId="77777777" w:rsidR="005912ED" w:rsidRDefault="005912ED">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p>
    <w:p w14:paraId="07351E54" w14:textId="77777777" w:rsidR="005912ED" w:rsidRDefault="00C65652">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H. CONGRESO DEL ESTADO DE CHIHUAHUA</w:t>
      </w:r>
    </w:p>
    <w:p w14:paraId="1BD9298D" w14:textId="77777777" w:rsidR="005912ED" w:rsidRDefault="00C65652">
      <w:pPr>
        <w:pBdr>
          <w:top w:val="nil"/>
          <w:left w:val="nil"/>
          <w:bottom w:val="nil"/>
          <w:right w:val="nil"/>
          <w:between w:val="nil"/>
        </w:pBdr>
        <w:spacing w:after="0"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PRESENTE. –</w:t>
      </w:r>
    </w:p>
    <w:p w14:paraId="751BC010" w14:textId="77777777" w:rsidR="005912ED" w:rsidRDefault="005912ED">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44A42EB5" w14:textId="77777777" w:rsidR="005912ED" w:rsidRDefault="00C65652">
      <w:pPr>
        <w:pBdr>
          <w:top w:val="nil"/>
          <w:left w:val="nil"/>
          <w:bottom w:val="nil"/>
          <w:right w:val="nil"/>
          <w:between w:val="nil"/>
        </w:pBdr>
        <w:spacing w:after="0" w:line="276" w:lineRule="auto"/>
        <w:ind w:firstLine="709"/>
        <w:jc w:val="both"/>
        <w:rPr>
          <w:rFonts w:ascii="Century Gothic" w:eastAsia="Century Gothic" w:hAnsi="Century Gothic" w:cs="Century Gothic"/>
          <w:b/>
          <w:bCs/>
          <w:color w:val="000000"/>
          <w:sz w:val="26"/>
          <w:szCs w:val="26"/>
        </w:rPr>
      </w:pPr>
      <w:r>
        <w:rPr>
          <w:rFonts w:ascii="Century Gothic" w:eastAsia="Century Gothic" w:hAnsi="Century Gothic" w:cs="Century Gothic"/>
          <w:color w:val="000000"/>
          <w:sz w:val="26"/>
          <w:szCs w:val="26"/>
        </w:rPr>
        <w:t xml:space="preserve">La suscrita </w:t>
      </w:r>
      <w:r>
        <w:rPr>
          <w:rFonts w:ascii="Century Gothic" w:eastAsia="Century Gothic" w:hAnsi="Century Gothic" w:cs="Century Gothic"/>
          <w:b/>
          <w:bCs/>
          <w:color w:val="000000"/>
          <w:sz w:val="26"/>
          <w:szCs w:val="26"/>
        </w:rPr>
        <w:t>JOCELINE VEGA VARGAS,</w:t>
      </w:r>
      <w:r>
        <w:rPr>
          <w:rFonts w:ascii="Century Gothic" w:eastAsia="Century Gothic" w:hAnsi="Century Gothic" w:cs="Century Gothic"/>
          <w:color w:val="000000"/>
          <w:sz w:val="26"/>
          <w:szCs w:val="26"/>
        </w:rPr>
        <w:t xml:space="preserve"> en mi carácter de diputada de la </w:t>
      </w:r>
      <w:r>
        <w:rPr>
          <w:rFonts w:ascii="Century Gothic" w:eastAsia="Century Gothic" w:hAnsi="Century Gothic" w:cs="Century Gothic"/>
          <w:b/>
          <w:bCs/>
          <w:color w:val="000000"/>
          <w:sz w:val="26"/>
          <w:szCs w:val="26"/>
        </w:rPr>
        <w:t>SEXAGÉSIMA OCTAVA LEGISLATURA DEL H. CONGRESO DEL ESTADO DE CHIHUAHUA</w:t>
      </w:r>
      <w:r>
        <w:rPr>
          <w:rFonts w:ascii="Century Gothic" w:eastAsia="Century Gothic" w:hAnsi="Century Gothic" w:cs="Century Gothic"/>
          <w:color w:val="000000"/>
          <w:sz w:val="26"/>
          <w:szCs w:val="26"/>
        </w:rPr>
        <w:t xml:space="preserve">, integrante del </w:t>
      </w:r>
      <w:r>
        <w:rPr>
          <w:rFonts w:ascii="Century Gothic" w:eastAsia="Century Gothic" w:hAnsi="Century Gothic" w:cs="Century Gothic"/>
          <w:b/>
          <w:bCs/>
          <w:color w:val="000000"/>
          <w:sz w:val="26"/>
          <w:szCs w:val="26"/>
        </w:rPr>
        <w:t xml:space="preserve">GRUPO PARLAMENTARIO DEL PARTIDO ACCIÓN NACIONAL </w:t>
      </w:r>
      <w:r>
        <w:rPr>
          <w:rFonts w:ascii="Century Gothic" w:eastAsia="Century Gothic" w:hAnsi="Century Gothic" w:cs="Century Gothic"/>
          <w:color w:val="000000"/>
          <w:sz w:val="26"/>
          <w:szCs w:val="26"/>
        </w:rPr>
        <w:t xml:space="preserve">y en su representación, con fundamento en lo dispuesto por las fracciones I y Il del artículo 64; y fracción I del artículo 68 de la Constitución Política del Estado de Chihuahua; así como de la fracción | del artículo 167 de la Ley Orgánica del Poder Legislativo, así como el artículo 77 del Reglamento Interior y de Prácticas Parlamentarias del Poder Legislativo, someto a la consideración de esta Honorable Asamblea la presente </w:t>
      </w:r>
      <w:r>
        <w:rPr>
          <w:rFonts w:ascii="Century Gothic" w:eastAsia="Century Gothic" w:hAnsi="Century Gothic" w:cs="Century Gothic"/>
          <w:b/>
          <w:bCs/>
          <w:color w:val="000000"/>
          <w:sz w:val="26"/>
          <w:szCs w:val="26"/>
        </w:rPr>
        <w:t xml:space="preserve">INICIATIVA CON CARÁCTER DE DECRETO, </w:t>
      </w:r>
      <w:r>
        <w:rPr>
          <w:rFonts w:ascii="Century Gothic" w:eastAsia="Century Gothic" w:hAnsi="Century Gothic" w:cs="Century Gothic"/>
          <w:color w:val="000000"/>
          <w:sz w:val="26"/>
          <w:szCs w:val="26"/>
        </w:rPr>
        <w:t xml:space="preserve">esto al tenor de la siguiente: </w:t>
      </w:r>
    </w:p>
    <w:p w14:paraId="69A0AA32" w14:textId="77777777" w:rsidR="005912ED" w:rsidRDefault="005912ED">
      <w:pPr>
        <w:spacing w:line="276" w:lineRule="auto"/>
        <w:jc w:val="both"/>
        <w:rPr>
          <w:rFonts w:ascii="Century Gothic" w:eastAsia="Century Gothic" w:hAnsi="Century Gothic" w:cs="Century Gothic"/>
          <w:b/>
          <w:bCs/>
          <w:sz w:val="26"/>
          <w:szCs w:val="26"/>
        </w:rPr>
      </w:pPr>
    </w:p>
    <w:p w14:paraId="53AE3534" w14:textId="77777777" w:rsidR="005912ED" w:rsidRDefault="00C65652">
      <w:pPr>
        <w:spacing w:line="276"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EXPOSICIÓN DE MOTIVOS</w:t>
      </w:r>
    </w:p>
    <w:p w14:paraId="5D3BDB17"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ab/>
        <w:t xml:space="preserve">La transformación digital ha modificado profundamente la manera en que las personas se comunican, acceden a la información, </w:t>
      </w:r>
      <w:r>
        <w:rPr>
          <w:rFonts w:ascii="Century Gothic" w:eastAsia="Century Gothic" w:hAnsi="Century Gothic" w:cs="Century Gothic"/>
          <w:color w:val="000000"/>
          <w:sz w:val="26"/>
          <w:szCs w:val="26"/>
        </w:rPr>
        <w:lastRenderedPageBreak/>
        <w:t>realizan trámites, reciben servicios y participan en la vida pública. Actualmente, un número creciente de actividades cotidianas se desarrollan mediante el uso de tecnologías de la información y comunicación, desde la realización de operaciones bancarias y citas médicas, hasta el acceso a programas gubernamentales, servicios educativos y mecanismos de participación ciudadana.</w:t>
      </w:r>
    </w:p>
    <w:p w14:paraId="5C50DAF8"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Si bien el avance tecnológico ha generado importantes beneficios para la sociedad, también ha evidenciado la existencia de una brecha digital que afecta de manera diferenciada a diversos sectores de la población, particularmente a las personas adultas mayores y a quienes enfrentan condiciones de rezago o exclusión social.</w:t>
      </w:r>
    </w:p>
    <w:p w14:paraId="24ED3F3A"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La brecha digital no se limita únicamente a la disponibilidad de dispositivos o acceso a internet. También comprende las habilidades, conocimientos y competencias necesarias para utilizar las herramientas tecnológicas de manera efectiva, segura y autónoma. En este sentido, el acceso a la tecnología por sí solo resulta insuficiente cuando las personas carecen de los conocimientos necesarios para aprovechar plenamente sus beneficios.</w:t>
      </w:r>
    </w:p>
    <w:p w14:paraId="3C9F5376"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 xml:space="preserve">Las personas adultas mayores constituyen uno de los grupos poblacionales que enfrentan mayores desafíos para incorporarse al </w:t>
      </w:r>
      <w:r>
        <w:rPr>
          <w:rFonts w:ascii="Century Gothic" w:eastAsia="Century Gothic" w:hAnsi="Century Gothic" w:cs="Century Gothic"/>
          <w:color w:val="000000"/>
          <w:sz w:val="26"/>
          <w:szCs w:val="26"/>
        </w:rPr>
        <w:lastRenderedPageBreak/>
        <w:t>entorno digital. A pesar de que cada vez más servicios públicos y privados se ofrecen mediante plataformas electrónicas, muchas de ellas continúan encontrando obstáculos para utilizar dispositivos móviles, aplicaciones digitales, sistemas de comunicación electrónica y herramientas tecnológicas indispensables para el ejercicio pleno de sus derechos.</w:t>
      </w:r>
    </w:p>
    <w:p w14:paraId="4751A2F8"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Esta situación puede generar condiciones de dependencia, aislamiento y exclusión, limitando su participación en la vida social, económica y comunitaria. Por ello, resulta necesario fortalecer las acciones institucionales encaminadas a promover su inclusión digital y garantizar que ninguna persona quede excluida de los beneficios del desarrollo tecnológico por razones de edad.</w:t>
      </w:r>
    </w:p>
    <w:p w14:paraId="21E5DA6A"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Actualmente, la Ley de Derechos de las Personas Mayores en el Estado de Chihuahua contempla, dentro de las obligaciones de las autoridades, la promoción del acceso y utilización adecuada de las tecnologías de la información y comunicación. Sin embargo, dicho mandato puede fortalecerse mediante el reconocimiento expreso de acciones de alfabetización digital orientadas al desarrollo de habilidades y capacidades que permitan a las personas mayores utilizar estas herramientas de manera autónoma y efectiva.</w:t>
      </w:r>
    </w:p>
    <w:p w14:paraId="09F8D194"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lastRenderedPageBreak/>
        <w:t>De igual forma, la Ley de Gobierno Digital para el Estado de Chihuahua constituye el instrumento normativo encargado de orientar la política pública estatal en materia de transformación digital. En consecuencia, resulta pertinente incorporar de manera expresa la atribución de promover acciones de alfabetización digital y establecer dentro del Programa Estatal de Gobierno Digital estrategias específicas de inclusión y capacitación tecnológica dirigidas a la población, con especial atención a las personas adultas mayores y a los grupos que enfrentan barreras de acceso a las tecnologías de la información y comunicación.</w:t>
      </w:r>
    </w:p>
    <w:p w14:paraId="298CCFAB"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La alfabetización digital representa una herramienta fundamental para fortalecer la autonomía personal, fomentar la participación social, facilitar el acceso a servicios públicos y privados, reducir desigualdades y promover una sociedad más incluyente.</w:t>
      </w:r>
    </w:p>
    <w:p w14:paraId="1A078FBE" w14:textId="77777777" w:rsidR="005912ED" w:rsidRDefault="00C65652" w:rsidP="00924FF6">
      <w:pPr>
        <w:pBdr>
          <w:top w:val="nil"/>
          <w:left w:val="nil"/>
          <w:bottom w:val="nil"/>
          <w:right w:val="nil"/>
          <w:between w:val="nil"/>
        </w:pBdr>
        <w:spacing w:line="360" w:lineRule="auto"/>
        <w:ind w:firstLine="720"/>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La presente iniciativa busca consolidar una visión de inclusión digital con enfoque de derechos humanos, mediante el fortalecimiento del marco jurídico estatal, reconociendo que el desarrollo tecnológico debe ser una oportunidad para todas las personas y no un factor que profundice las condiciones de exclusión existentes.</w:t>
      </w:r>
    </w:p>
    <w:p w14:paraId="2F221D7A" w14:textId="77777777" w:rsidR="005912ED" w:rsidRDefault="00C65652" w:rsidP="00924FF6">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lastRenderedPageBreak/>
        <w:t>Por lo anteriormente expuesto es que me permito proponer a consideración de esta asamblea el siguiente Proyecto de Decreto, para que una vez turnado a la Comisión Legislativa que le corresponda, se someta a la consideración de este Alto Cuerpo Colegiado.</w:t>
      </w:r>
    </w:p>
    <w:p w14:paraId="4AD1A6AA" w14:textId="77777777" w:rsidR="005912ED" w:rsidRDefault="005912ED" w:rsidP="00924FF6">
      <w:pPr>
        <w:pBdr>
          <w:top w:val="nil"/>
          <w:left w:val="nil"/>
          <w:bottom w:val="nil"/>
          <w:right w:val="nil"/>
          <w:between w:val="nil"/>
        </w:pBdr>
        <w:spacing w:after="0" w:line="360" w:lineRule="auto"/>
        <w:jc w:val="both"/>
        <w:rPr>
          <w:rFonts w:ascii="Century Gothic" w:eastAsia="Century Gothic" w:hAnsi="Century Gothic" w:cs="Century Gothic"/>
          <w:color w:val="000000"/>
          <w:sz w:val="26"/>
          <w:szCs w:val="26"/>
        </w:rPr>
      </w:pPr>
    </w:p>
    <w:p w14:paraId="67F39D53" w14:textId="77777777" w:rsidR="005912ED" w:rsidRDefault="00C65652" w:rsidP="00924FF6">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DECRETO</w:t>
      </w:r>
    </w:p>
    <w:p w14:paraId="07E763A1"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b/>
          <w:bCs/>
          <w:color w:val="000000"/>
          <w:sz w:val="26"/>
          <w:szCs w:val="26"/>
        </w:rPr>
        <w:t>PRIMERO.</w:t>
      </w:r>
      <w:r>
        <w:rPr>
          <w:rFonts w:ascii="Century Gothic" w:eastAsia="Century Gothic" w:hAnsi="Century Gothic" w:cs="Century Gothic"/>
          <w:color w:val="000000"/>
          <w:sz w:val="26"/>
          <w:szCs w:val="26"/>
        </w:rPr>
        <w:t xml:space="preserve">  Se reforma la fracción III del </w:t>
      </w:r>
      <w:r>
        <w:rPr>
          <w:rFonts w:ascii="Century Gothic" w:eastAsia="Century Gothic" w:hAnsi="Century Gothic" w:cs="Century Gothic"/>
          <w:sz w:val="26"/>
          <w:szCs w:val="26"/>
        </w:rPr>
        <w:t>artículo</w:t>
      </w:r>
      <w:r>
        <w:rPr>
          <w:rFonts w:ascii="Century Gothic" w:eastAsia="Century Gothic" w:hAnsi="Century Gothic" w:cs="Century Gothic"/>
          <w:color w:val="000000"/>
          <w:sz w:val="26"/>
          <w:szCs w:val="26"/>
        </w:rPr>
        <w:t xml:space="preserve"> 27 de la Ley de Derechos de las Personas Mayores en el Estado de Chihuahua para quedar redactado de la siguiente manera: </w:t>
      </w:r>
    </w:p>
    <w:p w14:paraId="52E5CF3C"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Artículo 27. Las autoridades estatales y municipales, sin perjuicio de lo que al efecto establecen la Ley Estatal de Educación y otros ordenamientos de la materia, en el ámbito de su competencia, deberán:</w:t>
      </w:r>
    </w:p>
    <w:p w14:paraId="554C1008"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I….</w:t>
      </w:r>
    </w:p>
    <w:p w14:paraId="620FD793"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II….</w:t>
      </w:r>
    </w:p>
    <w:p w14:paraId="14CE05FC"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b/>
          <w:bCs/>
          <w:color w:val="000000"/>
          <w:sz w:val="26"/>
          <w:szCs w:val="26"/>
        </w:rPr>
        <w:t>III.</w:t>
      </w:r>
      <w:r>
        <w:rPr>
          <w:rFonts w:ascii="Century Gothic" w:eastAsia="Century Gothic" w:hAnsi="Century Gothic" w:cs="Century Gothic"/>
          <w:color w:val="000000"/>
          <w:sz w:val="26"/>
          <w:szCs w:val="26"/>
        </w:rPr>
        <w:t xml:space="preserve"> </w:t>
      </w:r>
      <w:r>
        <w:rPr>
          <w:rFonts w:ascii="Century Gothic" w:eastAsia="Century Gothic" w:hAnsi="Century Gothic" w:cs="Century Gothic"/>
          <w:b/>
          <w:bCs/>
          <w:color w:val="000000"/>
          <w:sz w:val="26"/>
          <w:szCs w:val="26"/>
        </w:rPr>
        <w:t xml:space="preserve">Implementar acciones de alfabetización digital dirigidas a las personas mayores, orientadas al desarrollo de habilidades para el uso de dispositivos tecnológicos, herramientas digitales, plataformas de comunicación, plataformas gubernamentales, servicios electrónicos y </w:t>
      </w:r>
      <w:r>
        <w:rPr>
          <w:rFonts w:ascii="Century Gothic" w:eastAsia="Century Gothic" w:hAnsi="Century Gothic" w:cs="Century Gothic"/>
          <w:b/>
          <w:bCs/>
          <w:color w:val="000000"/>
          <w:sz w:val="26"/>
          <w:szCs w:val="26"/>
        </w:rPr>
        <w:lastRenderedPageBreak/>
        <w:t xml:space="preserve">tecnologías de información que favorezcan su autonomía, inclusión social y participación en la vida comunitaria. </w:t>
      </w:r>
    </w:p>
    <w:p w14:paraId="3EC85762"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rPr>
        <w:t xml:space="preserve">IV. A XII… </w:t>
      </w:r>
    </w:p>
    <w:p w14:paraId="26CD2557"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b/>
          <w:bCs/>
          <w:color w:val="000000"/>
          <w:sz w:val="26"/>
          <w:szCs w:val="26"/>
        </w:rPr>
        <w:t xml:space="preserve">SEGUNDO. </w:t>
      </w:r>
      <w:r>
        <w:rPr>
          <w:rFonts w:ascii="Century Gothic" w:eastAsia="Century Gothic" w:hAnsi="Century Gothic" w:cs="Century Gothic"/>
          <w:color w:val="000000"/>
          <w:sz w:val="26"/>
          <w:szCs w:val="26"/>
        </w:rPr>
        <w:t xml:space="preserve">Se reforma la fracción XXV </w:t>
      </w:r>
      <w:r>
        <w:rPr>
          <w:rFonts w:ascii="Century Gothic" w:eastAsia="Century Gothic" w:hAnsi="Century Gothic" w:cs="Century Gothic"/>
          <w:sz w:val="26"/>
          <w:szCs w:val="26"/>
        </w:rPr>
        <w:t>y</w:t>
      </w:r>
      <w:r>
        <w:rPr>
          <w:rFonts w:ascii="Century Gothic" w:eastAsia="Century Gothic" w:hAnsi="Century Gothic" w:cs="Century Gothic"/>
          <w:color w:val="000000"/>
          <w:sz w:val="26"/>
          <w:szCs w:val="26"/>
        </w:rPr>
        <w:t xml:space="preserve"> se adiciona la </w:t>
      </w:r>
      <w:r>
        <w:rPr>
          <w:rFonts w:ascii="Century Gothic" w:eastAsia="Century Gothic" w:hAnsi="Century Gothic" w:cs="Century Gothic"/>
          <w:sz w:val="26"/>
          <w:szCs w:val="26"/>
        </w:rPr>
        <w:t>fracción</w:t>
      </w:r>
      <w:r>
        <w:rPr>
          <w:rFonts w:ascii="Century Gothic" w:eastAsia="Century Gothic" w:hAnsi="Century Gothic" w:cs="Century Gothic"/>
          <w:color w:val="000000"/>
          <w:sz w:val="26"/>
          <w:szCs w:val="26"/>
        </w:rPr>
        <w:t xml:space="preserve"> XXVI del </w:t>
      </w:r>
      <w:r>
        <w:rPr>
          <w:rFonts w:ascii="Century Gothic" w:eastAsia="Century Gothic" w:hAnsi="Century Gothic" w:cs="Century Gothic"/>
          <w:sz w:val="26"/>
          <w:szCs w:val="26"/>
        </w:rPr>
        <w:t>artículo</w:t>
      </w:r>
      <w:r>
        <w:rPr>
          <w:rFonts w:ascii="Century Gothic" w:eastAsia="Century Gothic" w:hAnsi="Century Gothic" w:cs="Century Gothic"/>
          <w:color w:val="000000"/>
          <w:sz w:val="26"/>
          <w:szCs w:val="26"/>
        </w:rPr>
        <w:t xml:space="preserve"> 22 de la Ley de Gobierno Digital para el Estado de Chihuahua, para quedar redactado de la siguiente manera: </w:t>
      </w:r>
    </w:p>
    <w:p w14:paraId="271E532C"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color w:val="000000"/>
          <w:sz w:val="26"/>
          <w:szCs w:val="26"/>
        </w:rPr>
      </w:pPr>
      <w:r>
        <w:rPr>
          <w:rFonts w:ascii="Century Gothic" w:eastAsia="Century Gothic" w:hAnsi="Century Gothic" w:cs="Century Gothic"/>
          <w:sz w:val="26"/>
          <w:szCs w:val="26"/>
        </w:rPr>
        <w:t>Artículo</w:t>
      </w:r>
      <w:r>
        <w:rPr>
          <w:rFonts w:ascii="Century Gothic" w:eastAsia="Century Gothic" w:hAnsi="Century Gothic" w:cs="Century Gothic"/>
          <w:color w:val="000000"/>
          <w:sz w:val="26"/>
          <w:szCs w:val="26"/>
        </w:rPr>
        <w:t xml:space="preserve"> 22. En cuanto a la materia de gobierno digital se refiere, los órganos del Estado cuentan con las siguientes atribuciones:</w:t>
      </w:r>
    </w:p>
    <w:p w14:paraId="51698D49"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sz w:val="26"/>
          <w:szCs w:val="26"/>
        </w:rPr>
        <w:t xml:space="preserve">I. </w:t>
      </w:r>
      <w:r>
        <w:rPr>
          <w:rFonts w:ascii="Century Gothic" w:eastAsia="Century Gothic" w:hAnsi="Century Gothic" w:cs="Century Gothic"/>
          <w:color w:val="000000"/>
          <w:sz w:val="26"/>
          <w:szCs w:val="26"/>
        </w:rPr>
        <w:t>A XXIV. …</w:t>
      </w:r>
    </w:p>
    <w:p w14:paraId="595DFC3D"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XXV.</w:t>
      </w:r>
      <w:r>
        <w:rPr>
          <w:rFonts w:ascii="Century Gothic" w:eastAsia="Century Gothic" w:hAnsi="Century Gothic" w:cs="Century Gothic"/>
          <w:color w:val="000000"/>
          <w:sz w:val="26"/>
          <w:szCs w:val="26"/>
        </w:rPr>
        <w:t xml:space="preserve"> </w:t>
      </w:r>
      <w:r>
        <w:rPr>
          <w:rFonts w:ascii="Century Gothic" w:eastAsia="Century Gothic" w:hAnsi="Century Gothic" w:cs="Century Gothic"/>
          <w:b/>
          <w:bCs/>
          <w:color w:val="000000"/>
          <w:sz w:val="26"/>
          <w:szCs w:val="26"/>
        </w:rPr>
        <w:t>Implementar y promover acciones de alfabetización digital que faciliten el acceso, uso y aprovechamiento de las tecnologías de la información y comunicación por parte de las y los particulares, con especial atención a las personas adultas mayores y a los grupos que enfrenten condiciones de rezago o exclusión digital.</w:t>
      </w:r>
    </w:p>
    <w:p w14:paraId="05A29E62" w14:textId="77777777" w:rsidR="005912ED" w:rsidRDefault="00C65652" w:rsidP="00924FF6">
      <w:pPr>
        <w:pBdr>
          <w:top w:val="nil"/>
          <w:left w:val="nil"/>
          <w:bottom w:val="nil"/>
          <w:right w:val="nil"/>
          <w:between w:val="nil"/>
        </w:pBdr>
        <w:spacing w:line="360" w:lineRule="auto"/>
        <w:jc w:val="both"/>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t>XXVI. Las demás que les confiera esta Ley, su Reglamento y demás disposiciones, lineamientos e instrumentos emitidos por el Consejo respectivo.</w:t>
      </w:r>
    </w:p>
    <w:p w14:paraId="4AA2D07F" w14:textId="77777777" w:rsidR="005912ED" w:rsidRDefault="005912ED">
      <w:pPr>
        <w:pBdr>
          <w:top w:val="nil"/>
          <w:left w:val="nil"/>
          <w:bottom w:val="nil"/>
          <w:right w:val="nil"/>
          <w:between w:val="nil"/>
        </w:pBdr>
        <w:spacing w:after="0" w:line="360" w:lineRule="auto"/>
        <w:rPr>
          <w:rFonts w:ascii="Century Gothic" w:eastAsia="Century Gothic" w:hAnsi="Century Gothic" w:cs="Century Gothic"/>
          <w:b/>
          <w:bCs/>
          <w:color w:val="000000"/>
          <w:sz w:val="26"/>
          <w:szCs w:val="26"/>
        </w:rPr>
      </w:pPr>
    </w:p>
    <w:p w14:paraId="024BF392" w14:textId="6B055E48" w:rsidR="0055574A" w:rsidRDefault="0055574A">
      <w:pP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br w:type="page"/>
      </w:r>
    </w:p>
    <w:p w14:paraId="63256922" w14:textId="0FBA89FA" w:rsidR="005912ED" w:rsidRDefault="00C65652">
      <w:pPr>
        <w:pBdr>
          <w:top w:val="nil"/>
          <w:left w:val="nil"/>
          <w:bottom w:val="nil"/>
          <w:right w:val="nil"/>
          <w:between w:val="nil"/>
        </w:pBdr>
        <w:spacing w:after="0" w:line="360" w:lineRule="auto"/>
        <w:ind w:firstLine="709"/>
        <w:jc w:val="center"/>
        <w:rPr>
          <w:rFonts w:ascii="Century Gothic" w:eastAsia="Century Gothic" w:hAnsi="Century Gothic" w:cs="Century Gothic"/>
          <w:b/>
          <w:bCs/>
          <w:color w:val="000000"/>
          <w:sz w:val="26"/>
          <w:szCs w:val="26"/>
        </w:rPr>
      </w:pPr>
      <w:r>
        <w:rPr>
          <w:rFonts w:ascii="Century Gothic" w:eastAsia="Century Gothic" w:hAnsi="Century Gothic" w:cs="Century Gothic"/>
          <w:b/>
          <w:bCs/>
          <w:color w:val="000000"/>
          <w:sz w:val="26"/>
          <w:szCs w:val="26"/>
        </w:rPr>
        <w:lastRenderedPageBreak/>
        <w:t>TRANSITORIOS</w:t>
      </w:r>
    </w:p>
    <w:p w14:paraId="2D3F24C1" w14:textId="77777777" w:rsidR="005912ED" w:rsidRDefault="005912ED">
      <w:pPr>
        <w:pBdr>
          <w:top w:val="nil"/>
          <w:left w:val="nil"/>
          <w:bottom w:val="nil"/>
          <w:right w:val="nil"/>
          <w:between w:val="nil"/>
        </w:pBdr>
        <w:spacing w:after="0" w:line="360" w:lineRule="auto"/>
        <w:ind w:firstLine="709"/>
        <w:jc w:val="center"/>
        <w:rPr>
          <w:rFonts w:ascii="Century Gothic" w:eastAsia="Century Gothic" w:hAnsi="Century Gothic" w:cs="Century Gothic"/>
          <w:b/>
          <w:bCs/>
          <w:sz w:val="26"/>
          <w:szCs w:val="26"/>
        </w:rPr>
      </w:pPr>
    </w:p>
    <w:p w14:paraId="6A71CD10" w14:textId="77777777" w:rsidR="005912ED" w:rsidRDefault="00C65652">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PRIMERO</w:t>
      </w:r>
      <w:r>
        <w:rPr>
          <w:rFonts w:ascii="Century Gothic" w:eastAsia="Century Gothic" w:hAnsi="Century Gothic" w:cs="Century Gothic"/>
          <w:b/>
          <w:bCs/>
          <w:color w:val="000000"/>
          <w:sz w:val="26"/>
          <w:szCs w:val="26"/>
        </w:rPr>
        <w:t xml:space="preserve">. </w:t>
      </w:r>
      <w:r>
        <w:rPr>
          <w:rFonts w:ascii="Century Gothic" w:eastAsia="Century Gothic" w:hAnsi="Century Gothic" w:cs="Century Gothic"/>
          <w:color w:val="000000"/>
          <w:sz w:val="26"/>
          <w:szCs w:val="26"/>
        </w:rPr>
        <w:t xml:space="preserve">La implementación de las acciones derivadas del presente Decreto se realizará de manera progresiva y paulatina por las autoridades competentes, atendiendo a la suficiencia presupuestaria, capacidades técnicas, recursos humanos y disponibilidad operativa de cada </w:t>
      </w:r>
      <w:r>
        <w:rPr>
          <w:rFonts w:ascii="Century Gothic" w:eastAsia="Century Gothic" w:hAnsi="Century Gothic" w:cs="Century Gothic"/>
          <w:sz w:val="26"/>
          <w:szCs w:val="26"/>
        </w:rPr>
        <w:t>órgano del Estado</w:t>
      </w:r>
      <w:r>
        <w:rPr>
          <w:rFonts w:ascii="Century Gothic" w:eastAsia="Century Gothic" w:hAnsi="Century Gothic" w:cs="Century Gothic"/>
          <w:color w:val="000000"/>
          <w:sz w:val="26"/>
          <w:szCs w:val="26"/>
        </w:rPr>
        <w:t>.</w:t>
      </w:r>
    </w:p>
    <w:p w14:paraId="2AD4CD8F" w14:textId="77777777" w:rsidR="005912ED" w:rsidRDefault="005912ED">
      <w:pPr>
        <w:pBdr>
          <w:top w:val="nil"/>
          <w:left w:val="nil"/>
          <w:bottom w:val="nil"/>
          <w:right w:val="nil"/>
          <w:between w:val="nil"/>
        </w:pBdr>
        <w:spacing w:after="0" w:line="360" w:lineRule="auto"/>
        <w:ind w:firstLine="709"/>
        <w:jc w:val="both"/>
        <w:rPr>
          <w:rFonts w:ascii="Century Gothic" w:eastAsia="Century Gothic" w:hAnsi="Century Gothic" w:cs="Century Gothic"/>
          <w:sz w:val="26"/>
          <w:szCs w:val="26"/>
        </w:rPr>
      </w:pPr>
    </w:p>
    <w:p w14:paraId="40DEAC42" w14:textId="77777777" w:rsidR="005912ED" w:rsidRDefault="00C65652">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r>
        <w:rPr>
          <w:rFonts w:ascii="Century Gothic" w:eastAsia="Century Gothic" w:hAnsi="Century Gothic" w:cs="Century Gothic"/>
          <w:b/>
          <w:bCs/>
          <w:sz w:val="26"/>
          <w:szCs w:val="26"/>
        </w:rPr>
        <w:t>SEGUNDO.</w:t>
      </w:r>
      <w:r>
        <w:rPr>
          <w:rFonts w:ascii="Century Gothic" w:eastAsia="Century Gothic" w:hAnsi="Century Gothic" w:cs="Century Gothic"/>
          <w:color w:val="000000"/>
          <w:sz w:val="26"/>
          <w:szCs w:val="26"/>
        </w:rPr>
        <w:t xml:space="preserve"> El presente Decreto entrará en vigor al día siguiente de su publicación en el Periódico Oficial del Estado.</w:t>
      </w:r>
    </w:p>
    <w:p w14:paraId="39833A7E" w14:textId="77777777" w:rsidR="005912ED" w:rsidRDefault="005912ED">
      <w:pPr>
        <w:pBdr>
          <w:top w:val="nil"/>
          <w:left w:val="nil"/>
          <w:bottom w:val="nil"/>
          <w:right w:val="nil"/>
          <w:between w:val="nil"/>
        </w:pBdr>
        <w:spacing w:after="0" w:line="360" w:lineRule="auto"/>
        <w:ind w:firstLine="709"/>
        <w:jc w:val="both"/>
        <w:rPr>
          <w:rFonts w:ascii="Century Gothic" w:eastAsia="Century Gothic" w:hAnsi="Century Gothic" w:cs="Century Gothic"/>
          <w:color w:val="000000"/>
          <w:sz w:val="26"/>
          <w:szCs w:val="26"/>
        </w:rPr>
      </w:pPr>
    </w:p>
    <w:p w14:paraId="7A67B76E" w14:textId="423D0A1D" w:rsidR="005912ED" w:rsidRDefault="00C65652">
      <w:pPr>
        <w:spacing w:line="360" w:lineRule="auto"/>
        <w:jc w:val="both"/>
        <w:rPr>
          <w:rFonts w:ascii="Century Gothic" w:eastAsia="Century Gothic" w:hAnsi="Century Gothic" w:cs="Century Gothic"/>
          <w:sz w:val="26"/>
          <w:szCs w:val="26"/>
        </w:rPr>
      </w:pPr>
      <w:r>
        <w:rPr>
          <w:rFonts w:ascii="Century Gothic" w:eastAsia="Century Gothic" w:hAnsi="Century Gothic" w:cs="Century Gothic"/>
          <w:color w:val="000000"/>
          <w:sz w:val="26"/>
          <w:szCs w:val="26"/>
        </w:rPr>
        <w:t>DADO EN</w:t>
      </w:r>
      <w:r w:rsidR="0055574A">
        <w:rPr>
          <w:rFonts w:ascii="Century Gothic" w:eastAsia="Century Gothic" w:hAnsi="Century Gothic" w:cs="Century Gothic"/>
          <w:color w:val="000000"/>
          <w:sz w:val="26"/>
          <w:szCs w:val="26"/>
        </w:rPr>
        <w:t xml:space="preserve"> EL</w:t>
      </w:r>
      <w:r>
        <w:rPr>
          <w:rFonts w:ascii="Century Gothic" w:eastAsia="Century Gothic" w:hAnsi="Century Gothic" w:cs="Century Gothic"/>
          <w:color w:val="000000"/>
          <w:sz w:val="26"/>
          <w:szCs w:val="26"/>
        </w:rPr>
        <w:t xml:space="preserve"> H. CONGRESO DEL ESTADO DE CHIHUAHUA A LOS </w:t>
      </w:r>
      <w:r w:rsidR="00242FD6">
        <w:rPr>
          <w:rFonts w:ascii="Century Gothic" w:eastAsia="Century Gothic" w:hAnsi="Century Gothic" w:cs="Century Gothic"/>
          <w:color w:val="000000"/>
          <w:sz w:val="26"/>
          <w:szCs w:val="26"/>
        </w:rPr>
        <w:t>07</w:t>
      </w:r>
      <w:r>
        <w:rPr>
          <w:rFonts w:ascii="Century Gothic" w:eastAsia="Century Gothic" w:hAnsi="Century Gothic" w:cs="Century Gothic"/>
          <w:color w:val="000000"/>
          <w:sz w:val="26"/>
          <w:szCs w:val="26"/>
        </w:rPr>
        <w:t xml:space="preserve"> DÍAS DEL MES DE JU</w:t>
      </w:r>
      <w:r w:rsidR="0055574A">
        <w:rPr>
          <w:rFonts w:ascii="Century Gothic" w:eastAsia="Century Gothic" w:hAnsi="Century Gothic" w:cs="Century Gothic"/>
          <w:color w:val="000000"/>
          <w:sz w:val="26"/>
          <w:szCs w:val="26"/>
        </w:rPr>
        <w:t>L</w:t>
      </w:r>
      <w:r>
        <w:rPr>
          <w:rFonts w:ascii="Century Gothic" w:eastAsia="Century Gothic" w:hAnsi="Century Gothic" w:cs="Century Gothic"/>
          <w:color w:val="000000"/>
          <w:sz w:val="26"/>
          <w:szCs w:val="26"/>
        </w:rPr>
        <w:t>IO DEL 2026.</w:t>
      </w:r>
    </w:p>
    <w:p w14:paraId="77F4F7FC" w14:textId="77777777" w:rsidR="005912ED" w:rsidRDefault="005912ED">
      <w:pPr>
        <w:spacing w:after="0" w:line="360" w:lineRule="auto"/>
        <w:jc w:val="center"/>
        <w:rPr>
          <w:rFonts w:ascii="Century Gothic" w:eastAsia="Century Gothic" w:hAnsi="Century Gothic" w:cs="Century Gothic"/>
          <w:b/>
          <w:bCs/>
          <w:sz w:val="26"/>
          <w:szCs w:val="26"/>
        </w:rPr>
      </w:pPr>
    </w:p>
    <w:p w14:paraId="5706EB76" w14:textId="6450B8A8" w:rsidR="005912ED" w:rsidRDefault="00C65652" w:rsidP="00242FD6">
      <w:pPr>
        <w:spacing w:after="0"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SUSCRIBE</w:t>
      </w:r>
    </w:p>
    <w:p w14:paraId="3F84054E" w14:textId="38A7D0B4" w:rsidR="005912ED" w:rsidRDefault="005912ED">
      <w:pPr>
        <w:spacing w:line="360" w:lineRule="auto"/>
        <w:jc w:val="center"/>
        <w:rPr>
          <w:rFonts w:ascii="Century Gothic" w:eastAsia="Century Gothic" w:hAnsi="Century Gothic" w:cs="Century Gothic"/>
          <w:b/>
          <w:bCs/>
          <w:sz w:val="26"/>
          <w:szCs w:val="26"/>
        </w:rPr>
      </w:pPr>
    </w:p>
    <w:p w14:paraId="18FE6AF3" w14:textId="720088A2" w:rsidR="00242FD6" w:rsidRDefault="00242FD6">
      <w:pPr>
        <w:spacing w:line="360" w:lineRule="auto"/>
        <w:jc w:val="center"/>
        <w:rPr>
          <w:rFonts w:ascii="Century Gothic" w:eastAsia="Century Gothic" w:hAnsi="Century Gothic" w:cs="Century Gothic"/>
          <w:b/>
          <w:bCs/>
          <w:sz w:val="26"/>
          <w:szCs w:val="26"/>
        </w:rPr>
      </w:pPr>
    </w:p>
    <w:p w14:paraId="1986B5E0" w14:textId="77777777" w:rsidR="00242FD6" w:rsidRDefault="00242FD6">
      <w:pPr>
        <w:spacing w:line="360" w:lineRule="auto"/>
        <w:jc w:val="center"/>
        <w:rPr>
          <w:rFonts w:ascii="Century Gothic" w:eastAsia="Century Gothic" w:hAnsi="Century Gothic" w:cs="Century Gothic"/>
          <w:b/>
          <w:bCs/>
          <w:sz w:val="26"/>
          <w:szCs w:val="26"/>
        </w:rPr>
      </w:pPr>
    </w:p>
    <w:p w14:paraId="46CC4958" w14:textId="77777777" w:rsidR="005912ED" w:rsidRDefault="00C65652">
      <w:pPr>
        <w:spacing w:line="360" w:lineRule="auto"/>
        <w:jc w:val="center"/>
        <w:rPr>
          <w:rFonts w:ascii="Century Gothic" w:eastAsia="Century Gothic" w:hAnsi="Century Gothic" w:cs="Century Gothic"/>
          <w:b/>
          <w:bCs/>
          <w:sz w:val="26"/>
          <w:szCs w:val="26"/>
        </w:rPr>
      </w:pPr>
      <w:r>
        <w:rPr>
          <w:rFonts w:ascii="Century Gothic" w:eastAsia="Century Gothic" w:hAnsi="Century Gothic" w:cs="Century Gothic"/>
          <w:b/>
          <w:bCs/>
          <w:sz w:val="26"/>
          <w:szCs w:val="26"/>
        </w:rPr>
        <w:t>DIP. JOCELINE VEGA VARGAS</w:t>
      </w:r>
    </w:p>
    <w:p w14:paraId="69957912" w14:textId="5A639068" w:rsidR="005912ED" w:rsidRDefault="005912ED" w:rsidP="00242FD6">
      <w:pPr>
        <w:spacing w:line="360" w:lineRule="auto"/>
        <w:rPr>
          <w:rFonts w:ascii="Century Gothic" w:eastAsia="Century Gothic" w:hAnsi="Century Gothic" w:cs="Century Gothic"/>
          <w:b/>
          <w:bCs/>
          <w:sz w:val="26"/>
          <w:szCs w:val="26"/>
        </w:rPr>
      </w:pPr>
    </w:p>
    <w:sectPr w:rsidR="005912ED">
      <w:headerReference w:type="default" r:id="rId7"/>
      <w:footerReference w:type="even" r:id="rId8"/>
      <w:footerReference w:type="default" r:id="rId9"/>
      <w:pgSz w:w="12240" w:h="15840"/>
      <w:pgMar w:top="3969"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EEC6" w14:textId="77777777" w:rsidR="00880DC5" w:rsidRDefault="00880DC5">
      <w:pPr>
        <w:spacing w:after="0" w:line="240" w:lineRule="auto"/>
      </w:pPr>
      <w:r>
        <w:separator/>
      </w:r>
    </w:p>
  </w:endnote>
  <w:endnote w:type="continuationSeparator" w:id="0">
    <w:p w14:paraId="1E837075" w14:textId="77777777" w:rsidR="00880DC5" w:rsidRDefault="00880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4EDEB067-2E20-224E-8191-C000A4DDFDD7}"/>
    <w:embedBold r:id="rId2" w:fontKey="{DBF164C1-E6BA-844D-9E17-AB28DCDE70F5}"/>
  </w:font>
  <w:font w:name="Arial">
    <w:panose1 w:val="020B0604020202020204"/>
    <w:charset w:val="00"/>
    <w:family w:val="swiss"/>
    <w:pitch w:val="variable"/>
    <w:sig w:usb0="E0002AFF" w:usb1="C0007843" w:usb2="00000009" w:usb3="00000000" w:csb0="000001FF" w:csb1="00000000"/>
    <w:embedBold r:id="rId3" w:fontKey="{F1DE31F8-276F-3341-A2BC-D6DEED8D2CCF}"/>
  </w:font>
  <w:font w:name="Times New Roman">
    <w:panose1 w:val="02020603050405020304"/>
    <w:charset w:val="00"/>
    <w:family w:val="roman"/>
    <w:pitch w:val="variable"/>
    <w:sig w:usb0="E0002EFF" w:usb1="C000785B" w:usb2="00000009" w:usb3="00000000" w:csb0="000001FF" w:csb1="00000000"/>
    <w:embedRegular r:id="rId4" w:fontKey="{F07C305E-F431-0541-9065-CFEBD21CE92D}"/>
  </w:font>
  <w:font w:name="Georgia">
    <w:panose1 w:val="02040502050405020303"/>
    <w:charset w:val="00"/>
    <w:family w:val="roman"/>
    <w:pitch w:val="variable"/>
    <w:sig w:usb0="00000287" w:usb1="00000000" w:usb2="00000000" w:usb3="00000000" w:csb0="0000009F" w:csb1="00000000"/>
    <w:embedItalic r:id="rId5" w:fontKey="{97492862-72D0-9F4A-A4DE-D8110812E4A4}"/>
  </w:font>
  <w:font w:name="Century Gothic">
    <w:panose1 w:val="020B0502020202020204"/>
    <w:charset w:val="00"/>
    <w:family w:val="swiss"/>
    <w:pitch w:val="variable"/>
    <w:sig w:usb0="00000287" w:usb1="00000000" w:usb2="00000000" w:usb3="00000000" w:csb0="0000009F" w:csb1="00000000"/>
    <w:embedRegular r:id="rId6" w:fontKey="{847421EA-8A1E-E148-9073-6DFEAFC6A37E}"/>
    <w:embedBold r:id="rId7" w:fontKey="{73741BDA-AD73-8745-9847-81A95E54F22E}"/>
    <w:embedBoldItalic r:id="rId8" w:fontKey="{2801C106-6A85-DD4C-973C-31A1637F2E51}"/>
  </w:font>
  <w:font w:name="Cambria">
    <w:panose1 w:val="02040503050406030204"/>
    <w:charset w:val="00"/>
    <w:family w:val="roman"/>
    <w:pitch w:val="variable"/>
    <w:sig w:usb0="E00002FF" w:usb1="400004FF" w:usb2="00000000" w:usb3="00000000" w:csb0="0000019F" w:csb1="00000000"/>
    <w:embedRegular r:id="rId9" w:fontKey="{163B1C2A-69DF-6643-AE31-059DBDFC6F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8D54" w14:textId="77777777" w:rsidR="005912ED" w:rsidRDefault="00C65652">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sidR="00880DC5">
      <w:rPr>
        <w:color w:val="000000"/>
      </w:rPr>
      <w:fldChar w:fldCharType="separate"/>
    </w:r>
    <w:r>
      <w:rPr>
        <w:color w:val="000000"/>
      </w:rPr>
      <w:fldChar w:fldCharType="end"/>
    </w:r>
  </w:p>
  <w:p w14:paraId="3B097C23" w14:textId="77777777" w:rsidR="005912ED" w:rsidRDefault="005912E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1358" w14:textId="77777777" w:rsidR="005912ED" w:rsidRDefault="00C65652">
    <w:pPr>
      <w:jc w:val="center"/>
      <w:rPr>
        <w:rFonts w:ascii="Century Gothic" w:eastAsia="Century Gothic" w:hAnsi="Century Gothic" w:cs="Century Gothic"/>
        <w:sz w:val="26"/>
        <w:szCs w:val="26"/>
      </w:rPr>
    </w:pPr>
    <w:r>
      <w:rPr>
        <w:rFonts w:ascii="Century Gothic" w:eastAsia="Century Gothic" w:hAnsi="Century Gothic" w:cs="Century Gothic"/>
        <w:sz w:val="26"/>
        <w:szCs w:val="26"/>
      </w:rPr>
      <w:fldChar w:fldCharType="begin"/>
    </w:r>
    <w:r>
      <w:rPr>
        <w:rFonts w:ascii="Century Gothic" w:eastAsia="Century Gothic" w:hAnsi="Century Gothic" w:cs="Century Gothic"/>
        <w:sz w:val="26"/>
        <w:szCs w:val="26"/>
      </w:rPr>
      <w:instrText>PAGE</w:instrText>
    </w:r>
    <w:r>
      <w:rPr>
        <w:rFonts w:ascii="Century Gothic" w:eastAsia="Century Gothic" w:hAnsi="Century Gothic" w:cs="Century Gothic"/>
        <w:sz w:val="26"/>
        <w:szCs w:val="26"/>
      </w:rPr>
      <w:fldChar w:fldCharType="separate"/>
    </w:r>
    <w:r w:rsidR="0055574A">
      <w:rPr>
        <w:rFonts w:ascii="Century Gothic" w:eastAsia="Century Gothic" w:hAnsi="Century Gothic" w:cs="Century Gothic"/>
        <w:noProof/>
        <w:sz w:val="26"/>
        <w:szCs w:val="26"/>
      </w:rPr>
      <w:t>1</w:t>
    </w:r>
    <w:r>
      <w:rPr>
        <w:rFonts w:ascii="Century Gothic" w:eastAsia="Century Gothic" w:hAnsi="Century Gothic" w:cs="Century Gothic"/>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7493" w14:textId="77777777" w:rsidR="00880DC5" w:rsidRDefault="00880DC5">
      <w:pPr>
        <w:spacing w:after="0" w:line="240" w:lineRule="auto"/>
      </w:pPr>
      <w:r>
        <w:separator/>
      </w:r>
    </w:p>
  </w:footnote>
  <w:footnote w:type="continuationSeparator" w:id="0">
    <w:p w14:paraId="1DCF4CD0" w14:textId="77777777" w:rsidR="00880DC5" w:rsidRDefault="00880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7ECB" w14:textId="77777777" w:rsidR="005912ED" w:rsidRDefault="00C65652">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45A9B3F8" wp14:editId="1A69FAE7">
          <wp:simplePos x="0" y="0"/>
          <wp:positionH relativeFrom="column">
            <wp:posOffset>3315639</wp:posOffset>
          </wp:positionH>
          <wp:positionV relativeFrom="paragraph">
            <wp:posOffset>788670</wp:posOffset>
          </wp:positionV>
          <wp:extent cx="2296490" cy="101219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96490" cy="1012190"/>
                  </a:xfrm>
                  <a:prstGeom prst="rect">
                    <a:avLst/>
                  </a:prstGeom>
                  <a:ln/>
                </pic:spPr>
              </pic:pic>
            </a:graphicData>
          </a:graphic>
        </wp:anchor>
      </w:drawing>
    </w:r>
    <w:r>
      <w:rPr>
        <w:noProof/>
      </w:rPr>
      <w:drawing>
        <wp:anchor distT="0" distB="0" distL="0" distR="0" simplePos="0" relativeHeight="251659264" behindDoc="1" locked="0" layoutInCell="1" hidden="0" allowOverlap="1" wp14:anchorId="6ECB202B" wp14:editId="019E10EE">
          <wp:simplePos x="0" y="0"/>
          <wp:positionH relativeFrom="column">
            <wp:posOffset>-333373</wp:posOffset>
          </wp:positionH>
          <wp:positionV relativeFrom="paragraph">
            <wp:posOffset>-116203</wp:posOffset>
          </wp:positionV>
          <wp:extent cx="1790700" cy="179070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90700" cy="1790700"/>
                  </a:xfrm>
                  <a:prstGeom prst="rect">
                    <a:avLst/>
                  </a:prstGeom>
                  <a:ln/>
                </pic:spPr>
              </pic:pic>
            </a:graphicData>
          </a:graphic>
        </wp:anchor>
      </w:drawing>
    </w:r>
    <w:r>
      <w:rPr>
        <w:noProof/>
      </w:rPr>
      <mc:AlternateContent>
        <mc:Choice Requires="wpg">
          <w:drawing>
            <wp:anchor distT="0" distB="0" distL="0" distR="0" simplePos="0" relativeHeight="251660288" behindDoc="1" locked="0" layoutInCell="1" hidden="0" allowOverlap="1" wp14:anchorId="27FC1EF4" wp14:editId="0E3C3BBB">
              <wp:simplePos x="0" y="0"/>
              <wp:positionH relativeFrom="column">
                <wp:posOffset>1347016</wp:posOffset>
              </wp:positionH>
              <wp:positionV relativeFrom="paragraph">
                <wp:posOffset>-160522</wp:posOffset>
              </wp:positionV>
              <wp:extent cx="4274639" cy="676275"/>
              <wp:effectExtent l="0" t="0" r="0" b="0"/>
              <wp:wrapNone/>
              <wp:docPr id="1" name="Rectángulo 1"/>
              <wp:cNvGraphicFramePr/>
              <a:graphic xmlns:a="http://schemas.openxmlformats.org/drawingml/2006/main">
                <a:graphicData uri="http://schemas.microsoft.com/office/word/2010/wordprocessingShape">
                  <wps:wsp>
                    <wps:cNvSpPr/>
                    <wps:spPr>
                      <a:xfrm>
                        <a:off x="3218206" y="3451388"/>
                        <a:ext cx="4255589" cy="657225"/>
                      </a:xfrm>
                      <a:prstGeom prst="rect">
                        <a:avLst/>
                      </a:prstGeom>
                      <a:solidFill>
                        <a:srgbClr val="FFFFFF"/>
                      </a:solidFill>
                      <a:ln>
                        <a:noFill/>
                      </a:ln>
                    </wps:spPr>
                    <wps:txbx>
                      <w:txbxContent>
                        <w:p w14:paraId="6D39C17F" w14:textId="77777777" w:rsidR="005912ED" w:rsidRDefault="00C65652">
                          <w:pPr>
                            <w:spacing w:after="0" w:line="240" w:lineRule="auto"/>
                            <w:jc w:val="right"/>
                            <w:textDirection w:val="btLr"/>
                          </w:pPr>
                          <w:r>
                            <w:rPr>
                              <w:rFonts w:ascii="Century Gothic" w:eastAsia="Century Gothic" w:hAnsi="Century Gothic" w:cs="Century Gothic"/>
                              <w:b/>
                              <w:i/>
                              <w:color w:val="000000"/>
                              <w:sz w:val="20"/>
                            </w:rPr>
                            <w:t>“</w:t>
                          </w:r>
                          <w:r>
                            <w:rPr>
                              <w:rFonts w:ascii="Century Gothic" w:eastAsia="Century Gothic" w:hAnsi="Century Gothic" w:cs="Century Gothic"/>
                              <w:b/>
                              <w:color w:val="000000"/>
                            </w:rPr>
                            <w:t>2026, Año del Bicentenario de la Abolición de la Esclavitud en el Estado de Chihuahua</w:t>
                          </w:r>
                          <w:r>
                            <w:rPr>
                              <w:rFonts w:ascii="Century Gothic" w:eastAsia="Century Gothic" w:hAnsi="Century Gothic" w:cs="Century Gothic"/>
                              <w:b/>
                              <w:i/>
                              <w:color w:val="000000"/>
                              <w:sz w:val="28"/>
                            </w:rPr>
                            <w:t xml:space="preserve">”                                                                 </w:t>
                          </w:r>
                        </w:p>
                        <w:p w14:paraId="5BC1251D" w14:textId="77777777" w:rsidR="005912ED" w:rsidRDefault="005912ED">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1347016</wp:posOffset>
              </wp:positionH>
              <wp:positionV relativeFrom="paragraph">
                <wp:posOffset>-160522</wp:posOffset>
              </wp:positionV>
              <wp:extent cx="4274639" cy="676275"/>
              <wp:effectExtent b="0" l="0" r="0" t="0"/>
              <wp:wrapNone/>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4274639" cy="676275"/>
                      </a:xfrm>
                      <a:prstGeom prst="rect"/>
                      <a:ln/>
                    </pic:spPr>
                  </pic:pic>
                </a:graphicData>
              </a:graphic>
            </wp:anchor>
          </w:drawing>
        </mc:Fallback>
      </mc:AlternateContent>
    </w:r>
    <w:r>
      <w:rPr>
        <w:noProof/>
      </w:rPr>
      <w:drawing>
        <wp:anchor distT="0" distB="0" distL="0" distR="0" simplePos="0" relativeHeight="251661312" behindDoc="1" locked="0" layoutInCell="1" hidden="0" allowOverlap="1" wp14:anchorId="37CC1FAE" wp14:editId="2CE834E2">
          <wp:simplePos x="0" y="0"/>
          <wp:positionH relativeFrom="column">
            <wp:posOffset>1265555</wp:posOffset>
          </wp:positionH>
          <wp:positionV relativeFrom="paragraph">
            <wp:posOffset>550545</wp:posOffset>
          </wp:positionV>
          <wp:extent cx="4346575" cy="3683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4346575" cy="368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2ED"/>
    <w:rsid w:val="001B0FCC"/>
    <w:rsid w:val="00242FD6"/>
    <w:rsid w:val="0055574A"/>
    <w:rsid w:val="005912ED"/>
    <w:rsid w:val="00880DC5"/>
    <w:rsid w:val="00924FF6"/>
    <w:rsid w:val="00C656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987459F"/>
  <w15:docId w15:val="{13F1A6C4-DB8F-2E4D-B550-C2F5A9E8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76" w:lineRule="auto"/>
      <w:ind w:left="163" w:right="50"/>
      <w:jc w:val="center"/>
      <w:outlineLvl w:val="0"/>
    </w:pPr>
    <w:rPr>
      <w:rFonts w:ascii="Arial" w:eastAsia="Arial" w:hAnsi="Arial" w:cs="Arial"/>
      <w:b/>
      <w:bCs/>
      <w:sz w:val="24"/>
      <w:szCs w:val="24"/>
    </w:rPr>
  </w:style>
  <w:style w:type="paragraph" w:styleId="Ttulo2">
    <w:name w:val="heading 2"/>
    <w:basedOn w:val="Normal"/>
    <w:next w:val="Normal"/>
    <w:uiPriority w:val="9"/>
    <w:semiHidden/>
    <w:unhideWhenUsed/>
    <w:qFormat/>
    <w:pPr>
      <w:widowControl w:val="0"/>
      <w:spacing w:after="0" w:line="240" w:lineRule="auto"/>
      <w:ind w:left="163" w:right="132"/>
      <w:jc w:val="center"/>
      <w:outlineLvl w:val="1"/>
    </w:pPr>
    <w:rPr>
      <w:rFonts w:ascii="Arial" w:eastAsia="Arial" w:hAnsi="Arial" w:cs="Arial"/>
      <w:b/>
      <w:bCs/>
      <w:sz w:val="20"/>
      <w:szCs w:val="20"/>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jLhT1HqQO8olPd/fcaBz7q6fw==">CgMxLjA4AHIhMTcwNnNha3FhYmJvRmRXb1o1cW1tRnNDWXA4Y1RScEt1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1120</Words>
  <Characters>6164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2026-07-06T16:53:00Z</dcterms:created>
  <dcterms:modified xsi:type="dcterms:W3CDTF">2026-07-07T20:57:00Z</dcterms:modified>
</cp:coreProperties>
</file>