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C1B1A" w14:textId="77777777" w:rsidR="00EF5EB9" w:rsidRDefault="00EF5EB9" w:rsidP="00B0624E">
      <w:pPr>
        <w:autoSpaceDE w:val="0"/>
        <w:autoSpaceDN w:val="0"/>
        <w:adjustRightInd w:val="0"/>
        <w:spacing w:after="0" w:line="360" w:lineRule="auto"/>
        <w:jc w:val="both"/>
        <w:rPr>
          <w:rFonts w:ascii="Century Gothic" w:hAnsi="Century Gothic" w:cs="Arial"/>
          <w:b/>
          <w:bCs/>
          <w:color w:val="000000"/>
          <w:sz w:val="24"/>
          <w:szCs w:val="24"/>
        </w:rPr>
      </w:pPr>
    </w:p>
    <w:p w14:paraId="1A18EF9F" w14:textId="0120C1EC" w:rsidR="00230EEA" w:rsidRPr="00B0624E" w:rsidRDefault="00230EEA" w:rsidP="00B0624E">
      <w:pPr>
        <w:autoSpaceDE w:val="0"/>
        <w:autoSpaceDN w:val="0"/>
        <w:adjustRightInd w:val="0"/>
        <w:spacing w:after="0" w:line="360" w:lineRule="auto"/>
        <w:jc w:val="both"/>
        <w:rPr>
          <w:rFonts w:ascii="Century Gothic" w:hAnsi="Century Gothic" w:cs="Arial"/>
          <w:b/>
          <w:bCs/>
          <w:color w:val="000000"/>
          <w:sz w:val="24"/>
          <w:szCs w:val="24"/>
        </w:rPr>
      </w:pPr>
      <w:r w:rsidRPr="00B0624E">
        <w:rPr>
          <w:rFonts w:ascii="Century Gothic" w:hAnsi="Century Gothic" w:cs="Arial"/>
          <w:b/>
          <w:bCs/>
          <w:color w:val="000000"/>
          <w:sz w:val="24"/>
          <w:szCs w:val="24"/>
        </w:rPr>
        <w:t>H. CONGRESO DEL ESTADO DE CHIHUAHUA</w:t>
      </w:r>
    </w:p>
    <w:p w14:paraId="49AD6BFF" w14:textId="77777777" w:rsidR="00230EEA" w:rsidRPr="00B0624E" w:rsidRDefault="00230EEA" w:rsidP="00B0624E">
      <w:pPr>
        <w:autoSpaceDE w:val="0"/>
        <w:autoSpaceDN w:val="0"/>
        <w:adjustRightInd w:val="0"/>
        <w:spacing w:after="0" w:line="360" w:lineRule="auto"/>
        <w:jc w:val="both"/>
        <w:rPr>
          <w:rFonts w:ascii="Century Gothic" w:hAnsi="Century Gothic" w:cs="Arial"/>
          <w:color w:val="000000"/>
          <w:sz w:val="24"/>
          <w:szCs w:val="24"/>
        </w:rPr>
      </w:pPr>
      <w:r w:rsidRPr="00B0624E">
        <w:rPr>
          <w:rFonts w:ascii="Century Gothic" w:hAnsi="Century Gothic" w:cs="Arial"/>
          <w:b/>
          <w:bCs/>
          <w:color w:val="000000"/>
          <w:sz w:val="24"/>
          <w:szCs w:val="24"/>
        </w:rPr>
        <w:t>P R E S E N T E.</w:t>
      </w:r>
    </w:p>
    <w:p w14:paraId="464277DB" w14:textId="11DC948A" w:rsidR="00230EEA" w:rsidRPr="00A156BA" w:rsidRDefault="00230EEA" w:rsidP="00A156BA">
      <w:pPr>
        <w:spacing w:line="360" w:lineRule="auto"/>
        <w:jc w:val="both"/>
        <w:rPr>
          <w:rFonts w:ascii="Century Gothic" w:hAnsi="Century Gothic" w:cs="Arial"/>
          <w:sz w:val="24"/>
          <w:szCs w:val="24"/>
        </w:rPr>
      </w:pPr>
      <w:r w:rsidRPr="00B0624E">
        <w:rPr>
          <w:rFonts w:ascii="Century Gothic" w:hAnsi="Century Gothic" w:cs="Arial"/>
          <w:color w:val="000000"/>
          <w:sz w:val="24"/>
          <w:szCs w:val="24"/>
        </w:rPr>
        <w:t xml:space="preserve">Quienes suscribimos, en nuestro carácter de Diputados de la Sexagésima Octava Legislatura del Estado e integrantes del Grupo Parlamentario de MORENA, con fundamento en lo que disponen los artículos 68, fracción I, de la Constitución Política del Estado Libre y Soberano del Estado de Chihuahua; 167, fracción I, de la Ley Orgánica del Poder Legislativo; así como los numerales 75 y 76 del Reglamento Interior y de Prácticas Parlamentarias del Poder Legislativo, ambos ordenamientos del Estado de Chihuahua, comparecemos ante esta Honorable Representación Popular para presentar iniciativa con carácter de Decreto, a fin de reformar el la Ley </w:t>
      </w:r>
      <w:r w:rsidR="00B0624E">
        <w:rPr>
          <w:rFonts w:ascii="Century Gothic" w:hAnsi="Century Gothic" w:cs="Arial"/>
          <w:color w:val="000000"/>
          <w:sz w:val="24"/>
          <w:szCs w:val="24"/>
        </w:rPr>
        <w:t>Estatal de Educación</w:t>
      </w:r>
      <w:r w:rsidRPr="00B0624E">
        <w:rPr>
          <w:rFonts w:ascii="Century Gothic" w:hAnsi="Century Gothic" w:cs="Arial"/>
          <w:color w:val="000000"/>
          <w:sz w:val="24"/>
          <w:szCs w:val="24"/>
        </w:rPr>
        <w:t xml:space="preserve"> y </w:t>
      </w:r>
      <w:r w:rsidR="00B0624E">
        <w:rPr>
          <w:rFonts w:ascii="Century Gothic" w:hAnsi="Century Gothic" w:cs="Arial"/>
          <w:color w:val="000000"/>
          <w:sz w:val="24"/>
          <w:szCs w:val="24"/>
        </w:rPr>
        <w:t>el Código Penal del Estado</w:t>
      </w:r>
      <w:r w:rsidRPr="00B0624E">
        <w:rPr>
          <w:rFonts w:ascii="Century Gothic" w:hAnsi="Century Gothic" w:cs="Arial"/>
          <w:color w:val="000000"/>
          <w:sz w:val="24"/>
          <w:szCs w:val="24"/>
        </w:rPr>
        <w:t>, ambos ordenamientos del estado de Chihuahua</w:t>
      </w:r>
      <w:r w:rsidR="002F339B">
        <w:rPr>
          <w:rFonts w:ascii="Century Gothic" w:hAnsi="Century Gothic" w:cs="Arial"/>
          <w:color w:val="000000"/>
          <w:sz w:val="24"/>
          <w:szCs w:val="24"/>
        </w:rPr>
        <w:t>,</w:t>
      </w:r>
      <w:r w:rsidR="00B0624E">
        <w:rPr>
          <w:rFonts w:ascii="Century Gothic" w:hAnsi="Century Gothic" w:cs="Arial"/>
          <w:color w:val="000000"/>
          <w:sz w:val="24"/>
          <w:szCs w:val="24"/>
        </w:rPr>
        <w:t xml:space="preserve"> </w:t>
      </w:r>
      <w:r w:rsidR="00B0624E" w:rsidRPr="00A156BA">
        <w:rPr>
          <w:rFonts w:ascii="Century Gothic" w:hAnsi="Century Gothic" w:cs="Arial"/>
          <w:sz w:val="24"/>
          <w:szCs w:val="24"/>
        </w:rPr>
        <w:t>con el objetivo de garantizar la protección integral, la dignidad y la seguridad jurídica de las y los trabajadores de la educación ante denuncias infundadas y violencia institucional o digital</w:t>
      </w:r>
      <w:r w:rsidR="00A156BA" w:rsidRPr="00A156BA">
        <w:rPr>
          <w:rFonts w:ascii="Century Gothic" w:hAnsi="Century Gothic" w:cs="Arial"/>
          <w:sz w:val="24"/>
          <w:szCs w:val="24"/>
        </w:rPr>
        <w:t xml:space="preserve">, </w:t>
      </w:r>
      <w:r w:rsidRPr="00A156BA">
        <w:rPr>
          <w:rFonts w:ascii="Century Gothic" w:hAnsi="Century Gothic" w:cs="Arial"/>
          <w:color w:val="000000"/>
          <w:sz w:val="24"/>
          <w:szCs w:val="24"/>
        </w:rPr>
        <w:t xml:space="preserve">lo anterior al tenor de la siguiente: </w:t>
      </w:r>
    </w:p>
    <w:p w14:paraId="23BE8538" w14:textId="77777777" w:rsidR="00A156BA" w:rsidRDefault="00A156BA" w:rsidP="00B0624E">
      <w:pPr>
        <w:autoSpaceDE w:val="0"/>
        <w:autoSpaceDN w:val="0"/>
        <w:adjustRightInd w:val="0"/>
        <w:spacing w:line="360" w:lineRule="auto"/>
        <w:jc w:val="center"/>
        <w:rPr>
          <w:rFonts w:ascii="Century Gothic" w:hAnsi="Century Gothic" w:cs="Arial"/>
          <w:b/>
          <w:bCs/>
          <w:color w:val="000000"/>
          <w:sz w:val="24"/>
          <w:szCs w:val="24"/>
        </w:rPr>
      </w:pPr>
    </w:p>
    <w:p w14:paraId="34F44572" w14:textId="13FB1E1A" w:rsidR="00230EEA" w:rsidRDefault="00230EEA" w:rsidP="00B0624E">
      <w:pPr>
        <w:autoSpaceDE w:val="0"/>
        <w:autoSpaceDN w:val="0"/>
        <w:adjustRightInd w:val="0"/>
        <w:spacing w:line="360" w:lineRule="auto"/>
        <w:jc w:val="center"/>
        <w:rPr>
          <w:rFonts w:ascii="Century Gothic" w:hAnsi="Century Gothic" w:cs="Arial"/>
          <w:b/>
          <w:bCs/>
          <w:color w:val="000000"/>
          <w:sz w:val="24"/>
          <w:szCs w:val="24"/>
        </w:rPr>
      </w:pPr>
      <w:r w:rsidRPr="00B0624E">
        <w:rPr>
          <w:rFonts w:ascii="Century Gothic" w:hAnsi="Century Gothic" w:cs="Arial"/>
          <w:b/>
          <w:bCs/>
          <w:color w:val="000000"/>
          <w:sz w:val="24"/>
          <w:szCs w:val="24"/>
        </w:rPr>
        <w:t>EXPOSICIÓN DE MOTIVOS:</w:t>
      </w:r>
    </w:p>
    <w:p w14:paraId="0F133E1D" w14:textId="23029B77" w:rsidR="00FD7F43" w:rsidRPr="00B0624E" w:rsidRDefault="00FD7F43" w:rsidP="00B0624E">
      <w:pPr>
        <w:spacing w:line="360" w:lineRule="auto"/>
        <w:jc w:val="both"/>
        <w:rPr>
          <w:rFonts w:ascii="Century Gothic" w:hAnsi="Century Gothic" w:cs="Arial"/>
          <w:sz w:val="24"/>
          <w:szCs w:val="24"/>
        </w:rPr>
      </w:pPr>
      <w:r w:rsidRPr="00B0624E">
        <w:rPr>
          <w:rFonts w:ascii="Century Gothic" w:hAnsi="Century Gothic" w:cs="Arial"/>
          <w:sz w:val="24"/>
          <w:szCs w:val="24"/>
        </w:rPr>
        <w:t>El magisterio y el personal de apoyo a la educación han sido, históricamente, pilares fundamentales de la transformación social de nuestro estado. No obstante, en años recientes, las dinámicas escolares y el uso irresponsable de entornos digitales han expuesto a las y los trabajadores de la educación a un entorno de alta vulnerabilidad debido a la proliferación de campañas de desprestigio, difamaciones mediáticas y denuncias penales o administrativas carentes de sustento.</w:t>
      </w:r>
    </w:p>
    <w:p w14:paraId="4621AE52" w14:textId="125E0D89" w:rsidR="00FD7F43" w:rsidRPr="00B0624E" w:rsidRDefault="00FD7F43" w:rsidP="00B0624E">
      <w:pPr>
        <w:spacing w:line="360" w:lineRule="auto"/>
        <w:jc w:val="both"/>
        <w:rPr>
          <w:rFonts w:ascii="Century Gothic" w:hAnsi="Century Gothic" w:cs="Arial"/>
          <w:sz w:val="24"/>
          <w:szCs w:val="24"/>
        </w:rPr>
      </w:pPr>
      <w:r w:rsidRPr="00B0624E">
        <w:rPr>
          <w:rFonts w:ascii="Century Gothic" w:hAnsi="Century Gothic" w:cs="Arial"/>
          <w:sz w:val="24"/>
          <w:szCs w:val="24"/>
        </w:rPr>
        <w:lastRenderedPageBreak/>
        <w:t>La asimetría en los procesos de queja o denuncia es alarmante. Cuando un docente, directivo o administrativo es blanco de una acusación falsa —ya sea por parte de alumnos, madres, padres de familia o tutores— se activa de inmediato un pesado aparato administrativo o penal que les presupone culpabilidad. El calvario procesal no solo les representa costos económicos desproporcionados en defensa legal particular, sino que atenta gravemente contra su salud física y mental, derivando en cuadros crónicos de ansiedad, ataques de pánico y, en casos sumamente trágicos ocurridos en nuestra entidad, el suicidio de maestras y maestros inocentes.</w:t>
      </w:r>
    </w:p>
    <w:p w14:paraId="15295EE0" w14:textId="113E895D" w:rsidR="00FD7F43" w:rsidRPr="00B0624E" w:rsidRDefault="00FD7F43" w:rsidP="00B0624E">
      <w:pPr>
        <w:spacing w:line="360" w:lineRule="auto"/>
        <w:jc w:val="both"/>
        <w:rPr>
          <w:rFonts w:ascii="Century Gothic" w:hAnsi="Century Gothic" w:cs="Arial"/>
          <w:sz w:val="24"/>
          <w:szCs w:val="24"/>
        </w:rPr>
      </w:pPr>
      <w:r w:rsidRPr="00B0624E">
        <w:rPr>
          <w:rFonts w:ascii="Century Gothic" w:hAnsi="Century Gothic" w:cs="Arial"/>
          <w:sz w:val="24"/>
          <w:szCs w:val="24"/>
        </w:rPr>
        <w:t>Un principio elemental de la justicia social y el humanismo, es que nadie debe sufrir un menoscabo en su vida, honra y patrimonio por causa de la mentira y el dolo de terceros. Actualmente, tras demostrarse plenamente la inocencia de una persona trabajadora de la educación, el expediente se archiva, dejando el daño moral y financiero intacto en la víctima, mientras que los generadores de la infamia gozan de absoluta impunidad.</w:t>
      </w:r>
    </w:p>
    <w:p w14:paraId="25D7BDA2" w14:textId="18FE2F79" w:rsidR="00FD7F43" w:rsidRPr="00B0624E" w:rsidRDefault="00FD7F43" w:rsidP="00B0624E">
      <w:pPr>
        <w:spacing w:line="360" w:lineRule="auto"/>
        <w:jc w:val="both"/>
        <w:rPr>
          <w:rFonts w:ascii="Century Gothic" w:hAnsi="Century Gothic" w:cs="Arial"/>
          <w:sz w:val="24"/>
          <w:szCs w:val="24"/>
        </w:rPr>
      </w:pPr>
      <w:r w:rsidRPr="00B0624E">
        <w:rPr>
          <w:rFonts w:ascii="Century Gothic" w:hAnsi="Century Gothic" w:cs="Arial"/>
          <w:sz w:val="24"/>
          <w:szCs w:val="24"/>
        </w:rPr>
        <w:t>La Ley Estatal de Educación de Chihuahua estipula formalmente en su artículo 14, párrafo quinto, que corresponde a la autoridad garantizar la defensa de la dignidad, honor y estabilidad del personal. Sin embargo, en los hechos, este artículo opera como una declaración de buenas intenciones. Carece del blindaje operativo y de la obligatoriedad institucional para proveer una defensa técnica, gratuita e inmediata al trabajador perseguido injustamente.</w:t>
      </w:r>
    </w:p>
    <w:p w14:paraId="27A8D557" w14:textId="77777777" w:rsidR="00B0624E" w:rsidRDefault="00FD7F43" w:rsidP="00B0624E">
      <w:pPr>
        <w:spacing w:line="360" w:lineRule="auto"/>
        <w:jc w:val="both"/>
        <w:rPr>
          <w:rFonts w:ascii="Century Gothic" w:hAnsi="Century Gothic" w:cs="Arial"/>
          <w:sz w:val="24"/>
          <w:szCs w:val="24"/>
        </w:rPr>
      </w:pPr>
      <w:r w:rsidRPr="00B0624E">
        <w:rPr>
          <w:rFonts w:ascii="Century Gothic" w:hAnsi="Century Gothic" w:cs="Arial"/>
          <w:sz w:val="24"/>
          <w:szCs w:val="24"/>
        </w:rPr>
        <w:t xml:space="preserve">Asimismo, el marco normativo actual que regula los deberes de las madres, padres de familia y tutores dentro del entorno escolar omite de manera flagrante la obligación de conducirse con respeto y dignidad hacia el personal civil de los planteles, abriendo la puerta a conductas de acoso, </w:t>
      </w:r>
    </w:p>
    <w:p w14:paraId="7D4CEF00" w14:textId="77777777" w:rsidR="00B0624E" w:rsidRDefault="00B0624E" w:rsidP="00B0624E">
      <w:pPr>
        <w:spacing w:line="360" w:lineRule="auto"/>
        <w:jc w:val="both"/>
        <w:rPr>
          <w:rFonts w:ascii="Century Gothic" w:hAnsi="Century Gothic" w:cs="Arial"/>
          <w:sz w:val="24"/>
          <w:szCs w:val="24"/>
        </w:rPr>
      </w:pPr>
    </w:p>
    <w:p w14:paraId="76C405D6" w14:textId="130D38E9" w:rsidR="00FD7F43" w:rsidRPr="00B0624E" w:rsidRDefault="00FD7F43" w:rsidP="00B0624E">
      <w:pPr>
        <w:spacing w:line="360" w:lineRule="auto"/>
        <w:jc w:val="both"/>
        <w:rPr>
          <w:rFonts w:ascii="Century Gothic" w:hAnsi="Century Gothic" w:cs="Arial"/>
          <w:sz w:val="24"/>
          <w:szCs w:val="24"/>
        </w:rPr>
      </w:pPr>
      <w:r w:rsidRPr="00B0624E">
        <w:rPr>
          <w:rFonts w:ascii="Century Gothic" w:hAnsi="Century Gothic" w:cs="Arial"/>
          <w:sz w:val="24"/>
          <w:szCs w:val="24"/>
        </w:rPr>
        <w:lastRenderedPageBreak/>
        <w:t>intimidación y violencia verbal en las aulas que restan autoridad pedagógica y precarizan la labor docente.</w:t>
      </w:r>
    </w:p>
    <w:p w14:paraId="5D4D740E" w14:textId="29C1F772" w:rsidR="00FD7F43" w:rsidRPr="00B0624E" w:rsidRDefault="00FD7F43" w:rsidP="00B0624E">
      <w:pPr>
        <w:spacing w:line="360" w:lineRule="auto"/>
        <w:jc w:val="both"/>
        <w:rPr>
          <w:rFonts w:ascii="Century Gothic" w:hAnsi="Century Gothic" w:cs="Arial"/>
          <w:sz w:val="24"/>
          <w:szCs w:val="24"/>
        </w:rPr>
      </w:pPr>
      <w:r w:rsidRPr="00B0624E">
        <w:rPr>
          <w:rFonts w:ascii="Century Gothic" w:hAnsi="Century Gothic" w:cs="Arial"/>
          <w:sz w:val="24"/>
          <w:szCs w:val="24"/>
        </w:rPr>
        <w:t>Como legisladores de la transformación, no podemos tolerar que las escuelas se conviertan en espacios de hostigamiento para quienes educan. Es urgente dotar al Código Penal del Estado de tipos penales específicos que sancionen la violencia física y verbal en contra del personal educativo y que agraven las penas para aquellas conductas delictivas (como amenazas o falsas imputaciones) cometidas con el dolo de quebrantar la carrera, la honra y la estabilidad de un trabajador de la educación.</w:t>
      </w:r>
    </w:p>
    <w:p w14:paraId="28625037" w14:textId="77777777" w:rsidR="00230EEA" w:rsidRPr="00B0624E" w:rsidRDefault="00230EEA" w:rsidP="00B0624E">
      <w:pPr>
        <w:spacing w:line="360" w:lineRule="auto"/>
        <w:jc w:val="both"/>
        <w:rPr>
          <w:rFonts w:ascii="Century Gothic" w:eastAsia="Times New Roman" w:hAnsi="Century Gothic" w:cs="Arial"/>
          <w:b/>
          <w:sz w:val="24"/>
          <w:szCs w:val="24"/>
        </w:rPr>
      </w:pPr>
      <w:r w:rsidRPr="00B0624E">
        <w:rPr>
          <w:rFonts w:ascii="Century Gothic" w:eastAsia="Times New Roman" w:hAnsi="Century Gothic" w:cs="Arial"/>
          <w:bCs/>
          <w:sz w:val="24"/>
          <w:szCs w:val="24"/>
        </w:rPr>
        <w:t>Por lo anteriormente expuesto y con fundamento en los artículos señalados en el proemio del presente escrito, someto a consideración de esta honorable asamblea, el siguiente proyecto de:</w:t>
      </w:r>
    </w:p>
    <w:p w14:paraId="5EAC0F64" w14:textId="77777777" w:rsidR="00230EEA" w:rsidRPr="00B0624E" w:rsidRDefault="00230EEA" w:rsidP="00B0624E">
      <w:pPr>
        <w:spacing w:line="360" w:lineRule="auto"/>
        <w:jc w:val="center"/>
        <w:rPr>
          <w:rFonts w:ascii="Century Gothic" w:eastAsia="Times New Roman" w:hAnsi="Century Gothic" w:cs="Arial"/>
          <w:b/>
          <w:sz w:val="24"/>
          <w:szCs w:val="24"/>
        </w:rPr>
      </w:pPr>
    </w:p>
    <w:p w14:paraId="09D75F20" w14:textId="77777777" w:rsidR="00230EEA" w:rsidRPr="00B0624E" w:rsidRDefault="00230EEA" w:rsidP="00B0624E">
      <w:pPr>
        <w:spacing w:line="360" w:lineRule="auto"/>
        <w:jc w:val="center"/>
        <w:rPr>
          <w:rFonts w:ascii="Century Gothic" w:eastAsia="Times New Roman" w:hAnsi="Century Gothic" w:cs="Arial"/>
          <w:b/>
          <w:sz w:val="24"/>
          <w:szCs w:val="24"/>
        </w:rPr>
      </w:pPr>
      <w:r w:rsidRPr="00B0624E">
        <w:rPr>
          <w:rFonts w:ascii="Century Gothic" w:eastAsia="Times New Roman" w:hAnsi="Century Gothic" w:cs="Arial"/>
          <w:b/>
          <w:sz w:val="24"/>
          <w:szCs w:val="24"/>
        </w:rPr>
        <w:t>DECRETO:</w:t>
      </w:r>
    </w:p>
    <w:p w14:paraId="26690267" w14:textId="4F72563A" w:rsidR="00230EEA" w:rsidRPr="00B0624E" w:rsidRDefault="00230EEA" w:rsidP="00B0624E">
      <w:pPr>
        <w:spacing w:line="360" w:lineRule="auto"/>
        <w:jc w:val="both"/>
        <w:rPr>
          <w:rFonts w:ascii="Century Gothic" w:hAnsi="Century Gothic" w:cs="Arial"/>
          <w:sz w:val="24"/>
          <w:szCs w:val="24"/>
        </w:rPr>
      </w:pPr>
      <w:r w:rsidRPr="00B0624E">
        <w:rPr>
          <w:rFonts w:ascii="Century Gothic" w:hAnsi="Century Gothic" w:cs="Arial"/>
          <w:b/>
          <w:bCs/>
          <w:sz w:val="24"/>
          <w:szCs w:val="24"/>
        </w:rPr>
        <w:t xml:space="preserve">PRIMERO. –  </w:t>
      </w:r>
      <w:r w:rsidRPr="00B0624E">
        <w:rPr>
          <w:rFonts w:ascii="Century Gothic" w:hAnsi="Century Gothic" w:cs="Arial"/>
          <w:sz w:val="24"/>
          <w:szCs w:val="24"/>
        </w:rPr>
        <w:t xml:space="preserve">Se adiciona la fracción X al artículo </w:t>
      </w:r>
      <w:r w:rsidR="00B0624E" w:rsidRPr="00B0624E">
        <w:rPr>
          <w:rFonts w:ascii="Century Gothic" w:hAnsi="Century Gothic" w:cs="Arial"/>
          <w:sz w:val="24"/>
          <w:szCs w:val="24"/>
        </w:rPr>
        <w:t>131</w:t>
      </w:r>
      <w:r w:rsidRPr="00B0624E">
        <w:rPr>
          <w:rFonts w:ascii="Century Gothic" w:hAnsi="Century Gothic" w:cs="Arial"/>
          <w:sz w:val="24"/>
          <w:szCs w:val="24"/>
        </w:rPr>
        <w:t xml:space="preserve"> de la Ley </w:t>
      </w:r>
      <w:r w:rsidR="00B0624E" w:rsidRPr="00B0624E">
        <w:rPr>
          <w:rFonts w:ascii="Century Gothic" w:hAnsi="Century Gothic" w:cs="Arial"/>
          <w:sz w:val="24"/>
          <w:szCs w:val="24"/>
        </w:rPr>
        <w:t>Estatal</w:t>
      </w:r>
      <w:r w:rsidRPr="00B0624E">
        <w:rPr>
          <w:rFonts w:ascii="Century Gothic" w:hAnsi="Century Gothic" w:cs="Arial"/>
          <w:sz w:val="24"/>
          <w:szCs w:val="24"/>
        </w:rPr>
        <w:t xml:space="preserve"> de E</w:t>
      </w:r>
      <w:r w:rsidR="00B0624E" w:rsidRPr="00B0624E">
        <w:rPr>
          <w:rFonts w:ascii="Century Gothic" w:hAnsi="Century Gothic" w:cs="Arial"/>
          <w:sz w:val="24"/>
          <w:szCs w:val="24"/>
        </w:rPr>
        <w:t>ducación</w:t>
      </w:r>
      <w:r w:rsidRPr="00B0624E">
        <w:rPr>
          <w:rFonts w:ascii="Century Gothic" w:hAnsi="Century Gothic" w:cs="Arial"/>
          <w:sz w:val="24"/>
          <w:szCs w:val="24"/>
        </w:rPr>
        <w:t xml:space="preserve"> para quedar redactado de la siguiente manera: </w:t>
      </w:r>
    </w:p>
    <w:p w14:paraId="56D5D55F" w14:textId="77777777" w:rsidR="00B0624E" w:rsidRPr="00B0624E" w:rsidRDefault="00230EEA" w:rsidP="00B0624E">
      <w:pPr>
        <w:spacing w:line="360" w:lineRule="auto"/>
        <w:rPr>
          <w:rFonts w:ascii="Century Gothic" w:hAnsi="Century Gothic" w:cs="Arial"/>
          <w:sz w:val="24"/>
          <w:szCs w:val="24"/>
        </w:rPr>
      </w:pPr>
      <w:r w:rsidRPr="00B0624E">
        <w:rPr>
          <w:rFonts w:ascii="Century Gothic" w:hAnsi="Century Gothic" w:cs="Arial"/>
          <w:b/>
          <w:bCs/>
          <w:sz w:val="24"/>
          <w:szCs w:val="24"/>
        </w:rPr>
        <w:t xml:space="preserve">ARTÍCULO </w:t>
      </w:r>
      <w:r w:rsidR="00B0624E" w:rsidRPr="00B0624E">
        <w:rPr>
          <w:rFonts w:ascii="Century Gothic" w:hAnsi="Century Gothic" w:cs="Arial"/>
          <w:b/>
          <w:bCs/>
          <w:sz w:val="24"/>
          <w:szCs w:val="24"/>
        </w:rPr>
        <w:t xml:space="preserve">131: </w:t>
      </w:r>
      <w:r w:rsidR="00B0624E" w:rsidRPr="00B0624E">
        <w:rPr>
          <w:rFonts w:ascii="Century Gothic" w:hAnsi="Century Gothic" w:cs="Arial"/>
          <w:sz w:val="24"/>
          <w:szCs w:val="24"/>
        </w:rPr>
        <w:t>Son obligaciones de las madres, padre, o de quienes ejerzan la tutela, guarda y custodia:</w:t>
      </w:r>
    </w:p>
    <w:p w14:paraId="7373E5AC" w14:textId="75EF1EDB" w:rsidR="00B0624E" w:rsidRPr="00B0624E" w:rsidRDefault="00B0624E" w:rsidP="00B0624E">
      <w:pPr>
        <w:spacing w:line="360" w:lineRule="auto"/>
        <w:jc w:val="both"/>
        <w:rPr>
          <w:rFonts w:ascii="Century Gothic" w:hAnsi="Century Gothic" w:cs="Arial"/>
          <w:sz w:val="24"/>
          <w:szCs w:val="24"/>
        </w:rPr>
      </w:pPr>
      <w:r w:rsidRPr="00B0624E">
        <w:rPr>
          <w:rFonts w:ascii="Century Gothic" w:hAnsi="Century Gothic" w:cs="Arial"/>
          <w:sz w:val="24"/>
          <w:szCs w:val="24"/>
        </w:rPr>
        <w:t>I. a la IX. [...]</w:t>
      </w:r>
    </w:p>
    <w:p w14:paraId="403EDE5C" w14:textId="717FB942" w:rsidR="00B0624E" w:rsidRPr="00B0624E" w:rsidRDefault="00B0624E" w:rsidP="00B0624E">
      <w:pPr>
        <w:spacing w:line="360" w:lineRule="auto"/>
        <w:jc w:val="both"/>
        <w:rPr>
          <w:rFonts w:ascii="Century Gothic" w:hAnsi="Century Gothic" w:cs="Arial"/>
          <w:b/>
          <w:bCs/>
          <w:sz w:val="24"/>
          <w:szCs w:val="24"/>
        </w:rPr>
      </w:pPr>
      <w:r w:rsidRPr="00B0624E">
        <w:rPr>
          <w:rFonts w:ascii="Century Gothic" w:hAnsi="Century Gothic" w:cs="Arial"/>
          <w:b/>
          <w:bCs/>
          <w:sz w:val="24"/>
          <w:szCs w:val="24"/>
        </w:rPr>
        <w:t>X. Conducirse en todo momento con respeto, decoro y civilidad hacia el personal docente, directivo y administrativo de las instituciones educativas, absteniéndose de realizar actos de intimidación, difamación, violencia verbal o física que atenten contra su integridad o dignidad profesional.</w:t>
      </w:r>
    </w:p>
    <w:p w14:paraId="7F345ECF" w14:textId="77777777" w:rsidR="00B0624E" w:rsidRDefault="00B0624E" w:rsidP="00B0624E">
      <w:pPr>
        <w:spacing w:line="360" w:lineRule="auto"/>
        <w:rPr>
          <w:rFonts w:ascii="Century Gothic" w:hAnsi="Century Gothic" w:cs="Arial"/>
          <w:b/>
          <w:bCs/>
          <w:sz w:val="24"/>
          <w:szCs w:val="24"/>
        </w:rPr>
      </w:pPr>
    </w:p>
    <w:p w14:paraId="60045B5E" w14:textId="58F662AD" w:rsidR="00AB230C" w:rsidRPr="00B0624E" w:rsidRDefault="00AB230C" w:rsidP="00B0624E">
      <w:pPr>
        <w:spacing w:line="360" w:lineRule="auto"/>
        <w:rPr>
          <w:rFonts w:ascii="Century Gothic" w:hAnsi="Century Gothic" w:cs="Arial"/>
          <w:b/>
          <w:bCs/>
          <w:sz w:val="24"/>
          <w:szCs w:val="24"/>
        </w:rPr>
      </w:pPr>
      <w:r w:rsidRPr="00B0624E">
        <w:rPr>
          <w:rFonts w:ascii="Century Gothic" w:hAnsi="Century Gothic" w:cs="Arial"/>
          <w:b/>
          <w:bCs/>
          <w:sz w:val="24"/>
          <w:szCs w:val="24"/>
        </w:rPr>
        <w:lastRenderedPageBreak/>
        <w:t xml:space="preserve">SEGUNDO- </w:t>
      </w:r>
      <w:r w:rsidRPr="00B0624E">
        <w:rPr>
          <w:rFonts w:ascii="Century Gothic" w:hAnsi="Century Gothic" w:cs="Arial"/>
          <w:sz w:val="24"/>
          <w:szCs w:val="24"/>
        </w:rPr>
        <w:t xml:space="preserve">Se adiciona un segundo párrafo al artículo 204 del Código Penal del Estado de Chihuahua para quedar redactado de la siguiente manera: </w:t>
      </w:r>
    </w:p>
    <w:p w14:paraId="7A5DEA81" w14:textId="0D9E9CB5" w:rsidR="00AB230C" w:rsidRPr="00B0624E" w:rsidRDefault="00AB230C" w:rsidP="00B0624E">
      <w:pPr>
        <w:spacing w:line="360" w:lineRule="auto"/>
        <w:rPr>
          <w:rFonts w:ascii="Century Gothic" w:hAnsi="Century Gothic" w:cs="Arial"/>
          <w:sz w:val="24"/>
          <w:szCs w:val="24"/>
        </w:rPr>
      </w:pPr>
      <w:r w:rsidRPr="00B0624E">
        <w:rPr>
          <w:rFonts w:ascii="Century Gothic" w:hAnsi="Century Gothic" w:cs="Arial"/>
          <w:b/>
          <w:bCs/>
          <w:sz w:val="24"/>
          <w:szCs w:val="24"/>
        </w:rPr>
        <w:t>Artículo 204</w:t>
      </w:r>
      <w:r w:rsidRPr="00B0624E">
        <w:rPr>
          <w:rFonts w:ascii="Century Gothic" w:hAnsi="Century Gothic" w:cs="Arial"/>
          <w:sz w:val="24"/>
          <w:szCs w:val="24"/>
        </w:rPr>
        <w:t>: (…)</w:t>
      </w:r>
    </w:p>
    <w:p w14:paraId="18EE7112" w14:textId="57B4913D" w:rsidR="00AB230C" w:rsidRPr="00B0624E" w:rsidRDefault="00AB230C" w:rsidP="00B0624E">
      <w:pPr>
        <w:spacing w:line="360" w:lineRule="auto"/>
        <w:rPr>
          <w:rFonts w:ascii="Century Gothic" w:hAnsi="Century Gothic" w:cs="Arial"/>
          <w:b/>
          <w:bCs/>
          <w:sz w:val="24"/>
          <w:szCs w:val="24"/>
        </w:rPr>
      </w:pPr>
      <w:r w:rsidRPr="00B0624E">
        <w:rPr>
          <w:rFonts w:ascii="Century Gothic" w:hAnsi="Century Gothic" w:cs="Arial"/>
          <w:b/>
          <w:bCs/>
          <w:sz w:val="24"/>
          <w:szCs w:val="24"/>
        </w:rPr>
        <w:t>Cuando las amenazas sean dirigidas a personas docentes, las penas se incrementarán en un</w:t>
      </w:r>
      <w:r w:rsidR="00FD7F43" w:rsidRPr="00B0624E">
        <w:rPr>
          <w:rFonts w:ascii="Century Gothic" w:hAnsi="Century Gothic" w:cs="Arial"/>
          <w:b/>
          <w:bCs/>
          <w:sz w:val="24"/>
          <w:szCs w:val="24"/>
        </w:rPr>
        <w:t xml:space="preserve">a tercera parte. </w:t>
      </w:r>
    </w:p>
    <w:p w14:paraId="4534C72C" w14:textId="172634D8" w:rsidR="00FD7F43" w:rsidRDefault="00FD7F43" w:rsidP="00B0624E">
      <w:pPr>
        <w:spacing w:line="360" w:lineRule="auto"/>
        <w:rPr>
          <w:rFonts w:ascii="Century Gothic" w:hAnsi="Century Gothic" w:cs="Arial"/>
          <w:sz w:val="24"/>
          <w:szCs w:val="24"/>
        </w:rPr>
      </w:pPr>
      <w:r w:rsidRPr="00B0624E">
        <w:rPr>
          <w:rFonts w:ascii="Century Gothic" w:hAnsi="Century Gothic" w:cs="Arial"/>
          <w:sz w:val="24"/>
          <w:szCs w:val="24"/>
        </w:rPr>
        <w:t xml:space="preserve">(…) </w:t>
      </w:r>
    </w:p>
    <w:p w14:paraId="772E9D3F" w14:textId="77777777" w:rsidR="00A156BA" w:rsidRPr="005101EF" w:rsidRDefault="00A156BA" w:rsidP="00A156BA">
      <w:pPr>
        <w:autoSpaceDE w:val="0"/>
        <w:autoSpaceDN w:val="0"/>
        <w:adjustRightInd w:val="0"/>
        <w:spacing w:line="360" w:lineRule="auto"/>
        <w:jc w:val="both"/>
        <w:rPr>
          <w:rFonts w:ascii="Century Gothic" w:hAnsi="Century Gothic" w:cs="Arial"/>
          <w:color w:val="000000"/>
          <w:sz w:val="24"/>
          <w:szCs w:val="24"/>
        </w:rPr>
      </w:pPr>
      <w:proofErr w:type="gramStart"/>
      <w:r w:rsidRPr="005101EF">
        <w:rPr>
          <w:rFonts w:ascii="Century Gothic" w:hAnsi="Century Gothic" w:cs="Arial"/>
          <w:b/>
          <w:bCs/>
          <w:color w:val="000000"/>
          <w:sz w:val="24"/>
          <w:szCs w:val="24"/>
        </w:rPr>
        <w:t>ECONÓMICO.-</w:t>
      </w:r>
      <w:proofErr w:type="gramEnd"/>
      <w:r w:rsidRPr="005101EF">
        <w:rPr>
          <w:rFonts w:ascii="Century Gothic" w:hAnsi="Century Gothic" w:cs="Arial"/>
          <w:color w:val="000000"/>
          <w:sz w:val="24"/>
          <w:szCs w:val="24"/>
        </w:rPr>
        <w:t xml:space="preserve"> Aprobado que sea, túrnese a la Secretaría de Asuntos Legislativos para que elabore la Minuta de Decreto, en los términos en que deba publicarse. </w:t>
      </w:r>
    </w:p>
    <w:p w14:paraId="73CE9DE6" w14:textId="6A5B8B1F" w:rsidR="00A156BA" w:rsidRPr="005101EF" w:rsidRDefault="00A156BA" w:rsidP="00A156BA">
      <w:pPr>
        <w:autoSpaceDE w:val="0"/>
        <w:autoSpaceDN w:val="0"/>
        <w:adjustRightInd w:val="0"/>
        <w:spacing w:line="360" w:lineRule="auto"/>
        <w:jc w:val="both"/>
        <w:rPr>
          <w:rFonts w:ascii="Century Gothic" w:hAnsi="Century Gothic" w:cs="Arial"/>
          <w:color w:val="000000"/>
          <w:sz w:val="24"/>
          <w:szCs w:val="24"/>
        </w:rPr>
      </w:pPr>
      <w:r w:rsidRPr="006555C7">
        <w:rPr>
          <w:rFonts w:ascii="Century Gothic" w:hAnsi="Century Gothic" w:cs="Arial"/>
          <w:b/>
          <w:bCs/>
          <w:color w:val="000000"/>
          <w:sz w:val="24"/>
          <w:szCs w:val="24"/>
        </w:rPr>
        <w:t>DADO</w:t>
      </w:r>
      <w:r w:rsidRPr="006555C7">
        <w:rPr>
          <w:rFonts w:ascii="Century Gothic" w:hAnsi="Century Gothic" w:cs="Arial"/>
          <w:color w:val="000000"/>
          <w:sz w:val="24"/>
          <w:szCs w:val="24"/>
        </w:rPr>
        <w:t xml:space="preserve"> en el </w:t>
      </w:r>
      <w:r w:rsidR="000A7668" w:rsidRPr="006555C7">
        <w:rPr>
          <w:rFonts w:ascii="Century Gothic" w:hAnsi="Century Gothic" w:cs="Arial"/>
          <w:color w:val="000000"/>
          <w:sz w:val="24"/>
          <w:szCs w:val="24"/>
        </w:rPr>
        <w:t xml:space="preserve">Centro Cultural Guachochi, Dr. Andrés </w:t>
      </w:r>
      <w:proofErr w:type="spellStart"/>
      <w:r w:rsidR="000A7668" w:rsidRPr="006555C7">
        <w:rPr>
          <w:rFonts w:ascii="Century Gothic" w:hAnsi="Century Gothic" w:cs="Arial"/>
          <w:color w:val="000000"/>
          <w:sz w:val="24"/>
          <w:szCs w:val="24"/>
        </w:rPr>
        <w:t>Balleza</w:t>
      </w:r>
      <w:proofErr w:type="spellEnd"/>
      <w:r w:rsidR="000A7668" w:rsidRPr="006555C7">
        <w:rPr>
          <w:rFonts w:ascii="Century Gothic" w:hAnsi="Century Gothic" w:cs="Arial"/>
          <w:color w:val="000000"/>
          <w:sz w:val="24"/>
          <w:szCs w:val="24"/>
        </w:rPr>
        <w:t xml:space="preserve"> Carreón</w:t>
      </w:r>
      <w:r w:rsidRPr="006555C7">
        <w:rPr>
          <w:rFonts w:ascii="Century Gothic" w:hAnsi="Century Gothic" w:cs="Arial"/>
          <w:color w:val="000000"/>
          <w:sz w:val="24"/>
          <w:szCs w:val="24"/>
        </w:rPr>
        <w:t xml:space="preserve">, en la Ciudad de </w:t>
      </w:r>
      <w:r w:rsidR="000A7668" w:rsidRPr="006555C7">
        <w:rPr>
          <w:rFonts w:ascii="Century Gothic" w:hAnsi="Century Gothic" w:cs="Arial"/>
          <w:color w:val="000000"/>
          <w:sz w:val="24"/>
          <w:szCs w:val="24"/>
        </w:rPr>
        <w:t>Guachochi</w:t>
      </w:r>
      <w:r w:rsidRPr="006555C7">
        <w:rPr>
          <w:rFonts w:ascii="Century Gothic" w:hAnsi="Century Gothic" w:cs="Arial"/>
          <w:color w:val="000000"/>
          <w:sz w:val="24"/>
          <w:szCs w:val="24"/>
        </w:rPr>
        <w:t>, Chih</w:t>
      </w:r>
      <w:r w:rsidR="006555C7" w:rsidRPr="006555C7">
        <w:rPr>
          <w:rFonts w:ascii="Century Gothic" w:hAnsi="Century Gothic" w:cs="Arial"/>
          <w:color w:val="000000"/>
          <w:sz w:val="24"/>
          <w:szCs w:val="24"/>
        </w:rPr>
        <w:t>uahua</w:t>
      </w:r>
      <w:r w:rsidRPr="006555C7">
        <w:rPr>
          <w:rFonts w:ascii="Century Gothic" w:hAnsi="Century Gothic" w:cs="Arial"/>
          <w:color w:val="000000"/>
          <w:sz w:val="24"/>
          <w:szCs w:val="24"/>
        </w:rPr>
        <w:t>., a los seis</w:t>
      </w:r>
      <w:r w:rsidRPr="006555C7">
        <w:rPr>
          <w:rFonts w:ascii="Century Gothic" w:hAnsi="Century Gothic" w:cs="Arial"/>
          <w:b/>
          <w:bCs/>
          <w:color w:val="000000"/>
          <w:sz w:val="24"/>
          <w:szCs w:val="24"/>
        </w:rPr>
        <w:t xml:space="preserve"> </w:t>
      </w:r>
      <w:r w:rsidRPr="006555C7">
        <w:rPr>
          <w:rFonts w:ascii="Century Gothic" w:hAnsi="Century Gothic" w:cs="Arial"/>
          <w:color w:val="000000"/>
          <w:sz w:val="24"/>
          <w:szCs w:val="24"/>
        </w:rPr>
        <w:t>días del mes de ju</w:t>
      </w:r>
      <w:r w:rsidR="00F73626">
        <w:rPr>
          <w:rFonts w:ascii="Century Gothic" w:hAnsi="Century Gothic" w:cs="Arial"/>
          <w:color w:val="000000"/>
          <w:sz w:val="24"/>
          <w:szCs w:val="24"/>
        </w:rPr>
        <w:t>lio</w:t>
      </w:r>
      <w:r w:rsidRPr="006555C7">
        <w:rPr>
          <w:rFonts w:ascii="Century Gothic" w:hAnsi="Century Gothic" w:cs="Arial"/>
          <w:color w:val="000000"/>
          <w:sz w:val="24"/>
          <w:szCs w:val="24"/>
        </w:rPr>
        <w:t xml:space="preserve"> del año dos mil veintiséis.</w:t>
      </w:r>
      <w:r w:rsidRPr="005101EF">
        <w:rPr>
          <w:rFonts w:ascii="Century Gothic" w:hAnsi="Century Gothic" w:cs="Arial"/>
          <w:color w:val="000000"/>
          <w:sz w:val="24"/>
          <w:szCs w:val="24"/>
        </w:rPr>
        <w:t xml:space="preserve"> </w:t>
      </w:r>
    </w:p>
    <w:p w14:paraId="588C7451" w14:textId="77777777" w:rsidR="00A156BA" w:rsidRPr="005101EF" w:rsidRDefault="00A156BA" w:rsidP="00A156BA">
      <w:pPr>
        <w:autoSpaceDE w:val="0"/>
        <w:autoSpaceDN w:val="0"/>
        <w:adjustRightInd w:val="0"/>
        <w:spacing w:line="360" w:lineRule="auto"/>
        <w:jc w:val="center"/>
        <w:rPr>
          <w:rFonts w:ascii="Century Gothic" w:hAnsi="Century Gothic" w:cs="Arial"/>
          <w:b/>
          <w:bCs/>
          <w:color w:val="000000"/>
          <w:sz w:val="24"/>
          <w:szCs w:val="24"/>
        </w:rPr>
      </w:pPr>
    </w:p>
    <w:p w14:paraId="1F5739B2" w14:textId="77777777" w:rsidR="00A156BA" w:rsidRPr="005101EF" w:rsidRDefault="00A156BA" w:rsidP="00A156BA">
      <w:pPr>
        <w:autoSpaceDE w:val="0"/>
        <w:autoSpaceDN w:val="0"/>
        <w:adjustRightInd w:val="0"/>
        <w:spacing w:line="360" w:lineRule="auto"/>
        <w:jc w:val="center"/>
        <w:rPr>
          <w:rFonts w:ascii="Century Gothic" w:hAnsi="Century Gothic" w:cs="Arial"/>
          <w:b/>
          <w:bCs/>
          <w:color w:val="000000"/>
          <w:sz w:val="24"/>
          <w:szCs w:val="24"/>
        </w:rPr>
      </w:pPr>
      <w:r w:rsidRPr="005101EF">
        <w:rPr>
          <w:rFonts w:ascii="Century Gothic" w:hAnsi="Century Gothic" w:cs="Arial"/>
          <w:b/>
          <w:bCs/>
          <w:color w:val="000000"/>
          <w:sz w:val="24"/>
          <w:szCs w:val="24"/>
        </w:rPr>
        <w:t>A T E N T A M E N T E:</w:t>
      </w:r>
    </w:p>
    <w:p w14:paraId="704D1536" w14:textId="77777777" w:rsidR="00A156BA" w:rsidRPr="005101EF" w:rsidRDefault="00A156BA" w:rsidP="00A156BA">
      <w:pPr>
        <w:autoSpaceDE w:val="0"/>
        <w:autoSpaceDN w:val="0"/>
        <w:adjustRightInd w:val="0"/>
        <w:spacing w:line="360" w:lineRule="auto"/>
        <w:jc w:val="center"/>
        <w:rPr>
          <w:rFonts w:ascii="Century Gothic" w:hAnsi="Century Gothic" w:cs="Arial"/>
          <w:b/>
          <w:bCs/>
          <w:color w:val="000000"/>
          <w:sz w:val="24"/>
          <w:szCs w:val="24"/>
        </w:rPr>
      </w:pPr>
    </w:p>
    <w:p w14:paraId="5833B79F" w14:textId="77777777" w:rsidR="00A156BA" w:rsidRPr="005101EF" w:rsidRDefault="00A156BA" w:rsidP="00A156BA">
      <w:pPr>
        <w:spacing w:line="360" w:lineRule="auto"/>
        <w:jc w:val="center"/>
        <w:rPr>
          <w:rFonts w:ascii="Century Gothic" w:eastAsia="Century Gothic" w:hAnsi="Century Gothic" w:cs="Arial"/>
          <w:b/>
          <w:sz w:val="24"/>
          <w:szCs w:val="24"/>
        </w:rPr>
      </w:pPr>
    </w:p>
    <w:p w14:paraId="5318241B" w14:textId="77777777" w:rsidR="00A156BA" w:rsidRPr="005101EF" w:rsidRDefault="00A156BA" w:rsidP="00A156BA">
      <w:pPr>
        <w:spacing w:line="360" w:lineRule="auto"/>
        <w:jc w:val="center"/>
        <w:rPr>
          <w:rFonts w:ascii="Century Gothic" w:eastAsia="Century Gothic" w:hAnsi="Century Gothic" w:cs="Arial"/>
          <w:b/>
          <w:sz w:val="24"/>
          <w:szCs w:val="24"/>
        </w:rPr>
      </w:pPr>
      <w:proofErr w:type="spellStart"/>
      <w:r w:rsidRPr="005101EF">
        <w:rPr>
          <w:rFonts w:ascii="Century Gothic" w:eastAsia="Century Gothic" w:hAnsi="Century Gothic" w:cs="Arial"/>
          <w:b/>
          <w:sz w:val="24"/>
          <w:szCs w:val="24"/>
        </w:rPr>
        <w:t>Dip</w:t>
      </w:r>
      <w:proofErr w:type="spellEnd"/>
      <w:r w:rsidRPr="005101EF">
        <w:rPr>
          <w:rFonts w:ascii="Century Gothic" w:eastAsia="Century Gothic" w:hAnsi="Century Gothic" w:cs="Arial"/>
          <w:b/>
          <w:sz w:val="24"/>
          <w:szCs w:val="24"/>
        </w:rPr>
        <w:t>. Pedro Torres Estrada.</w:t>
      </w:r>
    </w:p>
    <w:tbl>
      <w:tblPr>
        <w:tblW w:w="8838" w:type="dxa"/>
        <w:tblBorders>
          <w:top w:val="nil"/>
          <w:left w:val="nil"/>
          <w:bottom w:val="nil"/>
          <w:right w:val="nil"/>
          <w:insideH w:val="nil"/>
          <w:insideV w:val="nil"/>
        </w:tblBorders>
        <w:tblLayout w:type="fixed"/>
        <w:tblLook w:val="0600" w:firstRow="0" w:lastRow="0" w:firstColumn="0" w:lastColumn="0" w:noHBand="1" w:noVBand="1"/>
      </w:tblPr>
      <w:tblGrid>
        <w:gridCol w:w="4427"/>
        <w:gridCol w:w="4411"/>
      </w:tblGrid>
      <w:tr w:rsidR="00A156BA" w:rsidRPr="005101EF" w14:paraId="7ECC4064" w14:textId="77777777" w:rsidTr="001A3115">
        <w:trPr>
          <w:trHeight w:val="1530"/>
        </w:trPr>
        <w:tc>
          <w:tcPr>
            <w:tcW w:w="4427" w:type="dxa"/>
            <w:tcBorders>
              <w:top w:val="single" w:sz="6" w:space="0" w:color="FFFFFF"/>
              <w:left w:val="single" w:sz="6" w:space="0" w:color="FFFFFF"/>
              <w:bottom w:val="single" w:sz="6" w:space="0" w:color="FFFFFF"/>
              <w:right w:val="single" w:sz="6" w:space="0" w:color="FFFFFF"/>
            </w:tcBorders>
            <w:tcMar>
              <w:top w:w="100" w:type="dxa"/>
              <w:left w:w="100" w:type="dxa"/>
              <w:bottom w:w="100" w:type="dxa"/>
              <w:right w:w="100" w:type="dxa"/>
            </w:tcMar>
          </w:tcPr>
          <w:p w14:paraId="602DF560"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5E2B4E59"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3E698A71"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Dip.Ed</w:t>
            </w:r>
            <w:r>
              <w:rPr>
                <w:rFonts w:ascii="Century Gothic" w:eastAsia="Century Gothic" w:hAnsi="Century Gothic" w:cs="Arial"/>
                <w:b/>
                <w:sz w:val="24"/>
                <w:szCs w:val="24"/>
                <w:shd w:val="clear" w:color="auto" w:fill="FEFFFF"/>
              </w:rPr>
              <w:t>í</w:t>
            </w:r>
            <w:r w:rsidRPr="005101EF">
              <w:rPr>
                <w:rFonts w:ascii="Century Gothic" w:eastAsia="Century Gothic" w:hAnsi="Century Gothic" w:cs="Arial"/>
                <w:b/>
                <w:sz w:val="24"/>
                <w:szCs w:val="24"/>
                <w:shd w:val="clear" w:color="auto" w:fill="FEFFFF"/>
              </w:rPr>
              <w:t>n</w:t>
            </w:r>
            <w:proofErr w:type="spellEnd"/>
            <w:r>
              <w:rPr>
                <w:rFonts w:ascii="Century Gothic" w:eastAsia="Century Gothic" w:hAnsi="Century Gothic" w:cs="Arial"/>
                <w:b/>
                <w:sz w:val="24"/>
                <w:szCs w:val="24"/>
                <w:shd w:val="clear" w:color="auto" w:fill="FEFFFF"/>
              </w:rPr>
              <w:t xml:space="preserve"> </w:t>
            </w:r>
            <w:r w:rsidRPr="005101EF">
              <w:rPr>
                <w:rFonts w:ascii="Century Gothic" w:eastAsia="Century Gothic" w:hAnsi="Century Gothic" w:cs="Arial"/>
                <w:b/>
                <w:sz w:val="24"/>
                <w:szCs w:val="24"/>
                <w:shd w:val="clear" w:color="auto" w:fill="FEFFFF"/>
              </w:rPr>
              <w:t>Cuauhtémoc Estrada Sotelo</w:t>
            </w:r>
          </w:p>
        </w:tc>
        <w:tc>
          <w:tcPr>
            <w:tcW w:w="4411" w:type="dxa"/>
            <w:tcBorders>
              <w:top w:val="single" w:sz="6" w:space="0" w:color="FFFFFF"/>
              <w:left w:val="nil"/>
              <w:bottom w:val="single" w:sz="6" w:space="0" w:color="FFFFFF"/>
              <w:right w:val="single" w:sz="6" w:space="0" w:color="FFFFFF"/>
            </w:tcBorders>
            <w:tcMar>
              <w:top w:w="100" w:type="dxa"/>
              <w:left w:w="100" w:type="dxa"/>
              <w:bottom w:w="100" w:type="dxa"/>
              <w:right w:w="100" w:type="dxa"/>
            </w:tcMar>
          </w:tcPr>
          <w:p w14:paraId="71F0F048"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433EF530"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6151162A"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Magdalena Rentería Pérez</w:t>
            </w:r>
          </w:p>
        </w:tc>
      </w:tr>
      <w:tr w:rsidR="00A156BA" w:rsidRPr="005101EF" w14:paraId="40FBFCAA" w14:textId="77777777" w:rsidTr="001A3115">
        <w:trPr>
          <w:trHeight w:val="1530"/>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7CCF352F"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34384BD4" w14:textId="77777777" w:rsidR="00A156BA" w:rsidRDefault="00A156BA" w:rsidP="001A3115">
            <w:pPr>
              <w:spacing w:line="360" w:lineRule="auto"/>
              <w:jc w:val="both"/>
              <w:rPr>
                <w:rFonts w:ascii="Century Gothic" w:eastAsia="Century Gothic" w:hAnsi="Century Gothic" w:cs="Arial"/>
                <w:b/>
                <w:sz w:val="24"/>
                <w:szCs w:val="24"/>
                <w:shd w:val="clear" w:color="auto" w:fill="FEFFFF"/>
              </w:rPr>
            </w:pPr>
          </w:p>
          <w:p w14:paraId="6EC1D250"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Edith Palma Ontiveros</w:t>
            </w: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1CAE4026"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r w:rsidRPr="005101EF">
              <w:rPr>
                <w:rFonts w:ascii="Century Gothic" w:eastAsia="Century Gothic" w:hAnsi="Century Gothic" w:cs="Arial"/>
                <w:b/>
                <w:sz w:val="24"/>
                <w:szCs w:val="24"/>
                <w:shd w:val="clear" w:color="auto" w:fill="FEFFFF"/>
              </w:rPr>
              <w:t xml:space="preserve"> </w:t>
            </w:r>
          </w:p>
          <w:p w14:paraId="63DFB9A9" w14:textId="77777777" w:rsidR="00A156BA" w:rsidRDefault="00A156BA" w:rsidP="001A3115">
            <w:pPr>
              <w:spacing w:line="360" w:lineRule="auto"/>
              <w:jc w:val="both"/>
              <w:rPr>
                <w:rFonts w:ascii="Century Gothic" w:eastAsia="Century Gothic" w:hAnsi="Century Gothic" w:cs="Arial"/>
                <w:b/>
                <w:sz w:val="24"/>
                <w:szCs w:val="24"/>
                <w:shd w:val="clear" w:color="auto" w:fill="FEFFFF"/>
              </w:rPr>
            </w:pPr>
          </w:p>
          <w:p w14:paraId="18E269A7"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Elizabeth Guzmán Argueta</w:t>
            </w:r>
          </w:p>
        </w:tc>
      </w:tr>
    </w:tbl>
    <w:p w14:paraId="1E18ED29" w14:textId="77777777" w:rsidR="00A156BA" w:rsidRPr="005101EF" w:rsidRDefault="00A156BA" w:rsidP="00A156BA">
      <w:pPr>
        <w:spacing w:line="360" w:lineRule="auto"/>
        <w:jc w:val="both"/>
        <w:rPr>
          <w:rFonts w:ascii="Century Gothic" w:hAnsi="Century Gothic" w:cs="Arial"/>
          <w:b/>
          <w:bCs/>
          <w:sz w:val="24"/>
          <w:szCs w:val="24"/>
        </w:rPr>
      </w:pPr>
    </w:p>
    <w:tbl>
      <w:tblPr>
        <w:tblW w:w="8838" w:type="dxa"/>
        <w:tblBorders>
          <w:top w:val="nil"/>
          <w:left w:val="nil"/>
          <w:bottom w:val="nil"/>
          <w:right w:val="nil"/>
          <w:insideH w:val="nil"/>
          <w:insideV w:val="nil"/>
        </w:tblBorders>
        <w:tblLayout w:type="fixed"/>
        <w:tblLook w:val="0600" w:firstRow="0" w:lastRow="0" w:firstColumn="0" w:lastColumn="0" w:noHBand="1" w:noVBand="1"/>
      </w:tblPr>
      <w:tblGrid>
        <w:gridCol w:w="4427"/>
        <w:gridCol w:w="4411"/>
      </w:tblGrid>
      <w:tr w:rsidR="00A156BA" w:rsidRPr="005101EF" w14:paraId="6E160A37" w14:textId="77777777" w:rsidTr="001A3115">
        <w:trPr>
          <w:trHeight w:val="1530"/>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3D4F0AD9"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1C5FEF37" w14:textId="77777777" w:rsidR="00A156BA" w:rsidRPr="005101EF" w:rsidRDefault="00A156BA" w:rsidP="001A3115">
            <w:pPr>
              <w:spacing w:line="360" w:lineRule="auto"/>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Herminia Gómez Carrasco</w:t>
            </w: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2768D64A"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7BF1AF65"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r w:rsidRPr="005101EF">
              <w:rPr>
                <w:rFonts w:ascii="Century Gothic" w:eastAsia="Century Gothic" w:hAnsi="Century Gothic" w:cs="Arial"/>
                <w:b/>
                <w:sz w:val="24"/>
                <w:szCs w:val="24"/>
                <w:shd w:val="clear" w:color="auto" w:fill="FEFFFF"/>
              </w:rPr>
              <w:t xml:space="preserve">     </w:t>
            </w: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Brenda Francisca Ríos Prieto</w:t>
            </w:r>
          </w:p>
          <w:p w14:paraId="01E29FB8"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tc>
      </w:tr>
      <w:tr w:rsidR="00A156BA" w:rsidRPr="005101EF" w14:paraId="269AA604" w14:textId="77777777" w:rsidTr="001A3115">
        <w:trPr>
          <w:trHeight w:val="1530"/>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437E7606" w14:textId="77777777" w:rsidR="00A156BA" w:rsidRDefault="00A156BA" w:rsidP="001A3115">
            <w:pPr>
              <w:spacing w:line="360" w:lineRule="auto"/>
              <w:jc w:val="both"/>
              <w:rPr>
                <w:rFonts w:ascii="Century Gothic" w:eastAsia="Century Gothic" w:hAnsi="Century Gothic" w:cs="Arial"/>
                <w:b/>
                <w:sz w:val="24"/>
                <w:szCs w:val="24"/>
                <w:shd w:val="clear" w:color="auto" w:fill="FEFFFF"/>
              </w:rPr>
            </w:pPr>
          </w:p>
          <w:p w14:paraId="658294CD"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Leticia Ortega Máynez</w:t>
            </w: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7AF26F3F" w14:textId="77777777" w:rsidR="00A156BA" w:rsidRDefault="00A156BA" w:rsidP="001A3115">
            <w:pPr>
              <w:spacing w:line="360" w:lineRule="auto"/>
              <w:jc w:val="both"/>
              <w:rPr>
                <w:rFonts w:ascii="Century Gothic" w:eastAsia="Century Gothic" w:hAnsi="Century Gothic" w:cs="Arial"/>
                <w:b/>
                <w:sz w:val="24"/>
                <w:szCs w:val="24"/>
                <w:shd w:val="clear" w:color="auto" w:fill="FEFFFF"/>
              </w:rPr>
            </w:pPr>
          </w:p>
          <w:p w14:paraId="41A2B0C2"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María Antonieta Pérez Reyes</w:t>
            </w:r>
          </w:p>
          <w:p w14:paraId="1963D979" w14:textId="77777777" w:rsidR="00A156BA" w:rsidRPr="005101EF" w:rsidRDefault="00A156BA" w:rsidP="001A3115">
            <w:pPr>
              <w:spacing w:line="360" w:lineRule="auto"/>
              <w:ind w:firstLine="708"/>
              <w:jc w:val="both"/>
              <w:rPr>
                <w:rFonts w:ascii="Century Gothic" w:eastAsia="Century Gothic" w:hAnsi="Century Gothic" w:cs="Arial"/>
                <w:sz w:val="24"/>
                <w:szCs w:val="24"/>
              </w:rPr>
            </w:pPr>
          </w:p>
        </w:tc>
      </w:tr>
      <w:tr w:rsidR="00A156BA" w:rsidRPr="005101EF" w14:paraId="711B8F0C" w14:textId="77777777" w:rsidTr="00A156BA">
        <w:trPr>
          <w:trHeight w:val="1587"/>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15DF9DA1"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
          <w:p w14:paraId="3EAEE97A"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Jael Argüelles Díaz</w:t>
            </w:r>
          </w:p>
          <w:p w14:paraId="457A798C" w14:textId="72BE4BB6" w:rsidR="00A156BA" w:rsidRPr="005101EF" w:rsidRDefault="00EF5EB9" w:rsidP="001A3115">
            <w:pPr>
              <w:spacing w:line="360" w:lineRule="auto"/>
              <w:jc w:val="both"/>
              <w:rPr>
                <w:rFonts w:ascii="Century Gothic" w:eastAsia="Century Gothic" w:hAnsi="Century Gothic" w:cs="Arial"/>
                <w:b/>
                <w:sz w:val="24"/>
                <w:szCs w:val="24"/>
                <w:shd w:val="clear" w:color="auto" w:fill="FEFFFF"/>
              </w:rPr>
            </w:pPr>
            <w:r>
              <w:rPr>
                <w:rFonts w:ascii="Century Gothic" w:eastAsia="Century Gothic" w:hAnsi="Century Gothic" w:cs="Arial"/>
                <w:b/>
                <w:noProof/>
                <w:sz w:val="24"/>
                <w:szCs w:val="24"/>
              </w:rPr>
              <mc:AlternateContent>
                <mc:Choice Requires="wps">
                  <w:drawing>
                    <wp:anchor distT="0" distB="0" distL="114300" distR="114300" simplePos="0" relativeHeight="251659264" behindDoc="0" locked="0" layoutInCell="1" allowOverlap="1" wp14:anchorId="096B68DA" wp14:editId="1916F79D">
                      <wp:simplePos x="0" y="0"/>
                      <wp:positionH relativeFrom="column">
                        <wp:posOffset>-72390</wp:posOffset>
                      </wp:positionH>
                      <wp:positionV relativeFrom="paragraph">
                        <wp:posOffset>207645</wp:posOffset>
                      </wp:positionV>
                      <wp:extent cx="5553075" cy="561975"/>
                      <wp:effectExtent l="0" t="0" r="28575" b="28575"/>
                      <wp:wrapNone/>
                      <wp:docPr id="1" name="Cuadro de texto 1"/>
                      <wp:cNvGraphicFramePr/>
                      <a:graphic xmlns:a="http://schemas.openxmlformats.org/drawingml/2006/main">
                        <a:graphicData uri="http://schemas.microsoft.com/office/word/2010/wordprocessingShape">
                          <wps:wsp>
                            <wps:cNvSpPr txBox="1"/>
                            <wps:spPr>
                              <a:xfrm>
                                <a:off x="0" y="0"/>
                                <a:ext cx="5553075" cy="561975"/>
                              </a:xfrm>
                              <a:prstGeom prst="rect">
                                <a:avLst/>
                              </a:prstGeom>
                              <a:solidFill>
                                <a:schemeClr val="lt1"/>
                              </a:solidFill>
                              <a:ln w="6350">
                                <a:solidFill>
                                  <a:prstClr val="black"/>
                                </a:solidFill>
                              </a:ln>
                            </wps:spPr>
                            <wps:txbx>
                              <w:txbxContent>
                                <w:p w14:paraId="5BEAD962" w14:textId="77777777" w:rsidR="00EF5EB9" w:rsidRPr="00A156BA" w:rsidRDefault="00EF5EB9" w:rsidP="00EF5EB9">
                                  <w:pPr>
                                    <w:jc w:val="both"/>
                                    <w:rPr>
                                      <w:rFonts w:ascii="Century Gothic" w:hAnsi="Century Gothic"/>
                                      <w:sz w:val="16"/>
                                      <w:szCs w:val="16"/>
                                    </w:rPr>
                                  </w:pPr>
                                  <w:r w:rsidRPr="00A156BA">
                                    <w:rPr>
                                      <w:rFonts w:ascii="Century Gothic" w:hAnsi="Century Gothic" w:cs="Arial"/>
                                      <w:sz w:val="16"/>
                                      <w:szCs w:val="16"/>
                                    </w:rPr>
                                    <w:t xml:space="preserve">Esta hoja de firmas corresponde a la proposición con carácter de decreto </w:t>
                                  </w:r>
                                  <w:r w:rsidRPr="00A156BA">
                                    <w:rPr>
                                      <w:rFonts w:ascii="Century Gothic" w:hAnsi="Century Gothic" w:cs="Arial"/>
                                      <w:sz w:val="18"/>
                                      <w:szCs w:val="18"/>
                                    </w:rPr>
                                    <w:t>con el objetivo de garantizar la protección integral, la dignidad y la seguridad jurídica de las y los trabajadores de la educación</w:t>
                                  </w:r>
                                  <w:r>
                                    <w:rPr>
                                      <w:rFonts w:ascii="Century Gothic" w:hAnsi="Century Gothic" w:cs="Arial"/>
                                      <w:sz w:val="18"/>
                                      <w:szCs w:val="18"/>
                                    </w:rPr>
                                    <w:t>.</w:t>
                                  </w:r>
                                </w:p>
                                <w:p w14:paraId="43928472" w14:textId="77777777" w:rsidR="00EF5EB9" w:rsidRDefault="00EF5E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B68DA" id="_x0000_t202" coordsize="21600,21600" o:spt="202" path="m,l,21600r21600,l21600,xe">
                      <v:stroke joinstyle="miter"/>
                      <v:path gradientshapeok="t" o:connecttype="rect"/>
                    </v:shapetype>
                    <v:shape id="Cuadro de texto 1" o:spid="_x0000_s1026" type="#_x0000_t202" style="position:absolute;left:0;text-align:left;margin-left:-5.7pt;margin-top:16.35pt;width:437.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" fillcolor="white [3201]" strokeweight=".5pt">
                      <v:textbox>
                        <w:txbxContent>
                          <w:p w14:paraId="5BEAD962" w14:textId="77777777" w:rsidR="00EF5EB9" w:rsidRPr="00A156BA" w:rsidRDefault="00EF5EB9" w:rsidP="00EF5EB9">
                            <w:pPr>
                              <w:jc w:val="both"/>
                              <w:rPr>
                                <w:rFonts w:ascii="Century Gothic" w:hAnsi="Century Gothic"/>
                                <w:sz w:val="16"/>
                                <w:szCs w:val="16"/>
                              </w:rPr>
                            </w:pPr>
                            <w:r w:rsidRPr="00A156BA">
                              <w:rPr>
                                <w:rFonts w:ascii="Century Gothic" w:hAnsi="Century Gothic" w:cs="Arial"/>
                                <w:sz w:val="16"/>
                                <w:szCs w:val="16"/>
                              </w:rPr>
                              <w:t xml:space="preserve">Esta hoja de firmas corresponde a la proposición con carácter de decreto </w:t>
                            </w:r>
                            <w:r w:rsidRPr="00A156BA">
                              <w:rPr>
                                <w:rFonts w:ascii="Century Gothic" w:hAnsi="Century Gothic" w:cs="Arial"/>
                                <w:sz w:val="18"/>
                                <w:szCs w:val="18"/>
                              </w:rPr>
                              <w:t>con el objetivo de garantizar la protección integral, la dignidad y la seguridad jurídica de las y los trabajadores de la educación</w:t>
                            </w:r>
                            <w:r>
                              <w:rPr>
                                <w:rFonts w:ascii="Century Gothic" w:hAnsi="Century Gothic" w:cs="Arial"/>
                                <w:sz w:val="18"/>
                                <w:szCs w:val="18"/>
                              </w:rPr>
                              <w:t>.</w:t>
                            </w:r>
                          </w:p>
                          <w:p w14:paraId="43928472" w14:textId="77777777" w:rsidR="00EF5EB9" w:rsidRDefault="00EF5EB9"/>
                        </w:txbxContent>
                      </v:textbox>
                    </v:shape>
                  </w:pict>
                </mc:Fallback>
              </mc:AlternateContent>
            </w: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0695D64A"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r w:rsidRPr="005101EF">
              <w:rPr>
                <w:rFonts w:ascii="Century Gothic" w:eastAsia="Century Gothic" w:hAnsi="Century Gothic" w:cs="Arial"/>
                <w:b/>
                <w:sz w:val="24"/>
                <w:szCs w:val="24"/>
                <w:shd w:val="clear" w:color="auto" w:fill="FEFFFF"/>
              </w:rPr>
              <w:t xml:space="preserve"> </w:t>
            </w:r>
          </w:p>
          <w:p w14:paraId="3D4A93F9" w14:textId="77777777" w:rsidR="00A156BA" w:rsidRPr="005101EF" w:rsidRDefault="00A156BA" w:rsidP="001A3115">
            <w:pPr>
              <w:spacing w:line="360" w:lineRule="auto"/>
              <w:jc w:val="both"/>
              <w:rPr>
                <w:rFonts w:ascii="Century Gothic" w:eastAsia="Century Gothic" w:hAnsi="Century Gothic" w:cs="Arial"/>
                <w:b/>
                <w:sz w:val="24"/>
                <w:szCs w:val="24"/>
                <w:shd w:val="clear" w:color="auto" w:fill="FEFFFF"/>
              </w:rPr>
            </w:pPr>
            <w:proofErr w:type="spellStart"/>
            <w:r w:rsidRPr="005101EF">
              <w:rPr>
                <w:rFonts w:ascii="Century Gothic" w:eastAsia="Century Gothic" w:hAnsi="Century Gothic" w:cs="Arial"/>
                <w:b/>
                <w:sz w:val="24"/>
                <w:szCs w:val="24"/>
                <w:shd w:val="clear" w:color="auto" w:fill="FEFFFF"/>
              </w:rPr>
              <w:t>Dip</w:t>
            </w:r>
            <w:proofErr w:type="spellEnd"/>
            <w:r w:rsidRPr="005101EF">
              <w:rPr>
                <w:rFonts w:ascii="Century Gothic" w:eastAsia="Century Gothic" w:hAnsi="Century Gothic" w:cs="Arial"/>
                <w:b/>
                <w:sz w:val="24"/>
                <w:szCs w:val="24"/>
                <w:shd w:val="clear" w:color="auto" w:fill="FEFFFF"/>
              </w:rPr>
              <w:t xml:space="preserve">. Oscar Daniel Avitia Arellanes </w:t>
            </w:r>
          </w:p>
        </w:tc>
      </w:tr>
      <w:tr w:rsidR="00A156BA" w:rsidRPr="005101EF" w14:paraId="763254D3" w14:textId="77777777" w:rsidTr="00A156BA">
        <w:trPr>
          <w:trHeight w:val="25"/>
        </w:trPr>
        <w:tc>
          <w:tcPr>
            <w:tcW w:w="8838" w:type="dxa"/>
            <w:gridSpan w:val="2"/>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494BA629" w14:textId="77777777" w:rsidR="00A156BA" w:rsidRPr="005101EF" w:rsidRDefault="00A156BA" w:rsidP="001A3115">
            <w:pPr>
              <w:tabs>
                <w:tab w:val="left" w:pos="5235"/>
              </w:tabs>
              <w:spacing w:line="360" w:lineRule="auto"/>
              <w:jc w:val="both"/>
              <w:rPr>
                <w:rFonts w:ascii="Century Gothic" w:eastAsia="Century Gothic" w:hAnsi="Century Gothic" w:cs="Arial"/>
                <w:b/>
                <w:sz w:val="24"/>
                <w:szCs w:val="24"/>
                <w:shd w:val="clear" w:color="auto" w:fill="FEFFFF"/>
              </w:rPr>
            </w:pPr>
          </w:p>
        </w:tc>
      </w:tr>
    </w:tbl>
    <w:p w14:paraId="2FC60FDF" w14:textId="1FC074F0" w:rsidR="00B0624E" w:rsidRPr="00A156BA" w:rsidRDefault="00B0624E" w:rsidP="00A156BA">
      <w:pPr>
        <w:spacing w:line="360" w:lineRule="auto"/>
        <w:jc w:val="both"/>
        <w:rPr>
          <w:rFonts w:ascii="Century Gothic" w:hAnsi="Century Gothic"/>
          <w:sz w:val="16"/>
          <w:szCs w:val="16"/>
        </w:rPr>
      </w:pPr>
    </w:p>
    <w:sectPr w:rsidR="00B0624E" w:rsidRPr="00A156BA" w:rsidSect="006A339C">
      <w:headerReference w:type="even" r:id="rId7"/>
      <w:headerReference w:type="default" r:id="rId8"/>
      <w:footerReference w:type="even" r:id="rId9"/>
      <w:footerReference w:type="default" r:id="rId10"/>
      <w:headerReference w:type="first" r:id="rId11"/>
      <w:footerReference w:type="first" r:id="rId12"/>
      <w:pgSz w:w="12240" w:h="15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5DC16" w14:textId="77777777" w:rsidR="0032226B" w:rsidRDefault="0032226B" w:rsidP="007F665E">
      <w:pPr>
        <w:spacing w:after="0" w:line="240" w:lineRule="auto"/>
      </w:pPr>
      <w:r>
        <w:separator/>
      </w:r>
    </w:p>
  </w:endnote>
  <w:endnote w:type="continuationSeparator" w:id="0">
    <w:p w14:paraId="11A8B73F" w14:textId="77777777" w:rsidR="0032226B" w:rsidRDefault="0032226B" w:rsidP="007F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9DE5" w14:textId="77777777" w:rsidR="00AB6DB1" w:rsidRDefault="00AB6D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64E7" w14:textId="77777777" w:rsidR="00AB6DB1" w:rsidRDefault="00AB6D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C3E7" w14:textId="77777777" w:rsidR="00AB6DB1" w:rsidRDefault="00AB6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6C9D" w14:textId="77777777" w:rsidR="0032226B" w:rsidRDefault="0032226B" w:rsidP="007F665E">
      <w:pPr>
        <w:spacing w:after="0" w:line="240" w:lineRule="auto"/>
      </w:pPr>
      <w:r>
        <w:separator/>
      </w:r>
    </w:p>
  </w:footnote>
  <w:footnote w:type="continuationSeparator" w:id="0">
    <w:p w14:paraId="35AC8201" w14:textId="77777777" w:rsidR="0032226B" w:rsidRDefault="0032226B" w:rsidP="007F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49CD" w14:textId="77777777" w:rsidR="00AB6DB1" w:rsidRDefault="00AB6D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6FA229A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E35A" w14:textId="77777777" w:rsidR="00AB6DB1" w:rsidRDefault="00AB6D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511E7"/>
    <w:multiLevelType w:val="hybridMultilevel"/>
    <w:tmpl w:val="CBFC0A9A"/>
    <w:lvl w:ilvl="0" w:tplc="A1966AF6">
      <w:start w:val="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1DB51FD"/>
    <w:multiLevelType w:val="multilevel"/>
    <w:tmpl w:val="5980E2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6E1469E"/>
    <w:multiLevelType w:val="hybridMultilevel"/>
    <w:tmpl w:val="D7101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34AF4"/>
    <w:rsid w:val="0005181E"/>
    <w:rsid w:val="000A7668"/>
    <w:rsid w:val="000B55FF"/>
    <w:rsid w:val="000F0E33"/>
    <w:rsid w:val="001911AA"/>
    <w:rsid w:val="001A2866"/>
    <w:rsid w:val="001E5423"/>
    <w:rsid w:val="00230EEA"/>
    <w:rsid w:val="00291896"/>
    <w:rsid w:val="002F339B"/>
    <w:rsid w:val="003131E2"/>
    <w:rsid w:val="003148B1"/>
    <w:rsid w:val="0032226B"/>
    <w:rsid w:val="00326670"/>
    <w:rsid w:val="00341566"/>
    <w:rsid w:val="00374BB6"/>
    <w:rsid w:val="003B1FD3"/>
    <w:rsid w:val="003D3DCB"/>
    <w:rsid w:val="003F2B32"/>
    <w:rsid w:val="00405E82"/>
    <w:rsid w:val="00406705"/>
    <w:rsid w:val="00444C92"/>
    <w:rsid w:val="00474CF3"/>
    <w:rsid w:val="00474CFF"/>
    <w:rsid w:val="00480B2B"/>
    <w:rsid w:val="004865CF"/>
    <w:rsid w:val="00486AFD"/>
    <w:rsid w:val="004C1D83"/>
    <w:rsid w:val="004C60C5"/>
    <w:rsid w:val="004D5B3F"/>
    <w:rsid w:val="004F4807"/>
    <w:rsid w:val="00513809"/>
    <w:rsid w:val="00561A86"/>
    <w:rsid w:val="0059206D"/>
    <w:rsid w:val="005E0DF5"/>
    <w:rsid w:val="005F7DB5"/>
    <w:rsid w:val="00652673"/>
    <w:rsid w:val="006555C7"/>
    <w:rsid w:val="00671BB7"/>
    <w:rsid w:val="006A339C"/>
    <w:rsid w:val="006A4ED0"/>
    <w:rsid w:val="0070484A"/>
    <w:rsid w:val="00740750"/>
    <w:rsid w:val="007659A7"/>
    <w:rsid w:val="007926CD"/>
    <w:rsid w:val="007F665E"/>
    <w:rsid w:val="00852DA5"/>
    <w:rsid w:val="008818DB"/>
    <w:rsid w:val="008F1E54"/>
    <w:rsid w:val="008F5B89"/>
    <w:rsid w:val="008F6A06"/>
    <w:rsid w:val="00913C71"/>
    <w:rsid w:val="00953B98"/>
    <w:rsid w:val="009715A5"/>
    <w:rsid w:val="00A02F09"/>
    <w:rsid w:val="00A10783"/>
    <w:rsid w:val="00A156BA"/>
    <w:rsid w:val="00A37092"/>
    <w:rsid w:val="00A4474A"/>
    <w:rsid w:val="00AB230C"/>
    <w:rsid w:val="00AB6DB1"/>
    <w:rsid w:val="00AE3F63"/>
    <w:rsid w:val="00AF3AF7"/>
    <w:rsid w:val="00B0624E"/>
    <w:rsid w:val="00BA6F58"/>
    <w:rsid w:val="00BE6EA0"/>
    <w:rsid w:val="00C17A1B"/>
    <w:rsid w:val="00C837C3"/>
    <w:rsid w:val="00CA0C8D"/>
    <w:rsid w:val="00CB6DF4"/>
    <w:rsid w:val="00CE1AFF"/>
    <w:rsid w:val="00CE5C19"/>
    <w:rsid w:val="00CF6E7B"/>
    <w:rsid w:val="00D03976"/>
    <w:rsid w:val="00D65DAA"/>
    <w:rsid w:val="00D74A1F"/>
    <w:rsid w:val="00D839DB"/>
    <w:rsid w:val="00DA0072"/>
    <w:rsid w:val="00DB3F45"/>
    <w:rsid w:val="00EA4121"/>
    <w:rsid w:val="00EB012D"/>
    <w:rsid w:val="00EB545C"/>
    <w:rsid w:val="00ED6CEF"/>
    <w:rsid w:val="00EF5EB9"/>
    <w:rsid w:val="00F12306"/>
    <w:rsid w:val="00F24AB0"/>
    <w:rsid w:val="00F56A41"/>
    <w:rsid w:val="00F62100"/>
    <w:rsid w:val="00F73626"/>
    <w:rsid w:val="00F74696"/>
    <w:rsid w:val="00F85652"/>
    <w:rsid w:val="00FD7F43"/>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096FBB2B-836E-4ABF-BA55-3A74FFA7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DF4"/>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after="0" w:line="240" w:lineRule="auto"/>
    </w:pPr>
    <w:rPr>
      <w:lang w:val="es-MX"/>
    </w:r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after="0" w:line="240" w:lineRule="auto"/>
    </w:pPr>
    <w:rPr>
      <w:lang w:val="es-MX"/>
    </w:rPr>
  </w:style>
  <w:style w:type="character" w:customStyle="1" w:styleId="PiedepginaCar">
    <w:name w:val="Pie de página Car"/>
    <w:basedOn w:val="Fuentedeprrafopredeter"/>
    <w:link w:val="Piedepgina"/>
    <w:uiPriority w:val="99"/>
    <w:rsid w:val="007F665E"/>
  </w:style>
  <w:style w:type="paragraph" w:styleId="Sinespaciado">
    <w:name w:val="No Spacing"/>
    <w:uiPriority w:val="1"/>
    <w:qFormat/>
    <w:rsid w:val="00CB6DF4"/>
    <w:pPr>
      <w:spacing w:after="0" w:line="240" w:lineRule="auto"/>
    </w:pPr>
    <w:rPr>
      <w:lang w:val="es-ES"/>
    </w:rPr>
  </w:style>
  <w:style w:type="table" w:styleId="Tablaconcuadrcula">
    <w:name w:val="Table Grid"/>
    <w:basedOn w:val="Tablanormal"/>
    <w:uiPriority w:val="39"/>
    <w:rsid w:val="00341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Imagen,Tabla de contenido"/>
    <w:basedOn w:val="Normal"/>
    <w:link w:val="PrrafodelistaCar"/>
    <w:uiPriority w:val="34"/>
    <w:qFormat/>
    <w:rsid w:val="00CE1AFF"/>
    <w:pPr>
      <w:spacing w:after="160" w:line="259" w:lineRule="auto"/>
      <w:ind w:left="720"/>
      <w:contextualSpacing/>
    </w:pPr>
    <w:rPr>
      <w:lang w:val="es-MX"/>
    </w:rPr>
  </w:style>
  <w:style w:type="character" w:customStyle="1" w:styleId="PrrafodelistaCar">
    <w:name w:val="Párrafo de lista Car"/>
    <w:aliases w:val="Imagen Car,Tabla de contenido Car"/>
    <w:link w:val="Prrafodelista"/>
    <w:uiPriority w:val="34"/>
    <w:locked/>
    <w:rsid w:val="00CA0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874</Words>
  <Characters>4808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2026-06-22T18:18:00Z</cp:lastPrinted>
  <dcterms:created xsi:type="dcterms:W3CDTF">2026-07-03T20:13:00Z</dcterms:created>
  <dcterms:modified xsi:type="dcterms:W3CDTF">2026-07-03T20:13:00Z</dcterms:modified>
</cp:coreProperties>
</file>