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2F238" w14:textId="77777777" w:rsidR="00DA339A" w:rsidRPr="00FC2319" w:rsidRDefault="00DA339A" w:rsidP="00DA339A">
      <w:pPr>
        <w:spacing w:after="0" w:line="360" w:lineRule="auto"/>
        <w:rPr>
          <w:rFonts w:ascii="Century Gothic" w:hAnsi="Century Gothic"/>
          <w:b/>
          <w:bCs/>
          <w:sz w:val="24"/>
          <w:szCs w:val="24"/>
        </w:rPr>
      </w:pPr>
      <w:r w:rsidRPr="00FC2319">
        <w:rPr>
          <w:rFonts w:ascii="Century Gothic" w:hAnsi="Century Gothic"/>
          <w:b/>
          <w:bCs/>
          <w:sz w:val="24"/>
          <w:szCs w:val="24"/>
        </w:rPr>
        <w:t>H. CONGRESO DEL ESTADO DE CHIHUAHUA</w:t>
      </w:r>
    </w:p>
    <w:p w14:paraId="44235092" w14:textId="77777777" w:rsidR="00DA339A" w:rsidRDefault="00DA339A" w:rsidP="00DA339A">
      <w:pPr>
        <w:spacing w:after="0" w:line="360" w:lineRule="auto"/>
        <w:jc w:val="both"/>
        <w:rPr>
          <w:rFonts w:ascii="Century Gothic" w:hAnsi="Century Gothic"/>
          <w:b/>
          <w:bCs/>
          <w:sz w:val="24"/>
          <w:szCs w:val="24"/>
        </w:rPr>
      </w:pPr>
      <w:r w:rsidRPr="00FC2319">
        <w:rPr>
          <w:rFonts w:ascii="Century Gothic" w:hAnsi="Century Gothic"/>
          <w:b/>
          <w:bCs/>
          <w:sz w:val="24"/>
          <w:szCs w:val="24"/>
        </w:rPr>
        <w:t>P R E S E N T E.</w:t>
      </w:r>
      <w:r>
        <w:rPr>
          <w:rFonts w:ascii="Century Gothic" w:hAnsi="Century Gothic"/>
          <w:b/>
          <w:bCs/>
          <w:sz w:val="24"/>
          <w:szCs w:val="24"/>
        </w:rPr>
        <w:t>-</w:t>
      </w:r>
    </w:p>
    <w:p w14:paraId="19D6BF31" w14:textId="77777777" w:rsidR="00DA339A" w:rsidRDefault="00DA339A" w:rsidP="00DA339A">
      <w:pPr>
        <w:spacing w:after="0" w:line="360" w:lineRule="auto"/>
        <w:jc w:val="both"/>
        <w:rPr>
          <w:rFonts w:ascii="Century Gothic" w:hAnsi="Century Gothic"/>
          <w:b/>
          <w:bCs/>
          <w:sz w:val="24"/>
          <w:szCs w:val="24"/>
        </w:rPr>
      </w:pPr>
      <w:r w:rsidRPr="00FC2319">
        <w:rPr>
          <w:rFonts w:ascii="Century Gothic" w:hAnsi="Century Gothic"/>
          <w:sz w:val="24"/>
          <w:szCs w:val="24"/>
        </w:rPr>
        <w:t xml:space="preserve">Quien suscribe, </w:t>
      </w:r>
      <w:r w:rsidRPr="00137869">
        <w:rPr>
          <w:rFonts w:ascii="Century Gothic" w:hAnsi="Century Gothic"/>
          <w:b/>
          <w:sz w:val="24"/>
          <w:szCs w:val="24"/>
        </w:rPr>
        <w:t>América Victoria Aguilar Gil</w:t>
      </w:r>
      <w:r w:rsidRPr="00FC2319">
        <w:rPr>
          <w:rFonts w:ascii="Century Gothic" w:hAnsi="Century Gothic"/>
          <w:sz w:val="24"/>
          <w:szCs w:val="24"/>
        </w:rPr>
        <w:t xml:space="preserve">, en mi carácter de Diputada de la Sexagésima Octava Legislatura del Honorable Congreso del Estado de Chihuahua, con fundamento en los artículos 64, fracciones I, II y III de la Constitución Política del Estado; 167 fracción I de la Ley Orgánica del Poder Legislativo del Estado de Chihuahua; 75, 76 y 77 del Reglamento Interior y de Prácticas Parlamentarias del Poder Legislativo, someto a la consideración de esta Honorable Asamblea la siguiente iniciativa con carácter de decreto, con el propósito de que </w:t>
      </w:r>
      <w:r w:rsidRPr="00FC2319">
        <w:rPr>
          <w:rFonts w:ascii="Century Gothic" w:hAnsi="Century Gothic"/>
          <w:b/>
          <w:sz w:val="24"/>
          <w:szCs w:val="24"/>
        </w:rPr>
        <w:t>se reformen y adicione</w:t>
      </w:r>
      <w:r>
        <w:rPr>
          <w:rFonts w:ascii="Century Gothic" w:hAnsi="Century Gothic"/>
          <w:b/>
          <w:sz w:val="24"/>
          <w:szCs w:val="24"/>
        </w:rPr>
        <w:t xml:space="preserve">n diversas disposiciones de la Ley Orgánica del Poder Ejecutivo así como la Ley Orgánica del Poder Legislativo, </w:t>
      </w:r>
      <w:r w:rsidRPr="004E2B3A">
        <w:rPr>
          <w:rFonts w:ascii="Century Gothic" w:hAnsi="Century Gothic"/>
          <w:sz w:val="24"/>
          <w:szCs w:val="24"/>
        </w:rPr>
        <w:t>ambos ordenamientos del Estado de Chihuahua</w:t>
      </w:r>
      <w:r>
        <w:rPr>
          <w:rFonts w:ascii="Century Gothic" w:hAnsi="Century Gothic"/>
          <w:b/>
          <w:sz w:val="24"/>
          <w:szCs w:val="24"/>
        </w:rPr>
        <w:t xml:space="preserve">,  </w:t>
      </w:r>
      <w:r w:rsidRPr="00FC2319">
        <w:rPr>
          <w:rFonts w:ascii="Century Gothic" w:hAnsi="Century Gothic"/>
          <w:sz w:val="24"/>
          <w:szCs w:val="24"/>
        </w:rPr>
        <w:t>lo anterior</w:t>
      </w:r>
      <w:r>
        <w:rPr>
          <w:rFonts w:ascii="Century Gothic" w:hAnsi="Century Gothic"/>
          <w:sz w:val="24"/>
          <w:szCs w:val="24"/>
        </w:rPr>
        <w:t>,</w:t>
      </w:r>
      <w:r w:rsidRPr="00FC2319">
        <w:rPr>
          <w:rFonts w:ascii="Century Gothic" w:hAnsi="Century Gothic"/>
          <w:sz w:val="24"/>
          <w:szCs w:val="24"/>
        </w:rPr>
        <w:t xml:space="preserve"> bajo el sustento de la siguiente:</w:t>
      </w:r>
    </w:p>
    <w:p w14:paraId="5E717F95" w14:textId="77777777" w:rsidR="00DA339A" w:rsidRPr="00655453" w:rsidRDefault="00DA339A" w:rsidP="00DA339A">
      <w:pPr>
        <w:spacing w:after="0" w:line="360" w:lineRule="auto"/>
        <w:jc w:val="both"/>
        <w:rPr>
          <w:rFonts w:ascii="Century Gothic" w:hAnsi="Century Gothic"/>
          <w:b/>
          <w:bCs/>
          <w:sz w:val="24"/>
          <w:szCs w:val="24"/>
        </w:rPr>
      </w:pPr>
    </w:p>
    <w:p w14:paraId="43386D97" w14:textId="77777777" w:rsidR="00DA339A" w:rsidRDefault="00DA339A" w:rsidP="00DA339A">
      <w:pPr>
        <w:spacing w:after="0" w:line="360" w:lineRule="auto"/>
        <w:jc w:val="center"/>
        <w:rPr>
          <w:rFonts w:ascii="Century Gothic" w:hAnsi="Century Gothic"/>
          <w:b/>
          <w:bCs/>
          <w:sz w:val="27"/>
          <w:szCs w:val="27"/>
        </w:rPr>
      </w:pPr>
      <w:r w:rsidRPr="00FC2319">
        <w:rPr>
          <w:rFonts w:ascii="Century Gothic" w:hAnsi="Century Gothic"/>
          <w:b/>
          <w:bCs/>
          <w:sz w:val="27"/>
          <w:szCs w:val="27"/>
        </w:rPr>
        <w:t>EXPOSICIÓN DE MOTIVOS</w:t>
      </w:r>
    </w:p>
    <w:p w14:paraId="4BBE2760" w14:textId="77777777" w:rsidR="00DA339A" w:rsidRDefault="00DA339A" w:rsidP="00DA339A">
      <w:p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</w:p>
    <w:p w14:paraId="66D11A5C" w14:textId="656AC2C0" w:rsidR="00DA339A" w:rsidRPr="001C761A" w:rsidRDefault="00DA339A" w:rsidP="00DA339A">
      <w:pPr>
        <w:spacing w:after="0" w:line="360" w:lineRule="auto"/>
        <w:jc w:val="both"/>
        <w:rPr>
          <w:rFonts w:ascii="Century Gothic" w:hAnsi="Century Gothic"/>
          <w:b/>
          <w:bCs/>
          <w:sz w:val="27"/>
          <w:szCs w:val="27"/>
        </w:rPr>
      </w:pPr>
      <w:r w:rsidRPr="001C761A">
        <w:rPr>
          <w:rFonts w:ascii="Century Gothic" w:hAnsi="Century Gothic"/>
          <w:sz w:val="24"/>
          <w:szCs w:val="24"/>
        </w:rPr>
        <w:t xml:space="preserve">La violencia laboral constituye una manifestación de violencia estructural que vulnera derechos humanos, afecta la dignidad de las personas trabajadoras, deteriora el servicio público y debilita la confianza </w:t>
      </w:r>
      <w:r>
        <w:rPr>
          <w:rFonts w:ascii="Century Gothic" w:hAnsi="Century Gothic"/>
          <w:sz w:val="24"/>
          <w:szCs w:val="24"/>
        </w:rPr>
        <w:t xml:space="preserve">institucional. Sus expresiones, </w:t>
      </w:r>
      <w:r w:rsidRPr="001C761A">
        <w:rPr>
          <w:rFonts w:ascii="Century Gothic" w:hAnsi="Century Gothic"/>
          <w:sz w:val="24"/>
          <w:szCs w:val="24"/>
        </w:rPr>
        <w:t>incluyendo acoso laboral, hostigamiento, violencia psicológica, discriminación, violencia sexual en el ámbito de trabajo, represalias, intimidación</w:t>
      </w:r>
      <w:r>
        <w:rPr>
          <w:rFonts w:ascii="Century Gothic" w:hAnsi="Century Gothic"/>
          <w:sz w:val="24"/>
          <w:szCs w:val="24"/>
        </w:rPr>
        <w:t xml:space="preserve"> y abuso de poder,</w:t>
      </w:r>
      <w:r w:rsidRPr="001C761A">
        <w:rPr>
          <w:rFonts w:ascii="Century Gothic" w:hAnsi="Century Gothic"/>
          <w:sz w:val="24"/>
          <w:szCs w:val="24"/>
        </w:rPr>
        <w:t xml:space="preserve"> no sólo lesionan derechos individuales, sino que producen impactos colectivos en la productividad, el clima organizacional, la permanencia en el empleo, la salud mental y el acceso efectivo a espacios laborales seguros.</w:t>
      </w:r>
    </w:p>
    <w:p w14:paraId="6DD03DE6" w14:textId="77777777" w:rsidR="00DA339A" w:rsidRPr="001C761A" w:rsidRDefault="00DA339A" w:rsidP="00DA339A">
      <w:pPr>
        <w:spacing w:after="0" w:line="360" w:lineRule="auto"/>
        <w:ind w:firstLine="708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>En México, e</w:t>
      </w:r>
      <w:r w:rsidRPr="001C761A">
        <w:rPr>
          <w:rFonts w:ascii="Century Gothic" w:hAnsi="Century Gothic"/>
          <w:sz w:val="24"/>
          <w:szCs w:val="24"/>
        </w:rPr>
        <w:t>l derecho a desempeñarse en entornos libres de violencia encuentra sustento en los artículos 1º y 123 de la Constitución Política de los Estados Unidos Mexicanos; en la Convención sobre la Eliminación de Todas las Formas de Discriminación contra la Mujer; en la Convención Interamericana para Prevenir, Sancionar y Erradicar la Violencia contra la Mujer; así como en diversos estándares nacionales e internacionales que imponen a las autoridades el deber de prevenir, atender, investigar y, en su caso, sancionar conductas que constituyan violencia en los espacios de trabajo.</w:t>
      </w:r>
    </w:p>
    <w:p w14:paraId="7D22A0AC" w14:textId="699D2313" w:rsidR="00DA339A" w:rsidRDefault="00DA339A" w:rsidP="00DA339A">
      <w:pPr>
        <w:spacing w:after="0" w:line="360" w:lineRule="auto"/>
        <w:ind w:firstLine="708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Sin embargo, a pesar de</w:t>
      </w:r>
      <w:r w:rsidRPr="001C761A">
        <w:rPr>
          <w:rFonts w:ascii="Century Gothic" w:hAnsi="Century Gothic"/>
          <w:sz w:val="24"/>
          <w:szCs w:val="24"/>
        </w:rPr>
        <w:t xml:space="preserve"> dicho marco normativo, </w:t>
      </w:r>
      <w:r>
        <w:rPr>
          <w:rFonts w:ascii="Century Gothic" w:hAnsi="Century Gothic"/>
          <w:sz w:val="24"/>
          <w:szCs w:val="24"/>
        </w:rPr>
        <w:t xml:space="preserve">aún </w:t>
      </w:r>
      <w:r w:rsidRPr="001C761A">
        <w:rPr>
          <w:rFonts w:ascii="Century Gothic" w:hAnsi="Century Gothic"/>
          <w:sz w:val="24"/>
          <w:szCs w:val="24"/>
        </w:rPr>
        <w:t>persiste una brecha entre el reconocimiento formal de d</w:t>
      </w:r>
      <w:r>
        <w:rPr>
          <w:rFonts w:ascii="Century Gothic" w:hAnsi="Century Gothic"/>
          <w:sz w:val="24"/>
          <w:szCs w:val="24"/>
        </w:rPr>
        <w:t xml:space="preserve">erechos y su garantía material. </w:t>
      </w:r>
      <w:r w:rsidRPr="001C761A">
        <w:rPr>
          <w:rFonts w:ascii="Century Gothic" w:hAnsi="Century Gothic"/>
          <w:sz w:val="24"/>
          <w:szCs w:val="24"/>
        </w:rPr>
        <w:t>En Chihuahua, esta problemátic</w:t>
      </w:r>
      <w:r>
        <w:rPr>
          <w:rFonts w:ascii="Century Gothic" w:hAnsi="Century Gothic"/>
          <w:sz w:val="24"/>
          <w:szCs w:val="24"/>
        </w:rPr>
        <w:t xml:space="preserve">a no es hipotética ni marginal. </w:t>
      </w:r>
      <w:r w:rsidRPr="001C761A">
        <w:rPr>
          <w:rFonts w:ascii="Century Gothic" w:hAnsi="Century Gothic"/>
          <w:sz w:val="24"/>
          <w:szCs w:val="24"/>
        </w:rPr>
        <w:t xml:space="preserve">Datos retomados de la ENDIREH muestran que un porcentaje relevante de mujeres en el </w:t>
      </w:r>
      <w:r>
        <w:rPr>
          <w:rFonts w:ascii="Century Gothic" w:hAnsi="Century Gothic"/>
          <w:sz w:val="24"/>
          <w:szCs w:val="24"/>
        </w:rPr>
        <w:t>E</w:t>
      </w:r>
      <w:r w:rsidRPr="001C761A">
        <w:rPr>
          <w:rFonts w:ascii="Century Gothic" w:hAnsi="Century Gothic"/>
          <w:sz w:val="24"/>
          <w:szCs w:val="24"/>
        </w:rPr>
        <w:t>stado ha enfrentado violencia en el ámbito laboral; diversas referencias ubican esta incidencia por encima de la media nacional</w:t>
      </w:r>
      <w:r>
        <w:rPr>
          <w:rStyle w:val="Refdenotaalpie"/>
          <w:rFonts w:ascii="Century Gothic" w:hAnsi="Century Gothic"/>
          <w:sz w:val="24"/>
          <w:szCs w:val="24"/>
        </w:rPr>
        <w:footnoteReference w:id="1"/>
      </w:r>
      <w:r>
        <w:rPr>
          <w:rFonts w:ascii="Century Gothic" w:hAnsi="Century Gothic"/>
          <w:sz w:val="24"/>
          <w:szCs w:val="24"/>
        </w:rPr>
        <w:t>.</w:t>
      </w:r>
    </w:p>
    <w:p w14:paraId="68CE6CD2" w14:textId="3A6FA345" w:rsidR="00DA339A" w:rsidRPr="001C761A" w:rsidRDefault="00DA339A" w:rsidP="00DA339A">
      <w:p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  <w:r w:rsidRPr="001C761A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ab/>
      </w:r>
      <w:r w:rsidRPr="001C761A">
        <w:rPr>
          <w:rFonts w:ascii="Century Gothic" w:hAnsi="Century Gothic"/>
          <w:sz w:val="24"/>
          <w:szCs w:val="24"/>
        </w:rPr>
        <w:t xml:space="preserve">De igual manera, la Unidad de Atención a Casos de Violencia Laboral del Instituto Chihuahuense de las Mujeres ha documentado </w:t>
      </w:r>
      <w:r>
        <w:rPr>
          <w:rFonts w:ascii="Century Gothic" w:hAnsi="Century Gothic"/>
          <w:sz w:val="24"/>
          <w:szCs w:val="24"/>
        </w:rPr>
        <w:t>que, actualmente</w:t>
      </w:r>
      <w:r w:rsidRPr="001C761A">
        <w:rPr>
          <w:rFonts w:ascii="Century Gothic" w:hAnsi="Century Gothic"/>
          <w:sz w:val="24"/>
          <w:szCs w:val="24"/>
        </w:rPr>
        <w:t>, cientos de</w:t>
      </w:r>
      <w:r w:rsidRPr="001C761A">
        <w:rPr>
          <w:rFonts w:ascii="Century Gothic" w:hAnsi="Century Gothic"/>
          <w:b/>
          <w:bCs/>
          <w:sz w:val="27"/>
          <w:szCs w:val="27"/>
        </w:rPr>
        <w:t xml:space="preserve"> </w:t>
      </w:r>
      <w:r w:rsidRPr="001C761A">
        <w:rPr>
          <w:rFonts w:ascii="Century Gothic" w:hAnsi="Century Gothic"/>
          <w:sz w:val="24"/>
          <w:szCs w:val="24"/>
        </w:rPr>
        <w:t>mujeres han requerido atención por conductas de acoso, hostigamiento, discriminación y otras formas de violencia en sus centros de trabajo, destacando que una proporción mayoritaria de los casos atendidos corresponde a acoso laboral.</w:t>
      </w:r>
      <w:r>
        <w:rPr>
          <w:rStyle w:val="Refdenotaalpie"/>
          <w:rFonts w:ascii="Century Gothic" w:hAnsi="Century Gothic"/>
          <w:sz w:val="24"/>
          <w:szCs w:val="24"/>
        </w:rPr>
        <w:footnoteReference w:id="2"/>
      </w:r>
    </w:p>
    <w:p w14:paraId="534E6C57" w14:textId="4EA166A1" w:rsidR="00DA339A" w:rsidRDefault="00DA339A" w:rsidP="00DA339A">
      <w:p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>Los</w:t>
      </w:r>
      <w:r w:rsidRPr="002C274D">
        <w:rPr>
          <w:rFonts w:ascii="Century Gothic" w:hAnsi="Century Gothic"/>
          <w:sz w:val="24"/>
          <w:szCs w:val="24"/>
        </w:rPr>
        <w:t xml:space="preserve"> datos </w:t>
      </w:r>
      <w:r>
        <w:rPr>
          <w:rFonts w:ascii="Century Gothic" w:hAnsi="Century Gothic"/>
          <w:sz w:val="24"/>
          <w:szCs w:val="24"/>
        </w:rPr>
        <w:t xml:space="preserve">anteriores </w:t>
      </w:r>
      <w:r w:rsidRPr="002C274D">
        <w:rPr>
          <w:rFonts w:ascii="Century Gothic" w:hAnsi="Century Gothic"/>
          <w:sz w:val="24"/>
          <w:szCs w:val="24"/>
        </w:rPr>
        <w:t>revelan dos realidades: primero, que la violencia laboral existe y tiene una incidencia significativa</w:t>
      </w:r>
      <w:r>
        <w:rPr>
          <w:rFonts w:ascii="Century Gothic" w:hAnsi="Century Gothic"/>
          <w:sz w:val="24"/>
          <w:szCs w:val="24"/>
        </w:rPr>
        <w:t xml:space="preserve"> que afecta la vida de las mujeres trabajadoras</w:t>
      </w:r>
      <w:r w:rsidRPr="002C274D">
        <w:rPr>
          <w:rFonts w:ascii="Century Gothic" w:hAnsi="Century Gothic"/>
          <w:sz w:val="24"/>
          <w:szCs w:val="24"/>
        </w:rPr>
        <w:t>; segundo, que los mecanismos institucionales disponibles siguen siendo insuficientes para prevenirla de manera sistemática.</w:t>
      </w:r>
      <w:r>
        <w:rPr>
          <w:rFonts w:ascii="Century Gothic" w:hAnsi="Century Gothic"/>
          <w:sz w:val="24"/>
          <w:szCs w:val="24"/>
        </w:rPr>
        <w:t xml:space="preserve"> </w:t>
      </w:r>
    </w:p>
    <w:p w14:paraId="2D160F22" w14:textId="77777777" w:rsidR="00DA339A" w:rsidRPr="002C274D" w:rsidRDefault="00DA339A" w:rsidP="00DA339A">
      <w:pPr>
        <w:spacing w:after="0" w:line="360" w:lineRule="auto"/>
        <w:ind w:firstLine="708"/>
        <w:jc w:val="both"/>
        <w:rPr>
          <w:rFonts w:ascii="Century Gothic" w:hAnsi="Century Gothic"/>
          <w:sz w:val="24"/>
          <w:szCs w:val="24"/>
        </w:rPr>
      </w:pPr>
      <w:r w:rsidRPr="002C274D">
        <w:rPr>
          <w:rFonts w:ascii="Century Gothic" w:hAnsi="Century Gothic"/>
          <w:sz w:val="24"/>
          <w:szCs w:val="24"/>
        </w:rPr>
        <w:t>Particular relevancia cobra que, aun existiendo esfuerzos institucionales importantes, como la operación de la Unidad de Violencia Laboral y la reciente presentación de un Protocolo de Atención a Casos de Violencia Laboral en el ámbito institucional estatal, subsiste la necesidad de homologar estándares mínimos obligatorios para todos los entes públicos.</w:t>
      </w:r>
      <w:r>
        <w:rPr>
          <w:rStyle w:val="Refdenotaalpie"/>
          <w:rFonts w:ascii="Century Gothic" w:hAnsi="Century Gothic"/>
          <w:sz w:val="24"/>
          <w:szCs w:val="24"/>
        </w:rPr>
        <w:footnoteReference w:id="3"/>
      </w:r>
    </w:p>
    <w:p w14:paraId="762FC7EB" w14:textId="59DD8691" w:rsidR="00DA339A" w:rsidRPr="001428DB" w:rsidRDefault="00DA339A" w:rsidP="00DA339A">
      <w:pPr>
        <w:spacing w:after="0" w:line="360" w:lineRule="auto"/>
        <w:ind w:firstLine="708"/>
        <w:jc w:val="both"/>
        <w:rPr>
          <w:rFonts w:ascii="Century Gothic" w:hAnsi="Century Gothic"/>
          <w:sz w:val="24"/>
          <w:szCs w:val="24"/>
        </w:rPr>
      </w:pPr>
      <w:r w:rsidRPr="001428DB">
        <w:rPr>
          <w:rFonts w:ascii="Century Gothic" w:hAnsi="Century Gothic"/>
          <w:sz w:val="24"/>
          <w:szCs w:val="24"/>
        </w:rPr>
        <w:t>Precisamente ahí se ubica la necesidad de la presente iniciativa. La ausencia de protocolos obligatorios o la existencia de mecanismos discrecionales genera vacíos operativos</w:t>
      </w:r>
      <w:r>
        <w:rPr>
          <w:rFonts w:ascii="Century Gothic" w:hAnsi="Century Gothic"/>
          <w:sz w:val="24"/>
          <w:szCs w:val="24"/>
        </w:rPr>
        <w:t xml:space="preserve"> pues</w:t>
      </w:r>
      <w:r w:rsidRPr="001428DB">
        <w:rPr>
          <w:rFonts w:ascii="Century Gothic" w:hAnsi="Century Gothic"/>
          <w:sz w:val="24"/>
          <w:szCs w:val="24"/>
        </w:rPr>
        <w:t xml:space="preserve"> no existen rutas claras para denunciar; no se establecen medidas cautelares o de protección oportunas; no hay reglas uniformes para investigar; no se delimitan responsabilidades institucionales; y, en muchos casos, las víctimas quedan expuestas a revictimización o represalias.</w:t>
      </w:r>
    </w:p>
    <w:p w14:paraId="2E1C94B4" w14:textId="77777777" w:rsidR="00DA339A" w:rsidRPr="006277CA" w:rsidRDefault="00DA339A" w:rsidP="00DA339A">
      <w:pPr>
        <w:spacing w:after="0" w:line="360" w:lineRule="auto"/>
        <w:ind w:firstLine="708"/>
        <w:jc w:val="both"/>
        <w:rPr>
          <w:rFonts w:ascii="Century Gothic" w:hAnsi="Century Gothic"/>
          <w:sz w:val="24"/>
          <w:szCs w:val="24"/>
        </w:rPr>
      </w:pPr>
      <w:r w:rsidRPr="001428DB">
        <w:rPr>
          <w:rFonts w:ascii="Century Gothic" w:hAnsi="Century Gothic"/>
          <w:sz w:val="24"/>
          <w:szCs w:val="24"/>
        </w:rPr>
        <w:t>En el servicio público, esta omisión</w:t>
      </w:r>
      <w:r>
        <w:rPr>
          <w:rFonts w:ascii="Century Gothic" w:hAnsi="Century Gothic"/>
          <w:sz w:val="24"/>
          <w:szCs w:val="24"/>
        </w:rPr>
        <w:t xml:space="preserve"> resulta particularmente grave. </w:t>
      </w:r>
      <w:r w:rsidRPr="006277CA">
        <w:rPr>
          <w:rFonts w:ascii="Century Gothic" w:hAnsi="Century Gothic"/>
          <w:sz w:val="24"/>
          <w:szCs w:val="24"/>
        </w:rPr>
        <w:t>Quien trabaja en una institución pública no debe verse obligado a escoger entre denunciar violencia o conservar su empleo.</w:t>
      </w:r>
      <w:r>
        <w:rPr>
          <w:rFonts w:ascii="Century Gothic" w:hAnsi="Century Gothic"/>
          <w:sz w:val="24"/>
          <w:szCs w:val="24"/>
        </w:rPr>
        <w:t xml:space="preserve"> </w:t>
      </w:r>
      <w:r w:rsidRPr="006277CA">
        <w:rPr>
          <w:rFonts w:ascii="Century Gothic" w:hAnsi="Century Gothic"/>
          <w:sz w:val="24"/>
          <w:szCs w:val="24"/>
        </w:rPr>
        <w:t>La inexistencia de procedimientos claros también genera incertidumbre para las propias instituciones, pues deja sin herramientas preventivas a titulares, órganos internos de control, áreas</w:t>
      </w:r>
      <w:r>
        <w:rPr>
          <w:rFonts w:ascii="Century Gothic" w:hAnsi="Century Gothic"/>
          <w:sz w:val="24"/>
          <w:szCs w:val="24"/>
        </w:rPr>
        <w:t xml:space="preserve"> </w:t>
      </w:r>
      <w:r w:rsidRPr="006277CA">
        <w:rPr>
          <w:rFonts w:ascii="Century Gothic" w:hAnsi="Century Gothic"/>
          <w:sz w:val="24"/>
          <w:szCs w:val="24"/>
        </w:rPr>
        <w:lastRenderedPageBreak/>
        <w:t>administrativas y unidades de recursos humanos para actuar con legalidad, oportunidad y debida diligencia.</w:t>
      </w:r>
      <w:r>
        <w:rPr>
          <w:rFonts w:ascii="Century Gothic" w:hAnsi="Century Gothic"/>
          <w:sz w:val="24"/>
          <w:szCs w:val="24"/>
        </w:rPr>
        <w:t xml:space="preserve"> </w:t>
      </w:r>
      <w:r w:rsidRPr="006277CA">
        <w:rPr>
          <w:rFonts w:ascii="Century Gothic" w:hAnsi="Century Gothic"/>
          <w:sz w:val="24"/>
          <w:szCs w:val="24"/>
        </w:rPr>
        <w:t>Los protocolos no sustituyen procedimientos administrativos, responsabilidades laborales, responsabilidades disciplinarias ni eventuales consecuencias penales.</w:t>
      </w:r>
    </w:p>
    <w:p w14:paraId="1C036C53" w14:textId="676E59B3" w:rsidR="00DA339A" w:rsidRDefault="00DA339A" w:rsidP="00DA339A">
      <w:pPr>
        <w:spacing w:after="0" w:line="360" w:lineRule="auto"/>
        <w:ind w:firstLine="708"/>
        <w:jc w:val="both"/>
        <w:rPr>
          <w:rFonts w:ascii="Century Gothic" w:hAnsi="Century Gothic"/>
          <w:sz w:val="24"/>
          <w:szCs w:val="24"/>
        </w:rPr>
      </w:pPr>
      <w:r w:rsidRPr="006277CA">
        <w:rPr>
          <w:rFonts w:ascii="Century Gothic" w:hAnsi="Century Gothic"/>
          <w:sz w:val="24"/>
          <w:szCs w:val="24"/>
        </w:rPr>
        <w:t xml:space="preserve">Los protocolos </w:t>
      </w:r>
      <w:r>
        <w:rPr>
          <w:rFonts w:ascii="Century Gothic" w:hAnsi="Century Gothic"/>
          <w:sz w:val="24"/>
          <w:szCs w:val="24"/>
        </w:rPr>
        <w:t xml:space="preserve">mencionados, </w:t>
      </w:r>
      <w:r w:rsidRPr="006277CA">
        <w:rPr>
          <w:rFonts w:ascii="Century Gothic" w:hAnsi="Century Gothic"/>
          <w:sz w:val="24"/>
          <w:szCs w:val="24"/>
        </w:rPr>
        <w:t>son mecanismos preventivos y procedimentales</w:t>
      </w:r>
      <w:r>
        <w:rPr>
          <w:rFonts w:ascii="Century Gothic" w:hAnsi="Century Gothic"/>
          <w:sz w:val="24"/>
          <w:szCs w:val="24"/>
        </w:rPr>
        <w:t>, s</w:t>
      </w:r>
      <w:r w:rsidRPr="006277CA">
        <w:rPr>
          <w:rFonts w:ascii="Century Gothic" w:hAnsi="Century Gothic"/>
          <w:sz w:val="24"/>
          <w:szCs w:val="24"/>
        </w:rPr>
        <w:t>u función es ordenar la actuación institucional, establecer rutas de respuesta, reducir discrecionalidad, proteger a posibles víctimas, garantizar debido proceso y generar condiciones de no repetición</w:t>
      </w:r>
      <w:r>
        <w:rPr>
          <w:rFonts w:ascii="Century Gothic" w:hAnsi="Century Gothic"/>
          <w:sz w:val="24"/>
          <w:szCs w:val="24"/>
        </w:rPr>
        <w:t>, y es también e</w:t>
      </w:r>
      <w:r w:rsidRPr="006277CA">
        <w:rPr>
          <w:rFonts w:ascii="Century Gothic" w:hAnsi="Century Gothic"/>
          <w:sz w:val="24"/>
          <w:szCs w:val="24"/>
        </w:rPr>
        <w:t xml:space="preserve">se el objeto de </w:t>
      </w:r>
      <w:r>
        <w:rPr>
          <w:rFonts w:ascii="Century Gothic" w:hAnsi="Century Gothic"/>
          <w:sz w:val="24"/>
          <w:szCs w:val="24"/>
        </w:rPr>
        <w:t>la presente</w:t>
      </w:r>
      <w:r w:rsidRPr="006277CA">
        <w:rPr>
          <w:rFonts w:ascii="Century Gothic" w:hAnsi="Century Gothic"/>
          <w:sz w:val="24"/>
          <w:szCs w:val="24"/>
        </w:rPr>
        <w:t xml:space="preserve"> reforma.</w:t>
      </w:r>
    </w:p>
    <w:p w14:paraId="6BE97F95" w14:textId="4F4EC5B4" w:rsidR="00DA339A" w:rsidRPr="006277CA" w:rsidRDefault="00DA339A" w:rsidP="00DA339A">
      <w:pPr>
        <w:spacing w:after="0" w:line="360" w:lineRule="auto"/>
        <w:ind w:firstLine="708"/>
        <w:jc w:val="both"/>
        <w:rPr>
          <w:rFonts w:ascii="Century Gothic" w:hAnsi="Century Gothic"/>
          <w:sz w:val="24"/>
          <w:szCs w:val="24"/>
        </w:rPr>
      </w:pPr>
      <w:r w:rsidRPr="006277CA">
        <w:rPr>
          <w:rFonts w:ascii="Century Gothic" w:hAnsi="Century Gothic"/>
          <w:sz w:val="24"/>
          <w:szCs w:val="24"/>
        </w:rPr>
        <w:t>La presente iniciativa parte de una premisa elemental: la violencia laboral no puede seguir enfrentándo</w:t>
      </w:r>
      <w:r>
        <w:rPr>
          <w:rFonts w:ascii="Century Gothic" w:hAnsi="Century Gothic"/>
          <w:sz w:val="24"/>
          <w:szCs w:val="24"/>
        </w:rPr>
        <w:t xml:space="preserve">se con respuestas improvisadas. </w:t>
      </w:r>
      <w:r w:rsidRPr="006277CA">
        <w:rPr>
          <w:rFonts w:ascii="Century Gothic" w:hAnsi="Century Gothic"/>
          <w:sz w:val="24"/>
          <w:szCs w:val="24"/>
        </w:rPr>
        <w:t>Debe atenderse mediante instrumentos obligatorios,</w:t>
      </w:r>
      <w:r>
        <w:rPr>
          <w:rFonts w:ascii="Century Gothic" w:hAnsi="Century Gothic"/>
          <w:sz w:val="24"/>
          <w:szCs w:val="24"/>
        </w:rPr>
        <w:t xml:space="preserve"> institucionales y permanentes. </w:t>
      </w:r>
      <w:r w:rsidRPr="006277CA">
        <w:rPr>
          <w:rFonts w:ascii="Century Gothic" w:hAnsi="Century Gothic"/>
          <w:sz w:val="24"/>
          <w:szCs w:val="24"/>
        </w:rPr>
        <w:t xml:space="preserve">Además, la propuesta atiende una </w:t>
      </w:r>
      <w:r>
        <w:rPr>
          <w:rFonts w:ascii="Century Gothic" w:hAnsi="Century Gothic"/>
          <w:sz w:val="24"/>
          <w:szCs w:val="24"/>
        </w:rPr>
        <w:t xml:space="preserve">lógica de prevención reforzada. </w:t>
      </w:r>
      <w:r w:rsidRPr="006277CA">
        <w:rPr>
          <w:rFonts w:ascii="Century Gothic" w:hAnsi="Century Gothic"/>
          <w:sz w:val="24"/>
          <w:szCs w:val="24"/>
        </w:rPr>
        <w:t>No basta reaccionar cuando la violencia ya ocurrió; el deber estatal exige generar condiciones para impedir que ocurra.</w:t>
      </w:r>
    </w:p>
    <w:p w14:paraId="13D7E5B2" w14:textId="77777777" w:rsidR="00DA339A" w:rsidRPr="0092063B" w:rsidRDefault="00DA339A" w:rsidP="009A39A6">
      <w:pPr>
        <w:spacing w:after="0" w:line="360" w:lineRule="auto"/>
        <w:ind w:firstLine="708"/>
        <w:jc w:val="both"/>
        <w:rPr>
          <w:rFonts w:ascii="Century Gothic" w:hAnsi="Century Gothic"/>
          <w:sz w:val="24"/>
          <w:szCs w:val="24"/>
        </w:rPr>
      </w:pPr>
      <w:r w:rsidRPr="0092063B">
        <w:rPr>
          <w:rFonts w:ascii="Century Gothic" w:hAnsi="Century Gothic"/>
          <w:sz w:val="24"/>
          <w:szCs w:val="24"/>
        </w:rPr>
        <w:t>Por ello, los protocolos deben incorporar acciones preventivas, capacitación, canales accesibles de denuncia, medidas inmediatas de protección, mecanismos de seguimiento y c</w:t>
      </w:r>
      <w:r>
        <w:rPr>
          <w:rFonts w:ascii="Century Gothic" w:hAnsi="Century Gothic"/>
          <w:sz w:val="24"/>
          <w:szCs w:val="24"/>
        </w:rPr>
        <w:t>oordinación interinstitucional.</w:t>
      </w:r>
    </w:p>
    <w:p w14:paraId="24566233" w14:textId="77777777" w:rsidR="00DA339A" w:rsidRPr="0092063B" w:rsidRDefault="00DA339A" w:rsidP="009A39A6">
      <w:pPr>
        <w:spacing w:after="0" w:line="360" w:lineRule="auto"/>
        <w:ind w:firstLine="708"/>
        <w:jc w:val="both"/>
        <w:rPr>
          <w:rFonts w:ascii="Century Gothic" w:hAnsi="Century Gothic"/>
          <w:sz w:val="24"/>
          <w:szCs w:val="24"/>
        </w:rPr>
      </w:pPr>
      <w:r w:rsidRPr="0092063B">
        <w:rPr>
          <w:rFonts w:ascii="Century Gothic" w:hAnsi="Century Gothic"/>
          <w:sz w:val="24"/>
          <w:szCs w:val="24"/>
        </w:rPr>
        <w:t>La pertinencia de esta reforma se refuerza por el principio de debida diligencia reforzada que obliga a las autoridades a adoptar medidas razonables para prevenir violaciones a derechos humanos, especialmente cuando involucran relaciones asimétricas de poder, como ocurre frecuentemente en co</w:t>
      </w:r>
      <w:r>
        <w:rPr>
          <w:rFonts w:ascii="Century Gothic" w:hAnsi="Century Gothic"/>
          <w:sz w:val="24"/>
          <w:szCs w:val="24"/>
        </w:rPr>
        <w:t xml:space="preserve">ntextos de violencia laboral. </w:t>
      </w:r>
      <w:r w:rsidRPr="0092063B">
        <w:rPr>
          <w:rFonts w:ascii="Century Gothic" w:hAnsi="Century Gothic"/>
          <w:sz w:val="24"/>
          <w:szCs w:val="24"/>
        </w:rPr>
        <w:t>Asimismo, la propuesta responde a una necesidad de armonización institucional.</w:t>
      </w:r>
    </w:p>
    <w:p w14:paraId="66B2F3BC" w14:textId="77777777" w:rsidR="00DA339A" w:rsidRPr="0092063B" w:rsidRDefault="00DA339A" w:rsidP="009A39A6">
      <w:pPr>
        <w:spacing w:after="0" w:line="360" w:lineRule="auto"/>
        <w:ind w:firstLine="708"/>
        <w:jc w:val="both"/>
        <w:rPr>
          <w:rFonts w:ascii="Century Gothic" w:hAnsi="Century Gothic"/>
          <w:sz w:val="24"/>
          <w:szCs w:val="24"/>
        </w:rPr>
      </w:pPr>
      <w:r w:rsidRPr="0092063B">
        <w:rPr>
          <w:rFonts w:ascii="Century Gothic" w:hAnsi="Century Gothic"/>
          <w:sz w:val="24"/>
          <w:szCs w:val="24"/>
        </w:rPr>
        <w:lastRenderedPageBreak/>
        <w:t>Actualmente, la respuesta frente a violencia laboral suele depender de la voluntad admi</w:t>
      </w:r>
      <w:r>
        <w:rPr>
          <w:rFonts w:ascii="Century Gothic" w:hAnsi="Century Gothic"/>
          <w:sz w:val="24"/>
          <w:szCs w:val="24"/>
        </w:rPr>
        <w:t xml:space="preserve">nistrativa de cada dependencia. </w:t>
      </w:r>
      <w:r w:rsidRPr="0092063B">
        <w:rPr>
          <w:rFonts w:ascii="Century Gothic" w:hAnsi="Century Gothic"/>
          <w:sz w:val="24"/>
          <w:szCs w:val="24"/>
        </w:rPr>
        <w:t>Ese modelo fragmentado pr</w:t>
      </w:r>
      <w:r>
        <w:rPr>
          <w:rFonts w:ascii="Century Gothic" w:hAnsi="Century Gothic"/>
          <w:sz w:val="24"/>
          <w:szCs w:val="24"/>
        </w:rPr>
        <w:t xml:space="preserve">oduce desigualdad. </w:t>
      </w:r>
      <w:r w:rsidRPr="0092063B">
        <w:rPr>
          <w:rFonts w:ascii="Century Gothic" w:hAnsi="Century Gothic"/>
          <w:sz w:val="24"/>
          <w:szCs w:val="24"/>
        </w:rPr>
        <w:t xml:space="preserve">Una persona servidora pública no debe tener mayor o menor protección dependiendo </w:t>
      </w:r>
      <w:r>
        <w:rPr>
          <w:rFonts w:ascii="Century Gothic" w:hAnsi="Century Gothic"/>
          <w:sz w:val="24"/>
          <w:szCs w:val="24"/>
        </w:rPr>
        <w:t xml:space="preserve">de la institución donde labore. </w:t>
      </w:r>
      <w:r w:rsidRPr="0092063B">
        <w:rPr>
          <w:rFonts w:ascii="Century Gothic" w:hAnsi="Century Gothic"/>
          <w:sz w:val="24"/>
          <w:szCs w:val="24"/>
        </w:rPr>
        <w:t>Los estándares de protección deben ser homogéneos.</w:t>
      </w:r>
    </w:p>
    <w:p w14:paraId="1FD2E636" w14:textId="77777777" w:rsidR="00DA339A" w:rsidRPr="0092063B" w:rsidRDefault="00DA339A" w:rsidP="009A39A6">
      <w:pPr>
        <w:spacing w:after="0" w:line="360" w:lineRule="auto"/>
        <w:ind w:firstLine="708"/>
        <w:jc w:val="both"/>
        <w:rPr>
          <w:rFonts w:ascii="Century Gothic" w:hAnsi="Century Gothic"/>
          <w:sz w:val="24"/>
          <w:szCs w:val="24"/>
        </w:rPr>
      </w:pPr>
      <w:r w:rsidRPr="0092063B">
        <w:rPr>
          <w:rFonts w:ascii="Century Gothic" w:hAnsi="Century Gothic"/>
          <w:sz w:val="24"/>
          <w:szCs w:val="24"/>
        </w:rPr>
        <w:t>En ese sentido, establecer la obligación legal de contar con protocolos no constituye una carga burocrática adicional, sino una herramienta de gobernanza institucional, integridad pú</w:t>
      </w:r>
      <w:r>
        <w:rPr>
          <w:rFonts w:ascii="Century Gothic" w:hAnsi="Century Gothic"/>
          <w:sz w:val="24"/>
          <w:szCs w:val="24"/>
        </w:rPr>
        <w:t xml:space="preserve">blica y protección de derechos. </w:t>
      </w:r>
      <w:r w:rsidRPr="0092063B">
        <w:rPr>
          <w:rFonts w:ascii="Century Gothic" w:hAnsi="Century Gothic"/>
          <w:sz w:val="24"/>
          <w:szCs w:val="24"/>
        </w:rPr>
        <w:t>Lejos de invadir esferas administrativas, la propuesta establece bases normativas generales que corresponde desarrollar a las instituciones dentro de sus respectivas competencias, respetando el ámbito reglamentario y organizaciona</w:t>
      </w:r>
      <w:r>
        <w:rPr>
          <w:rFonts w:ascii="Century Gothic" w:hAnsi="Century Gothic"/>
          <w:sz w:val="24"/>
          <w:szCs w:val="24"/>
        </w:rPr>
        <w:t xml:space="preserve">l de cada poder y ente público. </w:t>
      </w:r>
      <w:r w:rsidRPr="0092063B">
        <w:rPr>
          <w:rFonts w:ascii="Century Gothic" w:hAnsi="Century Gothic"/>
          <w:sz w:val="24"/>
          <w:szCs w:val="24"/>
        </w:rPr>
        <w:t>Es decir, la ley fija el deber; cada institución desarrolla el instrumento.</w:t>
      </w:r>
    </w:p>
    <w:p w14:paraId="56970C2D" w14:textId="77777777" w:rsidR="00DA339A" w:rsidRPr="0092063B" w:rsidRDefault="00DA339A" w:rsidP="009A39A6">
      <w:pPr>
        <w:spacing w:after="0" w:line="360" w:lineRule="auto"/>
        <w:ind w:firstLine="708"/>
        <w:jc w:val="both"/>
        <w:rPr>
          <w:rFonts w:ascii="Century Gothic" w:hAnsi="Century Gothic"/>
          <w:sz w:val="24"/>
          <w:szCs w:val="24"/>
        </w:rPr>
      </w:pPr>
      <w:r w:rsidRPr="0092063B">
        <w:rPr>
          <w:rFonts w:ascii="Century Gothic" w:hAnsi="Century Gothic"/>
          <w:sz w:val="24"/>
          <w:szCs w:val="24"/>
        </w:rPr>
        <w:t>La presente iniciativa se encuentra plenamente dentro de la competencia legislativa de esta Soberanía, al limitarse a establecer bases normativas generales, obligaciones mínimas y parámetros rectores en materia de prevención y atención de violencia laboral, sin invadir facultades reglamentarias, administrativas u organizativas de los entes obligados.</w:t>
      </w:r>
    </w:p>
    <w:p w14:paraId="50D1891B" w14:textId="77777777" w:rsidR="00DA339A" w:rsidRPr="0092063B" w:rsidRDefault="00DA339A" w:rsidP="009A39A6">
      <w:pPr>
        <w:spacing w:after="0" w:line="360" w:lineRule="auto"/>
        <w:ind w:firstLine="708"/>
        <w:jc w:val="both"/>
        <w:rPr>
          <w:rFonts w:ascii="Century Gothic" w:hAnsi="Century Gothic"/>
          <w:sz w:val="24"/>
          <w:szCs w:val="24"/>
        </w:rPr>
      </w:pPr>
      <w:r w:rsidRPr="0092063B">
        <w:rPr>
          <w:rFonts w:ascii="Century Gothic" w:hAnsi="Century Gothic"/>
          <w:sz w:val="24"/>
          <w:szCs w:val="24"/>
        </w:rPr>
        <w:t>Es importante precisar que la propuesta no pretende sustituir las atribuciones de auto organización administrativa del Poder Ejecutivo, ni interferir con la autonomía de gestión interna de otros poderes u órga</w:t>
      </w:r>
      <w:r>
        <w:rPr>
          <w:rFonts w:ascii="Century Gothic" w:hAnsi="Century Gothic"/>
          <w:sz w:val="24"/>
          <w:szCs w:val="24"/>
        </w:rPr>
        <w:t xml:space="preserve">nos constitucionales autónomos. </w:t>
      </w:r>
      <w:r w:rsidRPr="0092063B">
        <w:rPr>
          <w:rFonts w:ascii="Century Gothic" w:hAnsi="Century Gothic"/>
          <w:sz w:val="24"/>
          <w:szCs w:val="24"/>
        </w:rPr>
        <w:t>No se propone que el legislador diseñe directamente procedimientos internos, determine estructuras operativas específicas, ni emita protocolos particulares desde la ley.</w:t>
      </w:r>
    </w:p>
    <w:p w14:paraId="5057EF52" w14:textId="77777777" w:rsidR="00DA339A" w:rsidRDefault="00DA339A" w:rsidP="009A39A6">
      <w:p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  <w:r w:rsidRPr="0092063B">
        <w:rPr>
          <w:rFonts w:ascii="Century Gothic" w:hAnsi="Century Gothic"/>
          <w:sz w:val="24"/>
          <w:szCs w:val="24"/>
        </w:rPr>
        <w:lastRenderedPageBreak/>
        <w:t>Por el contrario, la reforma plantea únicamente el deber jurídico de contar con protocolos, así como contenidos mínimos que garanticen estándares básicos de protección, dejando a cada ente público, en el ámbito de sus atribuciones, la emisión, adecuación, implementación y desarrollo d</w:t>
      </w:r>
      <w:r>
        <w:rPr>
          <w:rFonts w:ascii="Century Gothic" w:hAnsi="Century Gothic"/>
          <w:sz w:val="24"/>
          <w:szCs w:val="24"/>
        </w:rPr>
        <w:t>el instrumento correspondiente.</w:t>
      </w:r>
    </w:p>
    <w:p w14:paraId="00A88825" w14:textId="77777777" w:rsidR="00DA339A" w:rsidRPr="0092063B" w:rsidRDefault="00DA339A" w:rsidP="009A39A6">
      <w:pPr>
        <w:spacing w:after="0" w:line="360" w:lineRule="auto"/>
        <w:ind w:firstLine="708"/>
        <w:jc w:val="both"/>
        <w:rPr>
          <w:rFonts w:ascii="Century Gothic" w:hAnsi="Century Gothic"/>
          <w:sz w:val="24"/>
          <w:szCs w:val="24"/>
        </w:rPr>
      </w:pPr>
      <w:r w:rsidRPr="0092063B">
        <w:rPr>
          <w:rFonts w:ascii="Century Gothic" w:hAnsi="Century Gothic"/>
          <w:sz w:val="24"/>
          <w:szCs w:val="24"/>
        </w:rPr>
        <w:t>En ese sentido, la presente iniciativa no regula la organización interna de la administración pública, sino que establece un mandato legal orientado a garantizar derechos humanos y prevenir violencia e</w:t>
      </w:r>
      <w:r>
        <w:rPr>
          <w:rFonts w:ascii="Century Gothic" w:hAnsi="Century Gothic"/>
          <w:sz w:val="24"/>
          <w:szCs w:val="24"/>
        </w:rPr>
        <w:t xml:space="preserve">n el servicio público. Esa distinción es fundamental. </w:t>
      </w:r>
      <w:r w:rsidRPr="0092063B">
        <w:rPr>
          <w:rFonts w:ascii="Century Gothic" w:hAnsi="Century Gothic"/>
          <w:sz w:val="24"/>
          <w:szCs w:val="24"/>
        </w:rPr>
        <w:t>Se legisla sobre la obligación de proteger.</w:t>
      </w:r>
    </w:p>
    <w:p w14:paraId="10A24152" w14:textId="77777777" w:rsidR="00DA339A" w:rsidRPr="0092063B" w:rsidRDefault="00DA339A" w:rsidP="009A39A6">
      <w:pPr>
        <w:spacing w:after="0" w:line="360" w:lineRule="auto"/>
        <w:ind w:firstLine="708"/>
        <w:jc w:val="both"/>
        <w:rPr>
          <w:rFonts w:ascii="Century Gothic" w:hAnsi="Century Gothic"/>
          <w:sz w:val="24"/>
          <w:szCs w:val="24"/>
        </w:rPr>
      </w:pPr>
      <w:r w:rsidRPr="0092063B">
        <w:rPr>
          <w:rFonts w:ascii="Century Gothic" w:hAnsi="Century Gothic"/>
          <w:sz w:val="24"/>
          <w:szCs w:val="24"/>
        </w:rPr>
        <w:t>Asimismo, la propuesta encuentra sustento en las facultades del Poder Legislativo para expedir normas orientadas a garantizar derechos fundamentales, prevenir violencias, establecer responsabilidades institucionales y fijar bases generales de actuación para los entes públicos.</w:t>
      </w:r>
    </w:p>
    <w:p w14:paraId="027C8479" w14:textId="77777777" w:rsidR="00DA339A" w:rsidRPr="0092063B" w:rsidRDefault="00DA339A" w:rsidP="009A39A6">
      <w:pPr>
        <w:spacing w:after="0" w:line="360" w:lineRule="auto"/>
        <w:ind w:firstLine="708"/>
        <w:jc w:val="both"/>
        <w:rPr>
          <w:rFonts w:ascii="Century Gothic" w:hAnsi="Century Gothic"/>
          <w:sz w:val="24"/>
          <w:szCs w:val="24"/>
        </w:rPr>
      </w:pPr>
      <w:r w:rsidRPr="0092063B">
        <w:rPr>
          <w:rFonts w:ascii="Century Gothic" w:hAnsi="Century Gothic"/>
          <w:sz w:val="24"/>
          <w:szCs w:val="24"/>
        </w:rPr>
        <w:t>Cuando el legislador establece obligaciones mínimas para proteger derechos humanos, no invade competencias administrativas; ej</w:t>
      </w:r>
      <w:r>
        <w:rPr>
          <w:rFonts w:ascii="Century Gothic" w:hAnsi="Century Gothic"/>
          <w:sz w:val="24"/>
          <w:szCs w:val="24"/>
        </w:rPr>
        <w:t xml:space="preserve">erce su función constitucional. </w:t>
      </w:r>
      <w:r w:rsidRPr="0092063B">
        <w:rPr>
          <w:rFonts w:ascii="Century Gothic" w:hAnsi="Century Gothic"/>
          <w:sz w:val="24"/>
          <w:szCs w:val="24"/>
        </w:rPr>
        <w:t>Incluso, la propia naturaleza transversal de la prevención de la violencia exige marcos generales comunes que posteriormente sean desarrollados por cada institución conforme a su diseño competencial.</w:t>
      </w:r>
    </w:p>
    <w:p w14:paraId="64DBE7DE" w14:textId="77777777" w:rsidR="00DA339A" w:rsidRPr="0092063B" w:rsidRDefault="00DA339A" w:rsidP="009A39A6">
      <w:pPr>
        <w:spacing w:after="0" w:line="360" w:lineRule="auto"/>
        <w:ind w:firstLine="708"/>
        <w:jc w:val="both"/>
        <w:rPr>
          <w:rFonts w:ascii="Century Gothic" w:hAnsi="Century Gothic"/>
          <w:sz w:val="24"/>
          <w:szCs w:val="24"/>
        </w:rPr>
      </w:pPr>
      <w:r w:rsidRPr="0092063B">
        <w:rPr>
          <w:rFonts w:ascii="Century Gothic" w:hAnsi="Century Gothic"/>
          <w:sz w:val="24"/>
          <w:szCs w:val="24"/>
        </w:rPr>
        <w:t>Ese modelo no vulnera la separación de poderes; la fortalece, al permitir que cada poder cumpla, desde su autonomía, con obligaciones legales comunes derivadas del marco constitucional.</w:t>
      </w:r>
    </w:p>
    <w:p w14:paraId="635B2D9A" w14:textId="77777777" w:rsidR="00DA339A" w:rsidRPr="0092063B" w:rsidRDefault="00DA339A" w:rsidP="00DA339A">
      <w:p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</w:p>
    <w:p w14:paraId="3BF153BF" w14:textId="77777777" w:rsidR="00DA339A" w:rsidRDefault="00DA339A" w:rsidP="00DA339A">
      <w:p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  <w:r w:rsidRPr="0092063B">
        <w:rPr>
          <w:rFonts w:ascii="Century Gothic" w:hAnsi="Century Gothic"/>
          <w:sz w:val="24"/>
          <w:szCs w:val="24"/>
        </w:rPr>
        <w:lastRenderedPageBreak/>
        <w:t>Por ello, la iniciativa respeta plenamente el principio de distribución competencial, no supone intromisión en facultades exclusivas de otros poderes y se ajusta a un diseño normativo constitucionalmente válido.</w:t>
      </w:r>
    </w:p>
    <w:p w14:paraId="4A1414C6" w14:textId="77777777" w:rsidR="00DA339A" w:rsidRDefault="00DA339A" w:rsidP="009A39A6">
      <w:pPr>
        <w:spacing w:after="0" w:line="360" w:lineRule="auto"/>
        <w:ind w:firstLine="708"/>
        <w:jc w:val="both"/>
        <w:rPr>
          <w:rFonts w:ascii="Century Gothic" w:hAnsi="Century Gothic"/>
          <w:sz w:val="24"/>
          <w:szCs w:val="24"/>
        </w:rPr>
      </w:pPr>
      <w:r w:rsidRPr="0092063B">
        <w:rPr>
          <w:rFonts w:ascii="Century Gothic" w:hAnsi="Century Gothic"/>
          <w:sz w:val="24"/>
          <w:szCs w:val="24"/>
        </w:rPr>
        <w:t>Finalmente, esta iniciativa reconoce que la violencia laboral no es un problema privado entre personas servidoras públicas; es un problema público que afecta derechos, instituciones y calidad democrática.</w:t>
      </w:r>
    </w:p>
    <w:p w14:paraId="341B82A2" w14:textId="77777777" w:rsidR="00DA339A" w:rsidRPr="0092063B" w:rsidRDefault="00DA339A" w:rsidP="009A39A6">
      <w:pPr>
        <w:spacing w:after="0" w:line="360" w:lineRule="auto"/>
        <w:ind w:firstLine="708"/>
        <w:jc w:val="both"/>
        <w:rPr>
          <w:rFonts w:ascii="Century Gothic" w:hAnsi="Century Gothic"/>
          <w:sz w:val="24"/>
          <w:szCs w:val="24"/>
        </w:rPr>
      </w:pPr>
      <w:r w:rsidRPr="0092063B">
        <w:rPr>
          <w:rFonts w:ascii="Century Gothic" w:hAnsi="Century Gothic"/>
          <w:sz w:val="24"/>
          <w:szCs w:val="24"/>
        </w:rPr>
        <w:t>No puede haber servicio público íntegro donde persistan dinámicas de intimidación, hostiga</w:t>
      </w:r>
      <w:r>
        <w:rPr>
          <w:rFonts w:ascii="Century Gothic" w:hAnsi="Century Gothic"/>
          <w:sz w:val="24"/>
          <w:szCs w:val="24"/>
        </w:rPr>
        <w:t xml:space="preserve">miento, acoso o abuso de poder. </w:t>
      </w:r>
      <w:r w:rsidRPr="0092063B">
        <w:rPr>
          <w:rFonts w:ascii="Century Gothic" w:hAnsi="Century Gothic"/>
          <w:sz w:val="24"/>
          <w:szCs w:val="24"/>
        </w:rPr>
        <w:t>Por ello, establecer protocolos obligator</w:t>
      </w:r>
      <w:r>
        <w:rPr>
          <w:rFonts w:ascii="Century Gothic" w:hAnsi="Century Gothic"/>
          <w:sz w:val="24"/>
          <w:szCs w:val="24"/>
        </w:rPr>
        <w:t xml:space="preserve">ios no es una medida accesoria, es una medida necesaria, una medida preventiva, pero, sobre todo, </w:t>
      </w:r>
      <w:r w:rsidRPr="0092063B">
        <w:rPr>
          <w:rFonts w:ascii="Century Gothic" w:hAnsi="Century Gothic"/>
          <w:sz w:val="24"/>
          <w:szCs w:val="24"/>
        </w:rPr>
        <w:t>es una medida de justicia institucional.</w:t>
      </w:r>
    </w:p>
    <w:p w14:paraId="2F591C99" w14:textId="77777777" w:rsidR="00DA339A" w:rsidRDefault="00DA339A" w:rsidP="009A39A6">
      <w:pPr>
        <w:spacing w:after="0" w:line="360" w:lineRule="auto"/>
        <w:ind w:firstLine="708"/>
        <w:jc w:val="both"/>
        <w:rPr>
          <w:rFonts w:ascii="Century Gothic" w:hAnsi="Century Gothic"/>
          <w:sz w:val="24"/>
          <w:szCs w:val="24"/>
        </w:rPr>
      </w:pPr>
      <w:r w:rsidRPr="0092063B">
        <w:rPr>
          <w:rFonts w:ascii="Century Gothic" w:hAnsi="Century Gothic"/>
          <w:sz w:val="24"/>
          <w:szCs w:val="24"/>
        </w:rPr>
        <w:t>Por lo anteriormente expuesto, se somete a consideración de esta Soberanía la presente iniciativa, con el propósito de fortalecer el marco jurídico estatal para garantizar espacios laborales libres de violencia, asegurar mecanismos efectivos de prevención y atención, y consolidar una respuesta institucional acorde con los principios constitucionales de dignidad humana, igualdad, no discriminación y prot</w:t>
      </w:r>
      <w:r>
        <w:rPr>
          <w:rFonts w:ascii="Century Gothic" w:hAnsi="Century Gothic"/>
          <w:sz w:val="24"/>
          <w:szCs w:val="24"/>
        </w:rPr>
        <w:t>ección de los derechos humanos.</w:t>
      </w:r>
    </w:p>
    <w:p w14:paraId="08AADE98" w14:textId="77777777" w:rsidR="00DA339A" w:rsidRDefault="00DA339A" w:rsidP="00DA339A">
      <w:p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</w:p>
    <w:p w14:paraId="1E2A2BDC" w14:textId="77777777" w:rsidR="00DA339A" w:rsidRDefault="00DA339A" w:rsidP="00DA339A">
      <w:pPr>
        <w:spacing w:after="0" w:line="360" w:lineRule="auto"/>
        <w:jc w:val="center"/>
        <w:rPr>
          <w:rFonts w:ascii="Century Gothic" w:hAnsi="Century Gothic"/>
          <w:b/>
          <w:bCs/>
          <w:sz w:val="27"/>
          <w:szCs w:val="27"/>
        </w:rPr>
      </w:pPr>
      <w:r w:rsidRPr="00FC2319">
        <w:rPr>
          <w:rFonts w:ascii="Century Gothic" w:hAnsi="Century Gothic"/>
          <w:b/>
          <w:bCs/>
          <w:sz w:val="27"/>
          <w:szCs w:val="27"/>
        </w:rPr>
        <w:t>PROYECTO DE DECRETO</w:t>
      </w:r>
    </w:p>
    <w:p w14:paraId="48204C47" w14:textId="77777777" w:rsidR="00AB69FB" w:rsidRDefault="00AB69FB" w:rsidP="00DA339A">
      <w:pPr>
        <w:spacing w:after="0" w:line="360" w:lineRule="auto"/>
        <w:jc w:val="both"/>
        <w:rPr>
          <w:rFonts w:ascii="Century Gothic" w:hAnsi="Century Gothic"/>
          <w:b/>
          <w:bCs/>
          <w:sz w:val="24"/>
          <w:szCs w:val="27"/>
        </w:rPr>
      </w:pPr>
    </w:p>
    <w:p w14:paraId="52E16B11" w14:textId="20646FC3" w:rsidR="00DA339A" w:rsidRPr="008744C1" w:rsidRDefault="00DA339A" w:rsidP="00DA339A">
      <w:p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  <w:r w:rsidRPr="008744C1">
        <w:rPr>
          <w:rFonts w:ascii="Century Gothic" w:hAnsi="Century Gothic"/>
          <w:b/>
          <w:bCs/>
          <w:sz w:val="24"/>
          <w:szCs w:val="27"/>
        </w:rPr>
        <w:t xml:space="preserve">ARTÍCULO PRIMERO. - </w:t>
      </w:r>
      <w:r w:rsidRPr="008744C1">
        <w:rPr>
          <w:rFonts w:ascii="Century Gothic" w:hAnsi="Century Gothic"/>
          <w:sz w:val="24"/>
          <w:szCs w:val="24"/>
        </w:rPr>
        <w:t xml:space="preserve">Se adiciona un </w:t>
      </w:r>
      <w:r w:rsidRPr="008744C1">
        <w:rPr>
          <w:rFonts w:ascii="Century Gothic" w:hAnsi="Century Gothic"/>
          <w:b/>
          <w:sz w:val="24"/>
          <w:szCs w:val="24"/>
        </w:rPr>
        <w:t>artículo 1</w:t>
      </w:r>
      <w:r w:rsidR="00E51B32">
        <w:rPr>
          <w:rFonts w:ascii="Century Gothic" w:hAnsi="Century Gothic"/>
          <w:b/>
          <w:sz w:val="24"/>
          <w:szCs w:val="24"/>
        </w:rPr>
        <w:t>7</w:t>
      </w:r>
      <w:r w:rsidRPr="008744C1">
        <w:rPr>
          <w:rFonts w:ascii="Century Gothic" w:hAnsi="Century Gothic"/>
          <w:b/>
          <w:sz w:val="24"/>
          <w:szCs w:val="24"/>
        </w:rPr>
        <w:t xml:space="preserve"> </w:t>
      </w:r>
      <w:r w:rsidR="00E51B32">
        <w:rPr>
          <w:rFonts w:ascii="Century Gothic" w:hAnsi="Century Gothic"/>
          <w:b/>
          <w:sz w:val="24"/>
          <w:szCs w:val="24"/>
        </w:rPr>
        <w:t>Bis</w:t>
      </w:r>
      <w:r w:rsidRPr="008744C1">
        <w:rPr>
          <w:rFonts w:ascii="Century Gothic" w:hAnsi="Century Gothic"/>
          <w:b/>
          <w:sz w:val="24"/>
          <w:szCs w:val="24"/>
        </w:rPr>
        <w:t xml:space="preserve"> a la Ley Orgánica del Poder Ejecutivo del Estado de Chihuahua,</w:t>
      </w:r>
      <w:r w:rsidRPr="008744C1">
        <w:rPr>
          <w:rFonts w:ascii="Century Gothic" w:hAnsi="Century Gothic"/>
          <w:sz w:val="24"/>
          <w:szCs w:val="24"/>
        </w:rPr>
        <w:t xml:space="preserve"> para quedar redactado de la siguiente manera:</w:t>
      </w:r>
    </w:p>
    <w:p w14:paraId="2CD54458" w14:textId="77777777" w:rsidR="00DA339A" w:rsidRPr="008744C1" w:rsidRDefault="00DA339A" w:rsidP="00DA339A">
      <w:pPr>
        <w:spacing w:after="0" w:line="360" w:lineRule="auto"/>
        <w:jc w:val="center"/>
        <w:rPr>
          <w:rFonts w:ascii="Century Gothic" w:hAnsi="Century Gothic"/>
          <w:b/>
          <w:bCs/>
          <w:sz w:val="27"/>
          <w:szCs w:val="27"/>
        </w:rPr>
      </w:pPr>
    </w:p>
    <w:p w14:paraId="0CAB9D4B" w14:textId="2F2160CD" w:rsidR="00DA339A" w:rsidRPr="008744C1" w:rsidRDefault="00DA339A" w:rsidP="00DA339A">
      <w:pPr>
        <w:spacing w:after="0" w:line="360" w:lineRule="auto"/>
        <w:jc w:val="both"/>
        <w:rPr>
          <w:rFonts w:ascii="Century Gothic" w:hAnsi="Century Gothic"/>
          <w:b/>
          <w:sz w:val="24"/>
          <w:szCs w:val="24"/>
        </w:rPr>
      </w:pPr>
      <w:r w:rsidRPr="008744C1">
        <w:rPr>
          <w:rFonts w:ascii="Century Gothic" w:hAnsi="Century Gothic"/>
          <w:b/>
          <w:bCs/>
          <w:sz w:val="24"/>
          <w:szCs w:val="24"/>
        </w:rPr>
        <w:lastRenderedPageBreak/>
        <w:t>Artículo 1</w:t>
      </w:r>
      <w:r w:rsidR="00E51B32">
        <w:rPr>
          <w:rFonts w:ascii="Century Gothic" w:hAnsi="Century Gothic"/>
          <w:b/>
          <w:bCs/>
          <w:sz w:val="24"/>
          <w:szCs w:val="24"/>
        </w:rPr>
        <w:t>7 Bis</w:t>
      </w:r>
      <w:r w:rsidRPr="008744C1">
        <w:rPr>
          <w:rFonts w:ascii="Century Gothic" w:hAnsi="Century Gothic"/>
          <w:b/>
          <w:bCs/>
          <w:sz w:val="24"/>
          <w:szCs w:val="24"/>
        </w:rPr>
        <w:t xml:space="preserve">. </w:t>
      </w:r>
      <w:r w:rsidRPr="008744C1">
        <w:rPr>
          <w:rFonts w:ascii="Century Gothic" w:hAnsi="Century Gothic"/>
          <w:b/>
          <w:sz w:val="24"/>
          <w:szCs w:val="24"/>
        </w:rPr>
        <w:t>Las dependencias y entidades de la Administración Pública Estatal deberán contar con un Protocolo para la Prevención, Atención y Canalización de Casos de Violencia Laboral.</w:t>
      </w:r>
    </w:p>
    <w:p w14:paraId="2EBDF800" w14:textId="77777777" w:rsidR="00DA339A" w:rsidRPr="008744C1" w:rsidRDefault="00DA339A" w:rsidP="00DA339A">
      <w:pPr>
        <w:spacing w:after="0" w:line="360" w:lineRule="auto"/>
        <w:rPr>
          <w:rFonts w:ascii="Century Gothic" w:hAnsi="Century Gothic"/>
          <w:b/>
          <w:sz w:val="24"/>
          <w:szCs w:val="24"/>
        </w:rPr>
      </w:pPr>
      <w:r w:rsidRPr="008744C1">
        <w:rPr>
          <w:rFonts w:ascii="Century Gothic" w:hAnsi="Century Gothic"/>
          <w:b/>
          <w:sz w:val="24"/>
          <w:szCs w:val="24"/>
        </w:rPr>
        <w:t>Dicho Protocolo deberá contener, al menos:</w:t>
      </w:r>
    </w:p>
    <w:p w14:paraId="48DFE2DA" w14:textId="77777777" w:rsidR="00DA339A" w:rsidRPr="008744C1" w:rsidRDefault="00DA339A" w:rsidP="00DA339A">
      <w:pPr>
        <w:spacing w:after="0" w:line="360" w:lineRule="auto"/>
        <w:ind w:left="708"/>
        <w:jc w:val="both"/>
        <w:rPr>
          <w:rFonts w:ascii="Century Gothic" w:hAnsi="Century Gothic"/>
          <w:b/>
          <w:sz w:val="24"/>
          <w:szCs w:val="24"/>
        </w:rPr>
      </w:pPr>
      <w:r w:rsidRPr="008744C1">
        <w:rPr>
          <w:rFonts w:ascii="Century Gothic" w:hAnsi="Century Gothic"/>
          <w:b/>
          <w:sz w:val="24"/>
          <w:szCs w:val="24"/>
        </w:rPr>
        <w:t>I. Medidas preventivas para identificar, inhibir y atender conductas constitutivas de violencia laboral;</w:t>
      </w:r>
    </w:p>
    <w:p w14:paraId="500EB0A4" w14:textId="77777777" w:rsidR="00DA339A" w:rsidRPr="008744C1" w:rsidRDefault="00DA339A" w:rsidP="00DA339A">
      <w:pPr>
        <w:spacing w:after="0" w:line="360" w:lineRule="auto"/>
        <w:ind w:firstLine="708"/>
        <w:jc w:val="both"/>
        <w:rPr>
          <w:rFonts w:ascii="Century Gothic" w:hAnsi="Century Gothic"/>
          <w:b/>
          <w:sz w:val="24"/>
          <w:szCs w:val="24"/>
        </w:rPr>
      </w:pPr>
      <w:r w:rsidRPr="008744C1">
        <w:rPr>
          <w:rFonts w:ascii="Century Gothic" w:hAnsi="Century Gothic"/>
          <w:b/>
          <w:sz w:val="24"/>
          <w:szCs w:val="24"/>
        </w:rPr>
        <w:t>II. Mecanismos accesibles, confidenciales y, en su caso, anónimos</w:t>
      </w:r>
    </w:p>
    <w:p w14:paraId="5E9B6F8C" w14:textId="77777777" w:rsidR="00DA339A" w:rsidRPr="008744C1" w:rsidRDefault="00DA339A" w:rsidP="00DA339A">
      <w:pPr>
        <w:spacing w:after="0" w:line="360" w:lineRule="auto"/>
        <w:ind w:firstLine="708"/>
        <w:jc w:val="both"/>
        <w:rPr>
          <w:rFonts w:ascii="Century Gothic" w:hAnsi="Century Gothic"/>
          <w:b/>
          <w:sz w:val="24"/>
          <w:szCs w:val="24"/>
        </w:rPr>
      </w:pPr>
      <w:r w:rsidRPr="008744C1">
        <w:rPr>
          <w:rFonts w:ascii="Century Gothic" w:hAnsi="Century Gothic"/>
          <w:b/>
          <w:sz w:val="24"/>
          <w:szCs w:val="24"/>
        </w:rPr>
        <w:t>para la recepción de quejas o denuncias;</w:t>
      </w:r>
    </w:p>
    <w:p w14:paraId="0C134440" w14:textId="77777777" w:rsidR="00DA339A" w:rsidRPr="008744C1" w:rsidRDefault="00DA339A" w:rsidP="00DA339A">
      <w:pPr>
        <w:spacing w:after="0" w:line="360" w:lineRule="auto"/>
        <w:ind w:firstLine="708"/>
        <w:jc w:val="both"/>
        <w:rPr>
          <w:rFonts w:ascii="Century Gothic" w:hAnsi="Century Gothic"/>
          <w:b/>
          <w:sz w:val="24"/>
          <w:szCs w:val="24"/>
        </w:rPr>
      </w:pPr>
      <w:r w:rsidRPr="008744C1">
        <w:rPr>
          <w:rFonts w:ascii="Century Gothic" w:hAnsi="Century Gothic"/>
          <w:b/>
          <w:sz w:val="24"/>
          <w:szCs w:val="24"/>
        </w:rPr>
        <w:t>III. Procedimientos internos de atención, análisis y canalización;</w:t>
      </w:r>
    </w:p>
    <w:p w14:paraId="5A2DFE6D" w14:textId="77777777" w:rsidR="00DA339A" w:rsidRPr="008744C1" w:rsidRDefault="00DA339A" w:rsidP="00DA339A">
      <w:pPr>
        <w:spacing w:after="0" w:line="360" w:lineRule="auto"/>
        <w:ind w:left="708"/>
        <w:jc w:val="both"/>
        <w:rPr>
          <w:rFonts w:ascii="Century Gothic" w:hAnsi="Century Gothic"/>
          <w:b/>
          <w:sz w:val="24"/>
          <w:szCs w:val="24"/>
        </w:rPr>
      </w:pPr>
      <w:r w:rsidRPr="008744C1">
        <w:rPr>
          <w:rFonts w:ascii="Century Gothic" w:hAnsi="Century Gothic"/>
          <w:b/>
          <w:sz w:val="24"/>
          <w:szCs w:val="24"/>
        </w:rPr>
        <w:t>IV. Medidas de protección para evitar revictimización o represalias;</w:t>
      </w:r>
    </w:p>
    <w:p w14:paraId="318677C3" w14:textId="77777777" w:rsidR="00DA339A" w:rsidRPr="008744C1" w:rsidRDefault="00DA339A" w:rsidP="00DA339A">
      <w:pPr>
        <w:spacing w:after="0" w:line="360" w:lineRule="auto"/>
        <w:ind w:left="708"/>
        <w:jc w:val="both"/>
        <w:rPr>
          <w:rFonts w:ascii="Century Gothic" w:hAnsi="Century Gothic"/>
          <w:b/>
          <w:sz w:val="24"/>
          <w:szCs w:val="24"/>
        </w:rPr>
      </w:pPr>
      <w:r w:rsidRPr="008744C1">
        <w:rPr>
          <w:rFonts w:ascii="Century Gothic" w:hAnsi="Century Gothic"/>
          <w:b/>
          <w:sz w:val="24"/>
          <w:szCs w:val="24"/>
        </w:rPr>
        <w:t>V. Acciones de seguimiento institucional;</w:t>
      </w:r>
    </w:p>
    <w:p w14:paraId="0EAD375B" w14:textId="77777777" w:rsidR="00DA339A" w:rsidRPr="008744C1" w:rsidRDefault="00DA339A" w:rsidP="00DA339A">
      <w:pPr>
        <w:spacing w:after="0" w:line="360" w:lineRule="auto"/>
        <w:ind w:left="708"/>
        <w:jc w:val="both"/>
        <w:rPr>
          <w:rFonts w:ascii="Century Gothic" w:hAnsi="Century Gothic"/>
          <w:b/>
          <w:sz w:val="24"/>
          <w:szCs w:val="24"/>
        </w:rPr>
      </w:pPr>
      <w:r w:rsidRPr="008744C1">
        <w:rPr>
          <w:rFonts w:ascii="Century Gothic" w:hAnsi="Century Gothic"/>
          <w:b/>
          <w:sz w:val="24"/>
          <w:szCs w:val="24"/>
        </w:rPr>
        <w:t>VI. Programas de capacitación y sensibilización; y</w:t>
      </w:r>
    </w:p>
    <w:p w14:paraId="2631446C" w14:textId="77777777" w:rsidR="00DA339A" w:rsidRPr="008744C1" w:rsidRDefault="00DA339A" w:rsidP="00DA339A">
      <w:pPr>
        <w:spacing w:after="0" w:line="360" w:lineRule="auto"/>
        <w:ind w:left="708"/>
        <w:jc w:val="both"/>
        <w:rPr>
          <w:rFonts w:ascii="Century Gothic" w:hAnsi="Century Gothic"/>
          <w:b/>
          <w:sz w:val="24"/>
          <w:szCs w:val="24"/>
        </w:rPr>
      </w:pPr>
      <w:r w:rsidRPr="008744C1">
        <w:rPr>
          <w:rFonts w:ascii="Century Gothic" w:hAnsi="Century Gothic"/>
          <w:b/>
          <w:sz w:val="24"/>
          <w:szCs w:val="24"/>
        </w:rPr>
        <w:t>VII. Mecanismos de coordinación con las instancias competentes.</w:t>
      </w:r>
    </w:p>
    <w:p w14:paraId="4B1ABD13" w14:textId="77777777" w:rsidR="00DA339A" w:rsidRPr="008744C1" w:rsidRDefault="00DA339A" w:rsidP="00DA339A">
      <w:pPr>
        <w:spacing w:after="0" w:line="360" w:lineRule="auto"/>
        <w:ind w:left="708"/>
        <w:jc w:val="both"/>
        <w:rPr>
          <w:rFonts w:ascii="Century Gothic" w:hAnsi="Century Gothic"/>
          <w:b/>
          <w:sz w:val="24"/>
          <w:szCs w:val="24"/>
        </w:rPr>
      </w:pPr>
    </w:p>
    <w:p w14:paraId="5BD45393" w14:textId="77777777" w:rsidR="00DA339A" w:rsidRDefault="00DA339A" w:rsidP="00DA339A">
      <w:pPr>
        <w:spacing w:after="0" w:line="360" w:lineRule="auto"/>
        <w:jc w:val="both"/>
        <w:rPr>
          <w:rFonts w:ascii="Century Gothic" w:hAnsi="Century Gothic"/>
          <w:b/>
          <w:sz w:val="24"/>
          <w:szCs w:val="24"/>
        </w:rPr>
      </w:pPr>
      <w:r w:rsidRPr="008744C1">
        <w:rPr>
          <w:rFonts w:ascii="Century Gothic" w:hAnsi="Century Gothic"/>
          <w:b/>
          <w:sz w:val="24"/>
          <w:szCs w:val="24"/>
        </w:rPr>
        <w:t>La emisión, adecuación e implementación de dichos protocolos</w:t>
      </w:r>
      <w:r w:rsidRPr="008744C1">
        <w:rPr>
          <w:rFonts w:ascii="Century Gothic" w:hAnsi="Century Gothic"/>
          <w:b/>
          <w:bCs/>
          <w:sz w:val="27"/>
          <w:szCs w:val="27"/>
        </w:rPr>
        <w:t xml:space="preserve"> </w:t>
      </w:r>
      <w:r w:rsidRPr="008744C1">
        <w:rPr>
          <w:rFonts w:ascii="Century Gothic" w:hAnsi="Century Gothic"/>
          <w:b/>
          <w:sz w:val="24"/>
          <w:szCs w:val="24"/>
        </w:rPr>
        <w:t>corresponderá a cada ente obligado, en el ámbito de sus atribuciones.</w:t>
      </w:r>
    </w:p>
    <w:p w14:paraId="7B9707CA" w14:textId="77777777" w:rsidR="00DA339A" w:rsidRDefault="00DA339A" w:rsidP="00DA339A">
      <w:pPr>
        <w:spacing w:after="0" w:line="360" w:lineRule="auto"/>
        <w:jc w:val="both"/>
        <w:rPr>
          <w:rFonts w:ascii="Century Gothic" w:hAnsi="Century Gothic"/>
          <w:b/>
          <w:sz w:val="24"/>
          <w:szCs w:val="24"/>
        </w:rPr>
      </w:pPr>
    </w:p>
    <w:p w14:paraId="6C12C4F8" w14:textId="1B51EA90" w:rsidR="00DA339A" w:rsidRPr="008744C1" w:rsidRDefault="00DA339A" w:rsidP="00DA339A">
      <w:p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  <w:r w:rsidRPr="008744C1">
        <w:rPr>
          <w:rFonts w:ascii="Century Gothic" w:hAnsi="Century Gothic"/>
          <w:b/>
          <w:sz w:val="24"/>
          <w:szCs w:val="24"/>
        </w:rPr>
        <w:t xml:space="preserve">ARTÍCULO SEGUNDO. - </w:t>
      </w:r>
      <w:r w:rsidRPr="008744C1">
        <w:rPr>
          <w:rFonts w:ascii="Century Gothic" w:hAnsi="Century Gothic"/>
          <w:sz w:val="24"/>
          <w:szCs w:val="24"/>
        </w:rPr>
        <w:t>Se adiciona</w:t>
      </w:r>
      <w:r w:rsidRPr="008744C1">
        <w:rPr>
          <w:rFonts w:ascii="Century Gothic" w:hAnsi="Century Gothic"/>
          <w:b/>
          <w:sz w:val="24"/>
          <w:szCs w:val="24"/>
        </w:rPr>
        <w:t xml:space="preserve"> </w:t>
      </w:r>
      <w:r w:rsidR="00D54652">
        <w:rPr>
          <w:rFonts w:ascii="Century Gothic" w:hAnsi="Century Gothic"/>
          <w:b/>
          <w:sz w:val="24"/>
          <w:szCs w:val="24"/>
        </w:rPr>
        <w:t>un artículo 124 BIS</w:t>
      </w:r>
      <w:r w:rsidRPr="008744C1">
        <w:rPr>
          <w:rFonts w:ascii="Century Gothic" w:hAnsi="Century Gothic"/>
          <w:b/>
          <w:sz w:val="24"/>
          <w:szCs w:val="24"/>
        </w:rPr>
        <w:t xml:space="preserve"> </w:t>
      </w:r>
      <w:r w:rsidR="00E51B32">
        <w:rPr>
          <w:rFonts w:ascii="Century Gothic" w:hAnsi="Century Gothic"/>
          <w:b/>
          <w:sz w:val="24"/>
          <w:szCs w:val="24"/>
        </w:rPr>
        <w:t>a</w:t>
      </w:r>
      <w:r w:rsidRPr="008744C1">
        <w:rPr>
          <w:rFonts w:ascii="Century Gothic" w:hAnsi="Century Gothic"/>
          <w:b/>
          <w:sz w:val="24"/>
          <w:szCs w:val="24"/>
        </w:rPr>
        <w:t xml:space="preserve"> la Ley Orgánica del Poder Legislativo del Estado de Chihuahua</w:t>
      </w:r>
      <w:r w:rsidRPr="008744C1">
        <w:rPr>
          <w:rFonts w:ascii="Century Gothic" w:hAnsi="Century Gothic"/>
          <w:sz w:val="24"/>
          <w:szCs w:val="24"/>
        </w:rPr>
        <w:t>, para quedar redactado de la siguiente manera:</w:t>
      </w:r>
    </w:p>
    <w:p w14:paraId="271B5036" w14:textId="77777777" w:rsidR="00DA339A" w:rsidRPr="008744C1" w:rsidRDefault="00DA339A" w:rsidP="00DA339A">
      <w:pPr>
        <w:spacing w:after="0" w:line="360" w:lineRule="auto"/>
        <w:jc w:val="both"/>
        <w:rPr>
          <w:rFonts w:ascii="Century Gothic" w:hAnsi="Century Gothic"/>
          <w:b/>
          <w:sz w:val="24"/>
          <w:szCs w:val="24"/>
        </w:rPr>
      </w:pPr>
    </w:p>
    <w:p w14:paraId="2CC2238A" w14:textId="00619493" w:rsidR="00DA339A" w:rsidRPr="008744C1" w:rsidRDefault="00DA339A" w:rsidP="00E51B32">
      <w:pPr>
        <w:spacing w:after="0" w:line="360" w:lineRule="auto"/>
        <w:jc w:val="both"/>
        <w:rPr>
          <w:rFonts w:ascii="Century Gothic" w:hAnsi="Century Gothic"/>
          <w:b/>
          <w:sz w:val="24"/>
          <w:szCs w:val="24"/>
        </w:rPr>
      </w:pPr>
      <w:r w:rsidRPr="008744C1">
        <w:rPr>
          <w:rFonts w:ascii="Century Gothic" w:hAnsi="Century Gothic"/>
          <w:b/>
          <w:sz w:val="24"/>
          <w:szCs w:val="24"/>
        </w:rPr>
        <w:t>Artículo 12</w:t>
      </w:r>
      <w:r w:rsidR="00E51B32">
        <w:rPr>
          <w:rFonts w:ascii="Century Gothic" w:hAnsi="Century Gothic"/>
          <w:b/>
          <w:sz w:val="24"/>
          <w:szCs w:val="24"/>
        </w:rPr>
        <w:t>4 BIS</w:t>
      </w:r>
      <w:r w:rsidRPr="008744C1">
        <w:rPr>
          <w:rFonts w:ascii="Century Gothic" w:hAnsi="Century Gothic"/>
          <w:b/>
          <w:sz w:val="24"/>
          <w:szCs w:val="24"/>
        </w:rPr>
        <w:t>.</w:t>
      </w:r>
      <w:r w:rsidR="00E51B32">
        <w:rPr>
          <w:rFonts w:ascii="Century Gothic" w:hAnsi="Century Gothic"/>
          <w:b/>
          <w:sz w:val="24"/>
          <w:szCs w:val="24"/>
        </w:rPr>
        <w:t xml:space="preserve"> </w:t>
      </w:r>
      <w:r w:rsidR="00D54652">
        <w:rPr>
          <w:rFonts w:ascii="Century Gothic" w:hAnsi="Century Gothic"/>
          <w:b/>
          <w:sz w:val="24"/>
          <w:szCs w:val="24"/>
        </w:rPr>
        <w:t>Los Órganos Técnicos deben e</w:t>
      </w:r>
      <w:r w:rsidRPr="008744C1">
        <w:rPr>
          <w:rFonts w:ascii="Century Gothic" w:hAnsi="Century Gothic"/>
          <w:b/>
          <w:sz w:val="24"/>
          <w:szCs w:val="24"/>
        </w:rPr>
        <w:t xml:space="preserve">mitir, implementar y actualizar un Protocolo para la Prevención, Atención y Canalización de Casos de Violencia Laboral en el ámbito del Poder Legislativo, conforme a los principios de </w:t>
      </w:r>
      <w:r w:rsidRPr="008744C1">
        <w:rPr>
          <w:rFonts w:ascii="Century Gothic" w:hAnsi="Century Gothic"/>
          <w:b/>
          <w:sz w:val="24"/>
          <w:szCs w:val="24"/>
        </w:rPr>
        <w:lastRenderedPageBreak/>
        <w:t>prevención, confidencialidad, debida diligencia, no revictimización y protección de derechos.</w:t>
      </w:r>
    </w:p>
    <w:p w14:paraId="2EDA2041" w14:textId="77777777" w:rsidR="00DA339A" w:rsidRPr="00FC2319" w:rsidRDefault="00DA339A" w:rsidP="00DA339A">
      <w:pPr>
        <w:spacing w:after="0" w:line="360" w:lineRule="auto"/>
        <w:jc w:val="both"/>
        <w:rPr>
          <w:rFonts w:ascii="Century Gothic" w:eastAsia="Times New Roman" w:hAnsi="Century Gothic" w:cs="Times New Roman"/>
          <w:kern w:val="0"/>
          <w:sz w:val="27"/>
          <w:szCs w:val="27"/>
          <w:lang w:eastAsia="es-MX"/>
          <w14:ligatures w14:val="none"/>
        </w:rPr>
      </w:pPr>
    </w:p>
    <w:p w14:paraId="01141D28" w14:textId="77777777" w:rsidR="00DA339A" w:rsidRPr="00FC2319" w:rsidRDefault="00DA339A" w:rsidP="00DA339A">
      <w:pPr>
        <w:spacing w:after="0" w:line="360" w:lineRule="auto"/>
        <w:jc w:val="center"/>
        <w:rPr>
          <w:rFonts w:ascii="Century Gothic" w:hAnsi="Century Gothic"/>
          <w:b/>
          <w:bCs/>
          <w:sz w:val="27"/>
          <w:szCs w:val="27"/>
        </w:rPr>
      </w:pPr>
      <w:r w:rsidRPr="00FC2319">
        <w:rPr>
          <w:rFonts w:ascii="Century Gothic" w:hAnsi="Century Gothic"/>
          <w:b/>
          <w:bCs/>
          <w:sz w:val="27"/>
          <w:szCs w:val="27"/>
        </w:rPr>
        <w:t>ARTÍCULOS TRANSITORIOS</w:t>
      </w:r>
    </w:p>
    <w:p w14:paraId="7BAF3C34" w14:textId="77777777" w:rsidR="00DA339A" w:rsidRPr="00FC2319" w:rsidRDefault="00DA339A" w:rsidP="00DA339A">
      <w:pPr>
        <w:spacing w:after="0" w:line="360" w:lineRule="auto"/>
        <w:jc w:val="center"/>
        <w:rPr>
          <w:rFonts w:ascii="Century Gothic" w:hAnsi="Century Gothic"/>
          <w:b/>
          <w:bCs/>
          <w:sz w:val="27"/>
          <w:szCs w:val="27"/>
        </w:rPr>
      </w:pPr>
    </w:p>
    <w:p w14:paraId="0CA58B55" w14:textId="77777777" w:rsidR="00DA339A" w:rsidRPr="00FC2319" w:rsidRDefault="00DA339A" w:rsidP="00DA339A">
      <w:pPr>
        <w:spacing w:after="0" w:line="360" w:lineRule="auto"/>
        <w:jc w:val="both"/>
        <w:rPr>
          <w:rFonts w:ascii="Century Gothic" w:hAnsi="Century Gothic"/>
          <w:bCs/>
          <w:sz w:val="24"/>
          <w:szCs w:val="24"/>
        </w:rPr>
      </w:pPr>
      <w:r w:rsidRPr="00FC2319">
        <w:rPr>
          <w:rFonts w:ascii="Century Gothic" w:hAnsi="Century Gothic"/>
          <w:b/>
          <w:bCs/>
          <w:sz w:val="24"/>
          <w:szCs w:val="24"/>
        </w:rPr>
        <w:t xml:space="preserve">PRIMERO. </w:t>
      </w:r>
      <w:r w:rsidRPr="00FC2319">
        <w:rPr>
          <w:rFonts w:ascii="Century Gothic" w:hAnsi="Century Gothic"/>
          <w:bCs/>
          <w:sz w:val="24"/>
          <w:szCs w:val="24"/>
        </w:rPr>
        <w:t>El presente Decreto entrará en vigor al día siguiente de su publicación en el Periódico Oficial del Estado.</w:t>
      </w:r>
    </w:p>
    <w:p w14:paraId="45DF053C" w14:textId="77777777" w:rsidR="00DA339A" w:rsidRPr="00FC2319" w:rsidRDefault="00DA339A" w:rsidP="00DA339A">
      <w:pPr>
        <w:spacing w:after="0" w:line="360" w:lineRule="auto"/>
        <w:jc w:val="both"/>
        <w:rPr>
          <w:rFonts w:ascii="Century Gothic" w:hAnsi="Century Gothic"/>
          <w:b/>
          <w:bCs/>
          <w:sz w:val="24"/>
          <w:szCs w:val="24"/>
        </w:rPr>
      </w:pPr>
    </w:p>
    <w:p w14:paraId="17D8A1F8" w14:textId="77777777" w:rsidR="00DA339A" w:rsidRPr="00FC2319" w:rsidRDefault="00DA339A" w:rsidP="00DA339A">
      <w:pPr>
        <w:spacing w:after="0" w:line="360" w:lineRule="auto"/>
        <w:jc w:val="both"/>
        <w:rPr>
          <w:rFonts w:ascii="Century Gothic" w:hAnsi="Century Gothic"/>
          <w:bCs/>
          <w:sz w:val="24"/>
          <w:szCs w:val="24"/>
        </w:rPr>
      </w:pPr>
      <w:r w:rsidRPr="00FC2319">
        <w:rPr>
          <w:rFonts w:ascii="Century Gothic" w:hAnsi="Century Gothic"/>
          <w:b/>
          <w:bCs/>
          <w:sz w:val="24"/>
          <w:szCs w:val="24"/>
        </w:rPr>
        <w:t xml:space="preserve">SEGUNDO. </w:t>
      </w:r>
      <w:r w:rsidRPr="00FC2319">
        <w:rPr>
          <w:rFonts w:ascii="Century Gothic" w:hAnsi="Century Gothic"/>
          <w:bCs/>
          <w:sz w:val="24"/>
          <w:szCs w:val="24"/>
        </w:rPr>
        <w:t>Las dependencias y entidades de la Administración Pública Estatal deberán realizar las adecuaciones administrativas necesarias para el cumplimiento del presente Decreto dentro de un plazo no mayor a 90 días naturales contados a partir de su entrada en vigor.</w:t>
      </w:r>
    </w:p>
    <w:p w14:paraId="6CCA7265" w14:textId="77777777" w:rsidR="00DA339A" w:rsidRPr="00FC2319" w:rsidRDefault="00DA339A" w:rsidP="00DA339A">
      <w:pPr>
        <w:spacing w:after="0" w:line="360" w:lineRule="auto"/>
        <w:jc w:val="both"/>
        <w:rPr>
          <w:rFonts w:ascii="Century Gothic" w:hAnsi="Century Gothic"/>
          <w:b/>
          <w:bCs/>
          <w:sz w:val="24"/>
          <w:szCs w:val="24"/>
        </w:rPr>
      </w:pPr>
    </w:p>
    <w:p w14:paraId="2D937B96" w14:textId="77777777" w:rsidR="00DA339A" w:rsidRPr="00FC2319" w:rsidRDefault="00DA339A" w:rsidP="00DA339A">
      <w:pPr>
        <w:spacing w:after="0" w:line="360" w:lineRule="auto"/>
        <w:jc w:val="both"/>
        <w:rPr>
          <w:rFonts w:ascii="Century Gothic" w:hAnsi="Century Gothic"/>
          <w:bCs/>
          <w:sz w:val="24"/>
          <w:szCs w:val="24"/>
        </w:rPr>
      </w:pPr>
      <w:r w:rsidRPr="00FC2319">
        <w:rPr>
          <w:rFonts w:ascii="Century Gothic" w:hAnsi="Century Gothic"/>
          <w:b/>
          <w:bCs/>
          <w:sz w:val="24"/>
          <w:szCs w:val="24"/>
        </w:rPr>
        <w:t xml:space="preserve">TERCERO. </w:t>
      </w:r>
      <w:r w:rsidRPr="00FC2319">
        <w:rPr>
          <w:rFonts w:ascii="Century Gothic" w:hAnsi="Century Gothic"/>
          <w:bCs/>
          <w:sz w:val="24"/>
          <w:szCs w:val="24"/>
        </w:rPr>
        <w:t>En el mismo plazo señalado en el artículo anterior, las dependencias y entidades deberán emitir o actualizar los lineamientos internos necesarios para garantizar la aplicación de las medidas de protección previstas en el presente Decreto.</w:t>
      </w:r>
    </w:p>
    <w:p w14:paraId="0DF8FCBE" w14:textId="77777777" w:rsidR="00DA339A" w:rsidRPr="00FC2319" w:rsidRDefault="00DA339A" w:rsidP="00DA339A">
      <w:pPr>
        <w:spacing w:after="0" w:line="360" w:lineRule="auto"/>
        <w:jc w:val="both"/>
        <w:rPr>
          <w:rFonts w:ascii="Century Gothic" w:hAnsi="Century Gothic"/>
          <w:b/>
          <w:bCs/>
          <w:sz w:val="24"/>
          <w:szCs w:val="24"/>
        </w:rPr>
      </w:pPr>
    </w:p>
    <w:p w14:paraId="2404B0EF" w14:textId="77777777" w:rsidR="00DA339A" w:rsidRPr="00FC2319" w:rsidRDefault="00DA339A" w:rsidP="00DA339A">
      <w:pPr>
        <w:spacing w:after="0" w:line="360" w:lineRule="auto"/>
        <w:jc w:val="both"/>
        <w:rPr>
          <w:rFonts w:ascii="Century Gothic" w:hAnsi="Century Gothic"/>
          <w:bCs/>
          <w:sz w:val="24"/>
          <w:szCs w:val="24"/>
        </w:rPr>
      </w:pPr>
      <w:r w:rsidRPr="00FC2319">
        <w:rPr>
          <w:rFonts w:ascii="Century Gothic" w:hAnsi="Century Gothic"/>
          <w:b/>
          <w:bCs/>
          <w:sz w:val="24"/>
          <w:szCs w:val="24"/>
        </w:rPr>
        <w:t xml:space="preserve">CUARTO. </w:t>
      </w:r>
      <w:r w:rsidRPr="00FC2319">
        <w:rPr>
          <w:rFonts w:ascii="Century Gothic" w:hAnsi="Century Gothic"/>
          <w:bCs/>
          <w:sz w:val="24"/>
          <w:szCs w:val="24"/>
        </w:rPr>
        <w:t>Las autoridades jurisdiccionales y administrativas del Estado deberán aplicar e interpretar las disposiciones contenidas en el presente Decreto conforme al principio de protección más amplia para las víctimas de violencia.</w:t>
      </w:r>
    </w:p>
    <w:p w14:paraId="6304853B" w14:textId="77777777" w:rsidR="00DA339A" w:rsidRPr="00FC2319" w:rsidRDefault="00DA339A" w:rsidP="00DA339A">
      <w:pPr>
        <w:spacing w:after="0" w:line="360" w:lineRule="auto"/>
        <w:jc w:val="both"/>
        <w:rPr>
          <w:rFonts w:ascii="Century Gothic" w:hAnsi="Century Gothic"/>
          <w:b/>
          <w:bCs/>
          <w:sz w:val="24"/>
          <w:szCs w:val="24"/>
        </w:rPr>
      </w:pPr>
    </w:p>
    <w:p w14:paraId="3F78226B" w14:textId="77777777" w:rsidR="00DA339A" w:rsidRPr="00FC2319" w:rsidRDefault="00DA339A" w:rsidP="00DA339A">
      <w:pPr>
        <w:spacing w:after="0" w:line="360" w:lineRule="auto"/>
        <w:jc w:val="both"/>
        <w:rPr>
          <w:rFonts w:ascii="Century Gothic" w:hAnsi="Century Gothic"/>
          <w:b/>
          <w:bCs/>
          <w:sz w:val="24"/>
          <w:szCs w:val="24"/>
        </w:rPr>
      </w:pPr>
      <w:r w:rsidRPr="00FC2319">
        <w:rPr>
          <w:rStyle w:val="Ninguno"/>
          <w:rFonts w:ascii="Century Gothic" w:hAnsi="Century Gothic" w:cs="Arial"/>
          <w:b/>
          <w:bCs/>
          <w:sz w:val="24"/>
          <w:szCs w:val="24"/>
        </w:rPr>
        <w:lastRenderedPageBreak/>
        <w:t>QUINTO</w:t>
      </w:r>
      <w:r w:rsidRPr="00FC2319">
        <w:rPr>
          <w:rFonts w:ascii="Century Gothic" w:hAnsi="Century Gothic"/>
          <w:b/>
          <w:bCs/>
          <w:sz w:val="24"/>
          <w:szCs w:val="24"/>
        </w:rPr>
        <w:t xml:space="preserve">. </w:t>
      </w:r>
      <w:r w:rsidRPr="00FC2319">
        <w:rPr>
          <w:rFonts w:ascii="Century Gothic" w:hAnsi="Century Gothic"/>
          <w:bCs/>
          <w:sz w:val="24"/>
          <w:szCs w:val="24"/>
        </w:rPr>
        <w:t>Las medidas previstas en el presente Decreto deberán implementarse garantizando en todo momento la protección de los derechos laborales de la víctima y evitando cualquier forma de revictimización.</w:t>
      </w:r>
    </w:p>
    <w:p w14:paraId="7ECD319E" w14:textId="77777777" w:rsidR="00DA339A" w:rsidRPr="00FC2319" w:rsidRDefault="00DA339A" w:rsidP="00DA339A">
      <w:pPr>
        <w:spacing w:after="0" w:line="360" w:lineRule="auto"/>
        <w:jc w:val="both"/>
        <w:rPr>
          <w:rFonts w:ascii="Century Gothic" w:hAnsi="Century Gothic"/>
          <w:b/>
          <w:bCs/>
          <w:sz w:val="24"/>
          <w:szCs w:val="24"/>
        </w:rPr>
      </w:pPr>
    </w:p>
    <w:p w14:paraId="20F576EE" w14:textId="77777777" w:rsidR="00DA339A" w:rsidRPr="00FC2319" w:rsidRDefault="00DA339A" w:rsidP="00DA339A">
      <w:pPr>
        <w:spacing w:after="0" w:line="360" w:lineRule="auto"/>
        <w:jc w:val="both"/>
        <w:rPr>
          <w:rFonts w:ascii="Century Gothic" w:hAnsi="Century Gothic"/>
          <w:bCs/>
          <w:sz w:val="24"/>
          <w:szCs w:val="24"/>
        </w:rPr>
      </w:pPr>
      <w:r w:rsidRPr="00FC2319">
        <w:rPr>
          <w:rStyle w:val="Ninguno"/>
          <w:rFonts w:ascii="Century Gothic" w:hAnsi="Century Gothic" w:cs="Arial"/>
          <w:b/>
          <w:bCs/>
          <w:sz w:val="24"/>
          <w:szCs w:val="24"/>
        </w:rPr>
        <w:t>SEXTO</w:t>
      </w:r>
      <w:r w:rsidRPr="00FC2319">
        <w:rPr>
          <w:rFonts w:ascii="Century Gothic" w:hAnsi="Century Gothic"/>
          <w:b/>
          <w:bCs/>
          <w:sz w:val="24"/>
          <w:szCs w:val="24"/>
        </w:rPr>
        <w:t xml:space="preserve">. </w:t>
      </w:r>
      <w:r w:rsidRPr="00FC2319">
        <w:rPr>
          <w:rFonts w:ascii="Century Gothic" w:hAnsi="Century Gothic"/>
          <w:bCs/>
          <w:sz w:val="24"/>
          <w:szCs w:val="24"/>
        </w:rPr>
        <w:t>El Poder Ejecutivo del Estado, a través de las instancias competentes, promoverá la capacitación del personal de las dependencias y entidades de la Administración Pública Estatal en materia de prevención, atención y erradicación de la violencia laboral e institucional.</w:t>
      </w:r>
    </w:p>
    <w:p w14:paraId="03E05E1C" w14:textId="77777777" w:rsidR="00DA339A" w:rsidRPr="00FC2319" w:rsidRDefault="00DA339A" w:rsidP="00DA339A">
      <w:pPr>
        <w:spacing w:after="0" w:line="360" w:lineRule="auto"/>
        <w:jc w:val="both"/>
        <w:rPr>
          <w:rFonts w:ascii="Century Gothic" w:hAnsi="Century Gothic"/>
          <w:b/>
          <w:bCs/>
          <w:sz w:val="24"/>
          <w:szCs w:val="24"/>
        </w:rPr>
      </w:pPr>
    </w:p>
    <w:p w14:paraId="5186FCE3" w14:textId="77777777" w:rsidR="00DA339A" w:rsidRPr="00FC2319" w:rsidRDefault="00DA339A" w:rsidP="00DA339A">
      <w:pPr>
        <w:pStyle w:val="CuerpoA"/>
        <w:spacing w:line="360" w:lineRule="auto"/>
        <w:jc w:val="both"/>
        <w:rPr>
          <w:rFonts w:ascii="Century Gothic" w:eastAsia="Arial Narrow" w:hAnsi="Century Gothic" w:cs="Arial"/>
          <w:b/>
          <w:bCs/>
          <w:sz w:val="24"/>
          <w:szCs w:val="24"/>
          <w:lang w:val="es-419"/>
        </w:rPr>
      </w:pPr>
      <w:r w:rsidRPr="00FC2319">
        <w:rPr>
          <w:rStyle w:val="Ninguno"/>
          <w:rFonts w:ascii="Century Gothic" w:hAnsi="Century Gothic" w:cs="Arial"/>
          <w:b/>
          <w:bCs/>
          <w:sz w:val="24"/>
          <w:szCs w:val="24"/>
          <w:lang w:val="es-419"/>
        </w:rPr>
        <w:t xml:space="preserve">ECONÓMICO. - </w:t>
      </w:r>
      <w:r w:rsidRPr="00FC2319">
        <w:rPr>
          <w:rStyle w:val="Ninguno"/>
          <w:rFonts w:ascii="Century Gothic" w:hAnsi="Century Gothic" w:cs="Arial"/>
          <w:sz w:val="24"/>
          <w:szCs w:val="24"/>
          <w:lang w:val="es-419"/>
        </w:rPr>
        <w:t>Aprobado que sea, túrnese a la Secretaría para que elabore la minuta de Decreto correspondiente.</w:t>
      </w:r>
    </w:p>
    <w:p w14:paraId="1F20C3C0" w14:textId="2EA69A62" w:rsidR="00DA339A" w:rsidRDefault="00DA339A" w:rsidP="00D54652">
      <w:pPr>
        <w:spacing w:before="240" w:line="360" w:lineRule="auto"/>
        <w:jc w:val="both"/>
        <w:rPr>
          <w:rFonts w:ascii="Century Gothic" w:hAnsi="Century Gothic"/>
          <w:color w:val="000000" w:themeColor="text1"/>
          <w:sz w:val="24"/>
          <w:szCs w:val="24"/>
        </w:rPr>
      </w:pPr>
      <w:r w:rsidRPr="00FC2319">
        <w:rPr>
          <w:rFonts w:ascii="Century Gothic" w:hAnsi="Century Gothic"/>
          <w:b/>
          <w:bCs/>
          <w:color w:val="000000" w:themeColor="text1"/>
          <w:sz w:val="24"/>
          <w:szCs w:val="24"/>
        </w:rPr>
        <w:t>DADO</w:t>
      </w:r>
      <w:r w:rsidRPr="00FC2319">
        <w:rPr>
          <w:rFonts w:ascii="Century Gothic" w:hAnsi="Century Gothic"/>
          <w:color w:val="000000" w:themeColor="text1"/>
          <w:sz w:val="24"/>
          <w:szCs w:val="24"/>
        </w:rPr>
        <w:t xml:space="preserve"> en la sede del Poder Legislativo en la Ciudad de Chihuahua, Chihuahua, a </w:t>
      </w:r>
      <w:r>
        <w:rPr>
          <w:rFonts w:ascii="Century Gothic" w:hAnsi="Century Gothic"/>
          <w:color w:val="000000" w:themeColor="text1"/>
          <w:sz w:val="24"/>
          <w:szCs w:val="24"/>
        </w:rPr>
        <w:t>0</w:t>
      </w:r>
      <w:r w:rsidR="008E2490">
        <w:rPr>
          <w:rFonts w:ascii="Century Gothic" w:hAnsi="Century Gothic"/>
          <w:color w:val="000000" w:themeColor="text1"/>
          <w:sz w:val="24"/>
          <w:szCs w:val="24"/>
        </w:rPr>
        <w:t>2</w:t>
      </w:r>
      <w:r w:rsidRPr="00FC2319">
        <w:rPr>
          <w:rFonts w:ascii="Century Gothic" w:hAnsi="Century Gothic"/>
          <w:color w:val="000000" w:themeColor="text1"/>
          <w:sz w:val="24"/>
          <w:szCs w:val="24"/>
        </w:rPr>
        <w:t xml:space="preserve"> de </w:t>
      </w:r>
      <w:r>
        <w:rPr>
          <w:rFonts w:ascii="Century Gothic" w:hAnsi="Century Gothic"/>
          <w:color w:val="000000" w:themeColor="text1"/>
          <w:sz w:val="24"/>
          <w:szCs w:val="24"/>
        </w:rPr>
        <w:t>julio</w:t>
      </w:r>
      <w:r w:rsidRPr="00FC2319">
        <w:rPr>
          <w:rFonts w:ascii="Century Gothic" w:hAnsi="Century Gothic"/>
          <w:color w:val="000000" w:themeColor="text1"/>
          <w:sz w:val="24"/>
          <w:szCs w:val="24"/>
        </w:rPr>
        <w:t xml:space="preserve"> de dos mil veintiséis.</w:t>
      </w:r>
    </w:p>
    <w:p w14:paraId="1DE99F8F" w14:textId="77777777" w:rsidR="00AB69FB" w:rsidRPr="00D54652" w:rsidRDefault="00AB69FB" w:rsidP="00D54652">
      <w:pPr>
        <w:spacing w:before="240" w:line="360" w:lineRule="auto"/>
        <w:jc w:val="both"/>
        <w:rPr>
          <w:rFonts w:ascii="Century Gothic" w:hAnsi="Century Gothic"/>
          <w:color w:val="000000" w:themeColor="text1"/>
          <w:sz w:val="24"/>
          <w:szCs w:val="24"/>
        </w:rPr>
      </w:pPr>
    </w:p>
    <w:p w14:paraId="47026DE6" w14:textId="77777777" w:rsidR="00DA339A" w:rsidRDefault="00DA339A" w:rsidP="00DA339A">
      <w:pPr>
        <w:spacing w:line="36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FC2319">
        <w:rPr>
          <w:rFonts w:ascii="Century Gothic" w:hAnsi="Century Gothic"/>
          <w:b/>
          <w:bCs/>
          <w:sz w:val="24"/>
          <w:szCs w:val="24"/>
        </w:rPr>
        <w:t>ATENTAMENTE</w:t>
      </w:r>
    </w:p>
    <w:p w14:paraId="60C8E603" w14:textId="77777777" w:rsidR="00D54652" w:rsidRDefault="00D54652" w:rsidP="00DA339A">
      <w:pPr>
        <w:spacing w:line="36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427BBA8F" w14:textId="77777777" w:rsidR="00D54652" w:rsidRPr="00FC2319" w:rsidRDefault="00D54652" w:rsidP="00DA339A">
      <w:pPr>
        <w:spacing w:line="36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5E12291D" w14:textId="77777777" w:rsidR="00DA339A" w:rsidRPr="00FC2319" w:rsidRDefault="00DA339A" w:rsidP="00D54652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FC2319">
        <w:rPr>
          <w:rFonts w:ascii="Century Gothic" w:hAnsi="Century Gothic"/>
          <w:b/>
          <w:bCs/>
          <w:sz w:val="24"/>
          <w:szCs w:val="24"/>
        </w:rPr>
        <w:t>________________________________________</w:t>
      </w:r>
    </w:p>
    <w:p w14:paraId="79C02D06" w14:textId="77777777" w:rsidR="00DA339A" w:rsidRDefault="00DA339A" w:rsidP="00D54652">
      <w:pPr>
        <w:spacing w:after="0"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FC2319">
        <w:rPr>
          <w:rFonts w:ascii="Century Gothic" w:hAnsi="Century Gothic"/>
          <w:b/>
          <w:bCs/>
          <w:sz w:val="24"/>
          <w:szCs w:val="24"/>
        </w:rPr>
        <w:t>DIP. AMÉRICA VICTORIA AGUILAR GIL</w:t>
      </w:r>
    </w:p>
    <w:p w14:paraId="4FAFD287" w14:textId="05DE1CD4" w:rsidR="000C1CA3" w:rsidRPr="00D54652" w:rsidRDefault="00DA339A" w:rsidP="00D54652">
      <w:pPr>
        <w:spacing w:after="0"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PARTIDO DEL TRABAJO</w:t>
      </w:r>
    </w:p>
    <w:sectPr w:rsidR="000C1CA3" w:rsidRPr="00D54652" w:rsidSect="006E20BA">
      <w:headerReference w:type="default" r:id="rId7"/>
      <w:footerReference w:type="default" r:id="rId8"/>
      <w:pgSz w:w="12240" w:h="15840"/>
      <w:pgMar w:top="354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42FD9" w14:textId="77777777" w:rsidR="004A1D52" w:rsidRDefault="004A1D52" w:rsidP="006E20BA">
      <w:r>
        <w:separator/>
      </w:r>
    </w:p>
  </w:endnote>
  <w:endnote w:type="continuationSeparator" w:id="0">
    <w:p w14:paraId="06F9CCA5" w14:textId="77777777" w:rsidR="004A1D52" w:rsidRDefault="004A1D52" w:rsidP="006E2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98C6C" w14:textId="0C2CAE0B" w:rsidR="0029346D" w:rsidRDefault="0029346D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291DA0DB" wp14:editId="792AC872">
          <wp:simplePos x="0" y="0"/>
          <wp:positionH relativeFrom="column">
            <wp:posOffset>4655820</wp:posOffset>
          </wp:positionH>
          <wp:positionV relativeFrom="paragraph">
            <wp:posOffset>-510540</wp:posOffset>
          </wp:positionV>
          <wp:extent cx="2118360" cy="1059180"/>
          <wp:effectExtent l="0" t="0" r="0" b="7620"/>
          <wp:wrapNone/>
          <wp:docPr id="125418361" name="Imagen 3" descr="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926375" name="Imagen 3" descr="Nombre de la empresa&#10;&#10;El contenido generado por IA puede ser incorrecto.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40000"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360" cy="1059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60507" w14:textId="77777777" w:rsidR="004A1D52" w:rsidRDefault="004A1D52" w:rsidP="006E20BA">
      <w:r>
        <w:separator/>
      </w:r>
    </w:p>
  </w:footnote>
  <w:footnote w:type="continuationSeparator" w:id="0">
    <w:p w14:paraId="7298C42D" w14:textId="77777777" w:rsidR="004A1D52" w:rsidRDefault="004A1D52" w:rsidP="006E20BA">
      <w:r>
        <w:continuationSeparator/>
      </w:r>
    </w:p>
  </w:footnote>
  <w:footnote w:id="1">
    <w:p w14:paraId="0D0651BB" w14:textId="2203E744" w:rsidR="00DA339A" w:rsidRPr="00DA339A" w:rsidRDefault="00DA339A" w:rsidP="00DA339A">
      <w:pPr>
        <w:pStyle w:val="Textonotapie"/>
        <w:jc w:val="both"/>
        <w:rPr>
          <w:rFonts w:ascii="Century Gothic" w:hAnsi="Century Gothic"/>
        </w:rPr>
      </w:pPr>
      <w:r w:rsidRPr="00DA339A">
        <w:rPr>
          <w:rStyle w:val="Refdenotaalpie"/>
          <w:rFonts w:ascii="Century Gothic" w:hAnsi="Century Gothic"/>
        </w:rPr>
        <w:footnoteRef/>
      </w:r>
      <w:r w:rsidRPr="00DA339A">
        <w:rPr>
          <w:rFonts w:ascii="Century Gothic" w:hAnsi="Century Gothic"/>
        </w:rPr>
        <w:t xml:space="preserve"> Guerrero, E. (2025, 31 julio). POLITICA | Chihuahua supera la media nacional en violencia laboral contra mujeres. 614. https://614.com.mx/chihuahua-violencia-laboral-mujeres/</w:t>
      </w:r>
    </w:p>
  </w:footnote>
  <w:footnote w:id="2">
    <w:p w14:paraId="467A1AF2" w14:textId="2C898B23" w:rsidR="00DA339A" w:rsidRPr="007564AB" w:rsidRDefault="00DA339A" w:rsidP="00DA339A">
      <w:pPr>
        <w:pStyle w:val="Textonotapie"/>
        <w:jc w:val="both"/>
      </w:pPr>
      <w:r w:rsidRPr="00DA339A">
        <w:rPr>
          <w:rStyle w:val="Refdenotaalpie"/>
          <w:rFonts w:ascii="Century Gothic" w:hAnsi="Century Gothic"/>
        </w:rPr>
        <w:footnoteRef/>
      </w:r>
      <w:r w:rsidRPr="00DA339A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Córdova, F</w:t>
      </w:r>
      <w:r w:rsidRPr="00DA339A">
        <w:rPr>
          <w:rFonts w:ascii="Century Gothic" w:hAnsi="Century Gothic"/>
        </w:rPr>
        <w:t>. (2024, 15 mayo). El 64% de atenciones en Unidad de Violencia Laboral son por acoso. El Diario. https://diario.mx/estado/2024/feb/02/el-64-de-atenciones-en-unidad-de-violencia-laboral-son-por-acoso-991437.html</w:t>
      </w:r>
    </w:p>
  </w:footnote>
  <w:footnote w:id="3">
    <w:p w14:paraId="55688F9A" w14:textId="14816312" w:rsidR="00DA339A" w:rsidRPr="00DA339A" w:rsidRDefault="00DA339A" w:rsidP="00DA339A">
      <w:pPr>
        <w:pStyle w:val="Textonotapie"/>
        <w:jc w:val="both"/>
        <w:rPr>
          <w:rFonts w:ascii="Century Gothic" w:hAnsi="Century Gothic"/>
        </w:rPr>
      </w:pPr>
      <w:r w:rsidRPr="00DA339A">
        <w:rPr>
          <w:rStyle w:val="Refdenotaalpie"/>
          <w:rFonts w:ascii="Century Gothic" w:hAnsi="Century Gothic"/>
        </w:rPr>
        <w:footnoteRef/>
      </w:r>
      <w:r w:rsidRPr="00DA339A">
        <w:rPr>
          <w:rFonts w:ascii="Century Gothic" w:hAnsi="Century Gothic"/>
        </w:rPr>
        <w:t xml:space="preserve"> Presenta </w:t>
      </w:r>
      <w:proofErr w:type="spellStart"/>
      <w:r w:rsidRPr="00DA339A">
        <w:rPr>
          <w:rFonts w:ascii="Century Gothic" w:hAnsi="Century Gothic"/>
        </w:rPr>
        <w:t>ICHMujeres</w:t>
      </w:r>
      <w:proofErr w:type="spellEnd"/>
      <w:r w:rsidRPr="00DA339A">
        <w:rPr>
          <w:rFonts w:ascii="Century Gothic" w:hAnsi="Century Gothic"/>
        </w:rPr>
        <w:t xml:space="preserve"> Protocolo de Atención a Casos de Violencia Laboral | Portal Gubernamental del Estado de Chihuahua. (s. f.). https://chihuahua.gob.mx/prensa/presenta-ichmujeres-protocolo-de-atencion-casos-de-violencia-laboral?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F70F9" w14:textId="00A8BAF2" w:rsidR="006E20BA" w:rsidRDefault="00E40FB5">
    <w:pPr>
      <w:pStyle w:val="Encabezado"/>
    </w:pPr>
    <w:sdt>
      <w:sdtPr>
        <w:id w:val="1672985189"/>
        <w:docPartObj>
          <w:docPartGallery w:val="Page Numbers (Margins)"/>
          <w:docPartUnique/>
        </w:docPartObj>
      </w:sdtPr>
      <w:sdtEndPr/>
      <w:sdtContent>
        <w:r w:rsidR="00732CE0"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721CCA39" wp14:editId="1F3F9BEE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2514600</wp:posOffset>
                      </wp:positionV>
                    </mc:Fallback>
                  </mc:AlternateContent>
                  <wp:extent cx="477520" cy="477520"/>
                  <wp:effectExtent l="0" t="0" r="0" b="0"/>
                  <wp:wrapNone/>
                  <wp:docPr id="2137835673" name="Elips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586D3E2" w14:textId="77777777" w:rsidR="00732CE0" w:rsidRDefault="00732CE0" w:rsidP="00732CE0">
                              <w:pPr>
                                <w:jc w:val="center"/>
                                <w:rPr>
                                  <w:rStyle w:val="Nmerodepgina"/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rStyle w:val="Nmerodepgina"/>
                                  <w:b/>
                                  <w:bCs/>
                                  <w:color w:val="FFFFFF" w:themeColor="background1"/>
                                  <w:lang w:val="es-ES"/>
                                </w:rPr>
                                <w:t>2</w:t>
                              </w:r>
                              <w:r>
                                <w:rPr>
                                  <w:rStyle w:val="Nmerodepgina"/>
                                  <w:b/>
                                  <w:bCs/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721CCA39" id="Elipse 1" o:spid="_x0000_s1026" style="position:absolute;margin-left:0;margin-top:0;width:37.6pt;height:37.6pt;z-index:251665408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" o:allowincell="f" fillcolor="#c00000" stroked="f">
                  <v:textbox inset="0,,0">
                    <w:txbxContent>
                      <w:p w14:paraId="5586D3E2" w14:textId="77777777" w:rsidR="00732CE0" w:rsidRDefault="00732CE0" w:rsidP="00732CE0">
                        <w:pPr>
                          <w:jc w:val="center"/>
                          <w:rPr>
                            <w:rStyle w:val="Nmerodepgina"/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rStyle w:val="Nmerodepgina"/>
                            <w:b/>
                            <w:bCs/>
                            <w:color w:val="FFFFFF" w:themeColor="background1"/>
                            <w:lang w:val="es-ES"/>
                          </w:rPr>
                          <w:t>2</w:t>
                        </w:r>
                        <w:r>
                          <w:rPr>
                            <w:rStyle w:val="Nmerodepgina"/>
                            <w:b/>
                            <w:bCs/>
                            <w:color w:val="FFFFFF" w:themeColor="background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sdtContent>
    </w:sdt>
    <w:r w:rsidR="00F66E0C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AB9DCCF" wp14:editId="1A140D42">
              <wp:simplePos x="0" y="0"/>
              <wp:positionH relativeFrom="column">
                <wp:posOffset>406401</wp:posOffset>
              </wp:positionH>
              <wp:positionV relativeFrom="paragraph">
                <wp:posOffset>49953</wp:posOffset>
              </wp:positionV>
              <wp:extent cx="6127538" cy="285750"/>
              <wp:effectExtent l="0" t="0" r="6985" b="0"/>
              <wp:wrapNone/>
              <wp:docPr id="4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27538" cy="2857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2431319" w14:textId="4C98FE06" w:rsidR="00F66E0C" w:rsidRPr="00732CE0" w:rsidRDefault="00F66E0C" w:rsidP="00F66E0C">
                          <w:pPr>
                            <w:jc w:val="right"/>
                            <w:rPr>
                              <w:rFonts w:ascii="Arial" w:hAnsi="Arial" w:cs="Arial"/>
                            </w:rPr>
                          </w:pPr>
                          <w:r w:rsidRPr="00732CE0">
                            <w:rPr>
                              <w:rFonts w:ascii="Arial" w:hAnsi="Arial" w:cs="Arial"/>
                            </w:rPr>
                            <w:t xml:space="preserve">2026, Año del Bicentenario de la Abolición de la Esclavitud en el Estado de Chihuahua   </w:t>
                          </w:r>
                        </w:p>
                        <w:p w14:paraId="22407A9A" w14:textId="77777777" w:rsidR="00F66E0C" w:rsidRPr="00732CE0" w:rsidRDefault="00F66E0C" w:rsidP="00F66E0C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B9DCCF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style="position:absolute;margin-left:32pt;margin-top:3.95pt;width:482.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" fillcolor="window" stroked="f" strokeweight=".5pt">
              <v:textbox>
                <w:txbxContent>
                  <w:p w14:paraId="42431319" w14:textId="4C98FE06" w:rsidR="00F66E0C" w:rsidRPr="00732CE0" w:rsidRDefault="00F66E0C" w:rsidP="00F66E0C">
                    <w:pPr>
                      <w:jc w:val="right"/>
                      <w:rPr>
                        <w:rFonts w:ascii="Arial" w:hAnsi="Arial" w:cs="Arial"/>
                      </w:rPr>
                    </w:pPr>
                    <w:r w:rsidRPr="00732CE0">
                      <w:rPr>
                        <w:rFonts w:ascii="Arial" w:hAnsi="Arial" w:cs="Arial"/>
                      </w:rPr>
                      <w:t xml:space="preserve">2026, Año del Bicentenario de la Abolición de la Esclavitud en el Estado de Chihuahua   </w:t>
                    </w:r>
                  </w:p>
                  <w:p w14:paraId="22407A9A" w14:textId="77777777" w:rsidR="00F66E0C" w:rsidRPr="00732CE0" w:rsidRDefault="00F66E0C" w:rsidP="00F66E0C">
                    <w:pPr>
                      <w:rPr>
                        <w:rFonts w:ascii="Arial" w:hAnsi="Arial" w:cs="Arial"/>
                      </w:rPr>
                    </w:pPr>
                  </w:p>
                </w:txbxContent>
              </v:textbox>
            </v:shape>
          </w:pict>
        </mc:Fallback>
      </mc:AlternateContent>
    </w:r>
    <w:r w:rsidR="006E20B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0B4D6B7A" wp14:editId="0B7F3163">
          <wp:simplePos x="0" y="0"/>
          <wp:positionH relativeFrom="page">
            <wp:align>right</wp:align>
          </wp:positionH>
          <wp:positionV relativeFrom="paragraph">
            <wp:posOffset>-434975</wp:posOffset>
          </wp:positionV>
          <wp:extent cx="7772400" cy="10058400"/>
          <wp:effectExtent l="0" t="0" r="0" b="0"/>
          <wp:wrapNone/>
          <wp:docPr id="1645573918" name="Imagen 1645573918" descr="Imagen que contiene Interfaz de usuario gráfic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0792484" name="Imagen 1790792484" descr="Imagen que contiene Interfaz de usuario gráfica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D44D8"/>
    <w:multiLevelType w:val="hybridMultilevel"/>
    <w:tmpl w:val="874031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2879C3"/>
    <w:multiLevelType w:val="hybridMultilevel"/>
    <w:tmpl w:val="C56694CC"/>
    <w:lvl w:ilvl="0" w:tplc="A544CC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7C7C52"/>
    <w:multiLevelType w:val="hybridMultilevel"/>
    <w:tmpl w:val="DB5AA9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E20BD"/>
    <w:multiLevelType w:val="hybridMultilevel"/>
    <w:tmpl w:val="6EB45E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F7E"/>
    <w:rsid w:val="00005C07"/>
    <w:rsid w:val="00006A25"/>
    <w:rsid w:val="00013FCF"/>
    <w:rsid w:val="00021D6A"/>
    <w:rsid w:val="00027146"/>
    <w:rsid w:val="000403F1"/>
    <w:rsid w:val="000470BD"/>
    <w:rsid w:val="000508EB"/>
    <w:rsid w:val="00056F42"/>
    <w:rsid w:val="000735BC"/>
    <w:rsid w:val="0009792E"/>
    <w:rsid w:val="000A5135"/>
    <w:rsid w:val="000A7F70"/>
    <w:rsid w:val="000B2C8F"/>
    <w:rsid w:val="000B65DA"/>
    <w:rsid w:val="000B6BB1"/>
    <w:rsid w:val="000C1CA3"/>
    <w:rsid w:val="000D4078"/>
    <w:rsid w:val="000D7EF2"/>
    <w:rsid w:val="000E740C"/>
    <w:rsid w:val="000F2C76"/>
    <w:rsid w:val="00113472"/>
    <w:rsid w:val="0015434D"/>
    <w:rsid w:val="00164DE6"/>
    <w:rsid w:val="00190960"/>
    <w:rsid w:val="001A7F02"/>
    <w:rsid w:val="001B1BE0"/>
    <w:rsid w:val="001C110B"/>
    <w:rsid w:val="001C3F7E"/>
    <w:rsid w:val="001E575E"/>
    <w:rsid w:val="001F0F47"/>
    <w:rsid w:val="00201DE4"/>
    <w:rsid w:val="00204452"/>
    <w:rsid w:val="002260B0"/>
    <w:rsid w:val="0023430B"/>
    <w:rsid w:val="00241B41"/>
    <w:rsid w:val="00242081"/>
    <w:rsid w:val="002431F9"/>
    <w:rsid w:val="00261302"/>
    <w:rsid w:val="00273BE2"/>
    <w:rsid w:val="00284315"/>
    <w:rsid w:val="0029346D"/>
    <w:rsid w:val="002950C4"/>
    <w:rsid w:val="002A52EF"/>
    <w:rsid w:val="002A5CF7"/>
    <w:rsid w:val="002B4554"/>
    <w:rsid w:val="002C568C"/>
    <w:rsid w:val="002D7F96"/>
    <w:rsid w:val="002E6037"/>
    <w:rsid w:val="002F6DE8"/>
    <w:rsid w:val="0032336F"/>
    <w:rsid w:val="00326168"/>
    <w:rsid w:val="003505D9"/>
    <w:rsid w:val="003772DA"/>
    <w:rsid w:val="0039018F"/>
    <w:rsid w:val="003C4C80"/>
    <w:rsid w:val="003E1D51"/>
    <w:rsid w:val="003E4A23"/>
    <w:rsid w:val="003F0344"/>
    <w:rsid w:val="003F7421"/>
    <w:rsid w:val="004347C0"/>
    <w:rsid w:val="004358FC"/>
    <w:rsid w:val="00441664"/>
    <w:rsid w:val="004512C6"/>
    <w:rsid w:val="00466EF2"/>
    <w:rsid w:val="00472BA2"/>
    <w:rsid w:val="00475104"/>
    <w:rsid w:val="004763B1"/>
    <w:rsid w:val="00490653"/>
    <w:rsid w:val="004A1D52"/>
    <w:rsid w:val="004B5DF7"/>
    <w:rsid w:val="004C2959"/>
    <w:rsid w:val="004D1F01"/>
    <w:rsid w:val="004D5922"/>
    <w:rsid w:val="004E5893"/>
    <w:rsid w:val="00511D22"/>
    <w:rsid w:val="0051450F"/>
    <w:rsid w:val="00526389"/>
    <w:rsid w:val="00532E3B"/>
    <w:rsid w:val="00536EAB"/>
    <w:rsid w:val="005461DC"/>
    <w:rsid w:val="005573A3"/>
    <w:rsid w:val="00563372"/>
    <w:rsid w:val="00575B5D"/>
    <w:rsid w:val="00584954"/>
    <w:rsid w:val="00591D16"/>
    <w:rsid w:val="005A242D"/>
    <w:rsid w:val="005B1773"/>
    <w:rsid w:val="005B65A4"/>
    <w:rsid w:val="005C75E2"/>
    <w:rsid w:val="005D014E"/>
    <w:rsid w:val="005E6262"/>
    <w:rsid w:val="00602FD2"/>
    <w:rsid w:val="00627876"/>
    <w:rsid w:val="00647E33"/>
    <w:rsid w:val="00661505"/>
    <w:rsid w:val="00671A88"/>
    <w:rsid w:val="00673A86"/>
    <w:rsid w:val="00684EA8"/>
    <w:rsid w:val="006A7E6D"/>
    <w:rsid w:val="006B6DCF"/>
    <w:rsid w:val="006D106B"/>
    <w:rsid w:val="006E02B6"/>
    <w:rsid w:val="006E20BA"/>
    <w:rsid w:val="006F4291"/>
    <w:rsid w:val="006F5C4D"/>
    <w:rsid w:val="006F7B70"/>
    <w:rsid w:val="00712C5D"/>
    <w:rsid w:val="00732CE0"/>
    <w:rsid w:val="00745BF9"/>
    <w:rsid w:val="00746A73"/>
    <w:rsid w:val="00752167"/>
    <w:rsid w:val="007528F4"/>
    <w:rsid w:val="00757317"/>
    <w:rsid w:val="0077466A"/>
    <w:rsid w:val="00775BAE"/>
    <w:rsid w:val="007A7AD7"/>
    <w:rsid w:val="007C528F"/>
    <w:rsid w:val="007D1007"/>
    <w:rsid w:val="007D5A0B"/>
    <w:rsid w:val="007D5D18"/>
    <w:rsid w:val="007D6609"/>
    <w:rsid w:val="007E1459"/>
    <w:rsid w:val="007E3AE0"/>
    <w:rsid w:val="007F6128"/>
    <w:rsid w:val="00801E37"/>
    <w:rsid w:val="00823CE3"/>
    <w:rsid w:val="0084211B"/>
    <w:rsid w:val="00844C91"/>
    <w:rsid w:val="008509AA"/>
    <w:rsid w:val="0088171A"/>
    <w:rsid w:val="008B579F"/>
    <w:rsid w:val="008C6F78"/>
    <w:rsid w:val="008D5CAD"/>
    <w:rsid w:val="008E2490"/>
    <w:rsid w:val="008E2F9A"/>
    <w:rsid w:val="00911BC9"/>
    <w:rsid w:val="00916304"/>
    <w:rsid w:val="00934A57"/>
    <w:rsid w:val="00953FF3"/>
    <w:rsid w:val="0096282E"/>
    <w:rsid w:val="00962DF2"/>
    <w:rsid w:val="00963DFA"/>
    <w:rsid w:val="00967C6D"/>
    <w:rsid w:val="00973C0E"/>
    <w:rsid w:val="009A39A6"/>
    <w:rsid w:val="009D1181"/>
    <w:rsid w:val="009D7963"/>
    <w:rsid w:val="009E309D"/>
    <w:rsid w:val="009F00A2"/>
    <w:rsid w:val="009F4157"/>
    <w:rsid w:val="00A54FEB"/>
    <w:rsid w:val="00A61249"/>
    <w:rsid w:val="00A650D3"/>
    <w:rsid w:val="00A7166D"/>
    <w:rsid w:val="00A80156"/>
    <w:rsid w:val="00A964C1"/>
    <w:rsid w:val="00A96720"/>
    <w:rsid w:val="00AA757D"/>
    <w:rsid w:val="00AB49A8"/>
    <w:rsid w:val="00AB69FB"/>
    <w:rsid w:val="00AC06A5"/>
    <w:rsid w:val="00AD556B"/>
    <w:rsid w:val="00B22395"/>
    <w:rsid w:val="00B23F83"/>
    <w:rsid w:val="00B26212"/>
    <w:rsid w:val="00B272D2"/>
    <w:rsid w:val="00B316F6"/>
    <w:rsid w:val="00B33DEF"/>
    <w:rsid w:val="00B34477"/>
    <w:rsid w:val="00B7437F"/>
    <w:rsid w:val="00B7796A"/>
    <w:rsid w:val="00B84822"/>
    <w:rsid w:val="00B979A1"/>
    <w:rsid w:val="00BB62CB"/>
    <w:rsid w:val="00BB664A"/>
    <w:rsid w:val="00BC53AC"/>
    <w:rsid w:val="00BE5ECD"/>
    <w:rsid w:val="00BF3D7D"/>
    <w:rsid w:val="00C151C8"/>
    <w:rsid w:val="00C264EC"/>
    <w:rsid w:val="00C53F17"/>
    <w:rsid w:val="00C60EF2"/>
    <w:rsid w:val="00C71C2F"/>
    <w:rsid w:val="00C77C5E"/>
    <w:rsid w:val="00CD5068"/>
    <w:rsid w:val="00CE5EAE"/>
    <w:rsid w:val="00CE67C0"/>
    <w:rsid w:val="00D0046B"/>
    <w:rsid w:val="00D00D45"/>
    <w:rsid w:val="00D072C2"/>
    <w:rsid w:val="00D24EF7"/>
    <w:rsid w:val="00D52595"/>
    <w:rsid w:val="00D52837"/>
    <w:rsid w:val="00D54652"/>
    <w:rsid w:val="00D83DED"/>
    <w:rsid w:val="00D84A08"/>
    <w:rsid w:val="00DA339A"/>
    <w:rsid w:val="00DC5A64"/>
    <w:rsid w:val="00DD1D76"/>
    <w:rsid w:val="00DD59B9"/>
    <w:rsid w:val="00DD61AD"/>
    <w:rsid w:val="00DE0857"/>
    <w:rsid w:val="00DF6882"/>
    <w:rsid w:val="00E06139"/>
    <w:rsid w:val="00E21697"/>
    <w:rsid w:val="00E24551"/>
    <w:rsid w:val="00E361B6"/>
    <w:rsid w:val="00E40FB5"/>
    <w:rsid w:val="00E431E3"/>
    <w:rsid w:val="00E51B32"/>
    <w:rsid w:val="00E8496D"/>
    <w:rsid w:val="00E908BF"/>
    <w:rsid w:val="00EB08A1"/>
    <w:rsid w:val="00EC3DA4"/>
    <w:rsid w:val="00F36595"/>
    <w:rsid w:val="00F60E4C"/>
    <w:rsid w:val="00F667B9"/>
    <w:rsid w:val="00F66E0C"/>
    <w:rsid w:val="00F73063"/>
    <w:rsid w:val="00F75594"/>
    <w:rsid w:val="00F97D83"/>
    <w:rsid w:val="00FA5FB1"/>
    <w:rsid w:val="00FF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D3D041"/>
  <w15:chartTrackingRefBased/>
  <w15:docId w15:val="{9DF76C1E-AF0B-41B6-BF90-4A9616ECE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 Display" w:eastAsiaTheme="minorHAnsi" w:hAnsi="Aptos Display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FD2"/>
    <w:pPr>
      <w:spacing w:after="160" w:line="259" w:lineRule="auto"/>
    </w:pPr>
    <w:rPr>
      <w:rFonts w:asciiTheme="minorHAnsi" w:hAnsiTheme="minorHAnsi"/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1C3F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C3F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C3F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C3F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C3F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C3F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C3F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C3F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3F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C3F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C3F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C3F7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C3F7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C3F7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C3F7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C3F7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C3F7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C3F7E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C3F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C3F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C3F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C3F7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C3F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C3F7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C3F7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C3F7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C3F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C3F7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C3F7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E20BA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20BA"/>
  </w:style>
  <w:style w:type="paragraph" w:styleId="Piedepgina">
    <w:name w:val="footer"/>
    <w:basedOn w:val="Normal"/>
    <w:link w:val="PiedepginaCar"/>
    <w:uiPriority w:val="99"/>
    <w:unhideWhenUsed/>
    <w:rsid w:val="006E20BA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20BA"/>
  </w:style>
  <w:style w:type="character" w:styleId="Nmerodepgina">
    <w:name w:val="page number"/>
    <w:basedOn w:val="Fuentedeprrafopredeter"/>
    <w:uiPriority w:val="99"/>
    <w:unhideWhenUsed/>
    <w:rsid w:val="00732CE0"/>
  </w:style>
  <w:style w:type="paragraph" w:styleId="Textonotapie">
    <w:name w:val="footnote text"/>
    <w:basedOn w:val="Normal"/>
    <w:link w:val="TextonotapieCar"/>
    <w:uiPriority w:val="99"/>
    <w:semiHidden/>
    <w:unhideWhenUsed/>
    <w:rsid w:val="00602FD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02FD2"/>
    <w:rPr>
      <w:rFonts w:asciiTheme="minorHAnsi" w:hAnsiTheme="minorHAnsi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02FD2"/>
    <w:rPr>
      <w:vertAlign w:val="superscript"/>
    </w:rPr>
  </w:style>
  <w:style w:type="table" w:customStyle="1" w:styleId="TableNormal1">
    <w:name w:val="Table Normal1"/>
    <w:rsid w:val="00602FD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es-MX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A">
    <w:name w:val="Cuerpo A"/>
    <w:rsid w:val="00602FD2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kern w:val="0"/>
      <w:sz w:val="22"/>
      <w:szCs w:val="22"/>
      <w:u w:color="000000"/>
      <w:bdr w:val="nil"/>
      <w:lang w:eastAsia="es-MX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customStyle="1" w:styleId="Ninguno">
    <w:name w:val="Ninguno"/>
    <w:rsid w:val="00602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2071</Words>
  <Characters>11392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VP</dc:creator>
  <cp:keywords/>
  <dc:description/>
  <cp:lastModifiedBy>Andrea Daniela Flores Chacon</cp:lastModifiedBy>
  <cp:revision>2</cp:revision>
  <cp:lastPrinted>2026-07-01T20:50:00Z</cp:lastPrinted>
  <dcterms:created xsi:type="dcterms:W3CDTF">2026-07-02T20:12:00Z</dcterms:created>
  <dcterms:modified xsi:type="dcterms:W3CDTF">2026-07-02T20:12:00Z</dcterms:modified>
</cp:coreProperties>
</file>