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06DC" w14:textId="77777777" w:rsidR="005A6816" w:rsidRDefault="003002AD">
      <w:p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H. CONGRESO DEL ESTADO DE CHIHUAHUA. </w:t>
      </w:r>
    </w:p>
    <w:p w14:paraId="10E9DF65" w14:textId="77777777" w:rsidR="005A6816" w:rsidRDefault="003002AD">
      <w:p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 R E S E N T E.- </w:t>
      </w:r>
    </w:p>
    <w:p w14:paraId="772BE561" w14:textId="77777777" w:rsidR="005A6816" w:rsidRDefault="005A6816">
      <w:pPr>
        <w:spacing w:line="360" w:lineRule="auto"/>
        <w:jc w:val="both"/>
        <w:rPr>
          <w:rFonts w:ascii="Arial" w:eastAsia="Arial" w:hAnsi="Arial" w:cs="Arial"/>
        </w:rPr>
      </w:pPr>
    </w:p>
    <w:p w14:paraId="6A0BA336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suscrita, </w:t>
      </w:r>
      <w:r>
        <w:rPr>
          <w:rFonts w:ascii="Arial" w:eastAsia="Arial" w:hAnsi="Arial" w:cs="Arial"/>
          <w:b/>
          <w:bCs/>
        </w:rPr>
        <w:t>Irlanda Dominique Márquez Nolasco</w:t>
      </w:r>
      <w:r>
        <w:rPr>
          <w:rFonts w:ascii="Arial" w:eastAsia="Arial" w:hAnsi="Arial" w:cs="Arial"/>
        </w:rPr>
        <w:t>, en mi carácter de Diputada de la Sexagésima Octava Legislatura del Honorable Congreso del Estado de Chihuahua y representante del Partido del Trabajo, con fundamento en lo dispuesto por el artículo 68, fracción I, de la Constitución Política del Estado L</w:t>
      </w:r>
      <w:r>
        <w:rPr>
          <w:rFonts w:ascii="Arial" w:eastAsia="Arial" w:hAnsi="Arial" w:cs="Arial"/>
        </w:rPr>
        <w:t xml:space="preserve">ibre y Soberano de Chihuahua; así como 57 y 58 de la Ley Orgánica del Poder Legislativo del Estado; comparezco ante esta Honorable Soberanía, a efecto de presentar esta Iniciativa con Carácter de Decreto, a efecto de </w:t>
      </w:r>
      <w:r>
        <w:rPr>
          <w:rFonts w:ascii="Arial" w:eastAsia="Arial" w:hAnsi="Arial" w:cs="Arial"/>
          <w:b/>
          <w:bCs/>
        </w:rPr>
        <w:t>REFORMAR LA FRACCIÓN VII, ASÍ COMO ADIC</w:t>
      </w:r>
      <w:r>
        <w:rPr>
          <w:rFonts w:ascii="Arial" w:eastAsia="Arial" w:hAnsi="Arial" w:cs="Arial"/>
          <w:b/>
          <w:bCs/>
        </w:rPr>
        <w:t>IONAR LA FRACCIÓN VIII DEL ARTÍCULO 62 BIS DE LA LEY ESTATAL DE EDUCACIÓN A FIN DE SENSIBILIZAR A LA COMUNIDAD ESCOLAR SOBRE LOS RIESGOS ASOCIADOS A LA EXPOSICIÓN PROLONGADA A LA RADIACIÓN SOLAR.</w:t>
      </w:r>
      <w:r>
        <w:rPr>
          <w:rFonts w:ascii="Arial" w:eastAsia="Arial" w:hAnsi="Arial" w:cs="Arial"/>
        </w:rPr>
        <w:t xml:space="preserve"> Lo anterior bajo el sustento de la siguiente:</w:t>
      </w:r>
    </w:p>
    <w:p w14:paraId="5B813AE3" w14:textId="77777777" w:rsidR="005A6816" w:rsidRDefault="005A6816">
      <w:pPr>
        <w:spacing w:line="360" w:lineRule="auto"/>
        <w:jc w:val="both"/>
        <w:rPr>
          <w:rFonts w:ascii="Arial" w:eastAsia="Arial" w:hAnsi="Arial" w:cs="Arial"/>
        </w:rPr>
      </w:pPr>
    </w:p>
    <w:p w14:paraId="07BD025E" w14:textId="77777777" w:rsidR="005A6816" w:rsidRDefault="005A6816">
      <w:pPr>
        <w:spacing w:line="360" w:lineRule="auto"/>
        <w:jc w:val="both"/>
        <w:rPr>
          <w:rFonts w:ascii="Arial" w:eastAsia="Arial" w:hAnsi="Arial" w:cs="Arial"/>
        </w:rPr>
      </w:pPr>
    </w:p>
    <w:p w14:paraId="791072D6" w14:textId="77777777" w:rsidR="005A6816" w:rsidRDefault="003002AD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EXPOSICIÓN D</w:t>
      </w:r>
      <w:r>
        <w:rPr>
          <w:rFonts w:ascii="Arial" w:eastAsia="Arial" w:hAnsi="Arial" w:cs="Arial"/>
          <w:b/>
          <w:bCs/>
        </w:rPr>
        <w:t>E MOTIVOS</w:t>
      </w:r>
    </w:p>
    <w:p w14:paraId="07127FC5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Durante la formación estudiantil se refuerza la importancia de generar dinámicas que fortalezcan la </w:t>
      </w:r>
      <w:r>
        <w:rPr>
          <w:rFonts w:ascii="Arial" w:eastAsia="Arial" w:hAnsi="Arial" w:cs="Arial"/>
          <w:b/>
          <w:bCs/>
        </w:rPr>
        <w:t>salud</w:t>
      </w:r>
      <w:r>
        <w:rPr>
          <w:rFonts w:ascii="Arial" w:eastAsia="Arial" w:hAnsi="Arial" w:cs="Arial"/>
        </w:rPr>
        <w:t xml:space="preserve"> de los estudiantes en </w:t>
      </w:r>
      <w:r>
        <w:rPr>
          <w:rFonts w:ascii="Arial" w:eastAsia="Arial" w:hAnsi="Arial" w:cs="Arial"/>
          <w:b/>
          <w:bCs/>
        </w:rPr>
        <w:t>condiciones aptas y salubres</w:t>
      </w:r>
      <w:r>
        <w:rPr>
          <w:rFonts w:ascii="Arial" w:eastAsia="Arial" w:hAnsi="Arial" w:cs="Arial"/>
        </w:rPr>
        <w:t xml:space="preserve">. Lo cual no es para menos, al tratarse del derecho humano reconocido en el </w:t>
      </w:r>
      <w:r>
        <w:rPr>
          <w:rFonts w:ascii="Arial" w:eastAsia="Arial" w:hAnsi="Arial" w:cs="Arial"/>
          <w:b/>
          <w:bCs/>
        </w:rPr>
        <w:t>párrafo cuarto</w:t>
      </w:r>
      <w:r>
        <w:rPr>
          <w:rFonts w:ascii="Arial" w:eastAsia="Arial" w:hAnsi="Arial" w:cs="Arial"/>
          <w:b/>
          <w:bCs/>
        </w:rPr>
        <w:t>, del artículo 4to de la Constitución Política de los Estados Unidos Mexicanos</w:t>
      </w:r>
      <w:r>
        <w:rPr>
          <w:rFonts w:ascii="Arial" w:eastAsia="Arial" w:hAnsi="Arial" w:cs="Arial"/>
        </w:rPr>
        <w:t>:</w:t>
      </w:r>
    </w:p>
    <w:p w14:paraId="6BBC5E23" w14:textId="77777777" w:rsidR="005A6816" w:rsidRDefault="003002AD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¨</w:t>
      </w:r>
      <w:r>
        <w:rPr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 xml:space="preserve">Toda Persona tiene derecho a la protección de la </w:t>
      </w:r>
      <w:r>
        <w:rPr>
          <w:rFonts w:ascii="Arial" w:eastAsia="Arial" w:hAnsi="Arial" w:cs="Arial"/>
          <w:b/>
          <w:bCs/>
          <w:i/>
          <w:iCs/>
        </w:rPr>
        <w:t>salud</w:t>
      </w:r>
      <w:r>
        <w:rPr>
          <w:rFonts w:ascii="Arial" w:eastAsia="Arial" w:hAnsi="Arial" w:cs="Arial"/>
          <w:i/>
          <w:iCs/>
        </w:rPr>
        <w:t>… ¨</w:t>
      </w:r>
    </w:p>
    <w:p w14:paraId="3474600C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La salud es el presupuesto indispensable para </w:t>
      </w:r>
      <w:r>
        <w:rPr>
          <w:rFonts w:ascii="Arial" w:eastAsia="Arial" w:hAnsi="Arial" w:cs="Arial"/>
          <w:b/>
          <w:bCs/>
        </w:rPr>
        <w:t>conservar la vida</w:t>
      </w:r>
      <w:r>
        <w:rPr>
          <w:rFonts w:ascii="Arial" w:eastAsia="Arial" w:hAnsi="Arial" w:cs="Arial"/>
        </w:rPr>
        <w:t>. La falta de atención médica adecuada o la indiferen</w:t>
      </w:r>
      <w:r>
        <w:rPr>
          <w:rFonts w:ascii="Arial" w:eastAsia="Arial" w:hAnsi="Arial" w:cs="Arial"/>
        </w:rPr>
        <w:t xml:space="preserve">cia del estado ante los </w:t>
      </w:r>
      <w:r>
        <w:rPr>
          <w:rFonts w:ascii="Arial" w:eastAsia="Arial" w:hAnsi="Arial" w:cs="Arial"/>
          <w:b/>
          <w:bCs/>
        </w:rPr>
        <w:t>riesgos ambientales</w:t>
      </w:r>
      <w:r>
        <w:rPr>
          <w:rFonts w:ascii="Arial" w:eastAsia="Arial" w:hAnsi="Arial" w:cs="Arial"/>
        </w:rPr>
        <w:t xml:space="preserve"> vulnera directamente el derecho a </w:t>
      </w:r>
      <w:r>
        <w:rPr>
          <w:rFonts w:ascii="Arial" w:eastAsia="Arial" w:hAnsi="Arial" w:cs="Arial"/>
          <w:b/>
          <w:bCs/>
        </w:rPr>
        <w:t>una vida digna</w:t>
      </w:r>
      <w:r>
        <w:rPr>
          <w:rFonts w:ascii="Arial" w:eastAsia="Arial" w:hAnsi="Arial" w:cs="Arial"/>
        </w:rPr>
        <w:t xml:space="preserve">. Cuando se trata de </w:t>
      </w:r>
      <w:r>
        <w:rPr>
          <w:rFonts w:ascii="Arial" w:eastAsia="Arial" w:hAnsi="Arial" w:cs="Arial"/>
          <w:b/>
          <w:bCs/>
        </w:rPr>
        <w:t>menores de edad</w:t>
      </w:r>
      <w:r>
        <w:rPr>
          <w:rFonts w:ascii="Arial" w:eastAsia="Arial" w:hAnsi="Arial" w:cs="Arial"/>
        </w:rPr>
        <w:t xml:space="preserve">, el estándar de protección a la salud se eleva a un rango de </w:t>
      </w:r>
      <w:r>
        <w:rPr>
          <w:rFonts w:ascii="Arial" w:eastAsia="Arial" w:hAnsi="Arial" w:cs="Arial"/>
          <w:b/>
          <w:bCs/>
        </w:rPr>
        <w:t>prioridad absoluta</w:t>
      </w:r>
      <w:r>
        <w:rPr>
          <w:rFonts w:ascii="Arial" w:eastAsia="Arial" w:hAnsi="Arial" w:cs="Arial"/>
        </w:rPr>
        <w:t>, obligando a las autoridades a remover cualquie</w:t>
      </w:r>
      <w:r>
        <w:rPr>
          <w:rFonts w:ascii="Arial" w:eastAsia="Arial" w:hAnsi="Arial" w:cs="Arial"/>
        </w:rPr>
        <w:t xml:space="preserve">r barrera administrativa o económica para </w:t>
      </w:r>
      <w:r>
        <w:rPr>
          <w:rFonts w:ascii="Arial" w:eastAsia="Arial" w:hAnsi="Arial" w:cs="Arial"/>
          <w:b/>
          <w:bCs/>
        </w:rPr>
        <w:t>salvaguardar su desarrollo</w:t>
      </w:r>
      <w:r>
        <w:rPr>
          <w:rFonts w:ascii="Arial" w:eastAsia="Arial" w:hAnsi="Arial" w:cs="Arial"/>
        </w:rPr>
        <w:t xml:space="preserve"> de acuerdo con el: </w:t>
      </w:r>
    </w:p>
    <w:p w14:paraId="6F958599" w14:textId="77777777" w:rsidR="005A6816" w:rsidRDefault="003002AD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¨…principio del interés superior de la niñez, garantizando de manera plena sus derechos. Los niños y las niñas tienen derecho a la satisfacción de sus necesidades de a</w:t>
      </w:r>
      <w:r>
        <w:rPr>
          <w:rFonts w:ascii="Arial" w:eastAsia="Arial" w:hAnsi="Arial" w:cs="Arial"/>
          <w:i/>
          <w:iCs/>
        </w:rPr>
        <w:t>limentación, salud, educación y sano esparcimiento para su desarrollo integral. Este principio deberá guiar el diseño, ejecución, seguimiento y evaluación de las políticas públicas dirigidas a la niñez. ¨</w:t>
      </w:r>
    </w:p>
    <w:p w14:paraId="4495A12E" w14:textId="77777777" w:rsidR="00C86C2C" w:rsidRDefault="00C86C2C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</w:p>
    <w:p w14:paraId="5633253C" w14:textId="77777777" w:rsidR="005A6816" w:rsidRDefault="003002AD">
      <w:p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El derecho a la salud obliga al Estado a regular n</w:t>
      </w:r>
      <w:r>
        <w:rPr>
          <w:rFonts w:ascii="Arial" w:eastAsia="Arial" w:hAnsi="Arial" w:cs="Arial"/>
        </w:rPr>
        <w:t xml:space="preserve">o solo los hospitales, sino también las </w:t>
      </w:r>
      <w:r>
        <w:rPr>
          <w:rFonts w:ascii="Arial" w:eastAsia="Arial" w:hAnsi="Arial" w:cs="Arial"/>
          <w:b/>
          <w:bCs/>
        </w:rPr>
        <w:t>condiciones ambientales</w:t>
      </w:r>
      <w:r>
        <w:rPr>
          <w:rFonts w:ascii="Arial" w:eastAsia="Arial" w:hAnsi="Arial" w:cs="Arial"/>
        </w:rPr>
        <w:t xml:space="preserve">, la calidad del agua, la alimentación y la infraestructura de los espacios públicos y </w:t>
      </w:r>
      <w:r>
        <w:rPr>
          <w:rFonts w:ascii="Arial" w:eastAsia="Arial" w:hAnsi="Arial" w:cs="Arial"/>
          <w:b/>
          <w:bCs/>
        </w:rPr>
        <w:t>educativos para prevenir factores de riesgo de manera colectiva.</w:t>
      </w:r>
    </w:p>
    <w:p w14:paraId="74CC27C9" w14:textId="77777777" w:rsidR="00F77408" w:rsidRDefault="00F77408">
      <w:pPr>
        <w:spacing w:line="360" w:lineRule="auto"/>
        <w:jc w:val="both"/>
        <w:rPr>
          <w:rFonts w:ascii="Arial" w:eastAsia="Arial" w:hAnsi="Arial" w:cs="Arial"/>
        </w:rPr>
      </w:pPr>
    </w:p>
    <w:p w14:paraId="032842F2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la misma manera, la </w:t>
      </w:r>
      <w:r>
        <w:rPr>
          <w:rFonts w:ascii="Arial" w:eastAsia="Arial" w:hAnsi="Arial" w:cs="Arial"/>
          <w:b/>
          <w:bCs/>
        </w:rPr>
        <w:t>Ley General de Ed</w:t>
      </w:r>
      <w:r>
        <w:rPr>
          <w:rFonts w:ascii="Arial" w:eastAsia="Arial" w:hAnsi="Arial" w:cs="Arial"/>
          <w:b/>
          <w:bCs/>
        </w:rPr>
        <w:t>ucación</w:t>
      </w:r>
      <w:r>
        <w:rPr>
          <w:rFonts w:ascii="Arial" w:eastAsia="Arial" w:hAnsi="Arial" w:cs="Arial"/>
        </w:rPr>
        <w:t xml:space="preserve"> establece la importancia de las instalaciones educativas para las generaciones que residan en éstas:</w:t>
      </w:r>
    </w:p>
    <w:p w14:paraId="3A9CF0B7" w14:textId="77777777" w:rsidR="005A6816" w:rsidRDefault="003002AD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>¨</w:t>
      </w:r>
      <w:r>
        <w:rPr>
          <w:rFonts w:ascii="Arial" w:eastAsia="Arial" w:hAnsi="Arial" w:cs="Arial"/>
          <w:i/>
          <w:iCs/>
        </w:rPr>
        <w:t>Artículo 99. Los muebles e inmuebles destinados a la educación impartida por el Estado y los particulares con autorización o con reconocimiento de validez oficial de estudios, así como los servicios e instalaciones necesarios para proporcionar educación, f</w:t>
      </w:r>
      <w:r>
        <w:rPr>
          <w:rFonts w:ascii="Arial" w:eastAsia="Arial" w:hAnsi="Arial" w:cs="Arial"/>
          <w:i/>
          <w:iCs/>
        </w:rPr>
        <w:t xml:space="preserve">orman parte del Sistema Educativo Nacional. </w:t>
      </w:r>
    </w:p>
    <w:p w14:paraId="31CB7C2B" w14:textId="77777777" w:rsidR="005A6816" w:rsidRDefault="003002AD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Dichos muebles e inmuebles deberán cumplir con los requisitos de calidad, </w:t>
      </w:r>
      <w:r>
        <w:rPr>
          <w:rFonts w:ascii="Arial" w:eastAsia="Arial" w:hAnsi="Arial" w:cs="Arial"/>
          <w:b/>
          <w:bCs/>
          <w:i/>
          <w:iCs/>
        </w:rPr>
        <w:t>seguridad</w:t>
      </w:r>
      <w:r>
        <w:rPr>
          <w:rFonts w:ascii="Arial" w:eastAsia="Arial" w:hAnsi="Arial" w:cs="Arial"/>
          <w:i/>
          <w:iCs/>
        </w:rPr>
        <w:t>, funcionalidad, oportunidad, equidad, sustentabilidad, resiliencia, pertinencia, integralidad, accesibilidad, inclusividad e hi</w:t>
      </w:r>
      <w:r>
        <w:rPr>
          <w:rFonts w:ascii="Arial" w:eastAsia="Arial" w:hAnsi="Arial" w:cs="Arial"/>
          <w:i/>
          <w:iCs/>
        </w:rPr>
        <w:t xml:space="preserve">giene, incorporando </w:t>
      </w:r>
      <w:r>
        <w:rPr>
          <w:rFonts w:ascii="Arial" w:eastAsia="Arial" w:hAnsi="Arial" w:cs="Arial"/>
          <w:i/>
          <w:iCs/>
        </w:rPr>
        <w:lastRenderedPageBreak/>
        <w:t>los beneficios del desarrollo de la ciencia y la innovación tecnológica, para proporcionar educación de excelencia, con equidad e inclusión, conforme a los lineamientos que para tal efecto emita la Secretaría.</w:t>
      </w:r>
    </w:p>
    <w:p w14:paraId="66674660" w14:textId="77777777" w:rsidR="005A6816" w:rsidRDefault="003002AD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…¨</w:t>
      </w:r>
    </w:p>
    <w:p w14:paraId="4E36B4C7" w14:textId="77777777" w:rsidR="00C86C2C" w:rsidRDefault="00C86C2C">
      <w:pPr>
        <w:spacing w:line="360" w:lineRule="auto"/>
        <w:ind w:left="708"/>
        <w:jc w:val="both"/>
        <w:rPr>
          <w:rFonts w:ascii="Arial" w:eastAsia="Arial" w:hAnsi="Arial" w:cs="Arial"/>
          <w:i/>
          <w:iCs/>
        </w:rPr>
      </w:pPr>
    </w:p>
    <w:p w14:paraId="2303B907" w14:textId="5C784709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 w:rsidRPr="00F25E36">
        <w:rPr>
          <w:rFonts w:ascii="Arial" w:eastAsia="Arial" w:hAnsi="Arial" w:cs="Arial"/>
        </w:rPr>
        <w:t>La exposición excesiva</w:t>
      </w:r>
      <w:r w:rsidRPr="00F25E36">
        <w:rPr>
          <w:rFonts w:ascii="Arial" w:eastAsia="Arial" w:hAnsi="Arial" w:cs="Arial"/>
        </w:rPr>
        <w:t xml:space="preserve"> a la radiación solar no es un problema estético o menor de quemaduras pasajeras; es </w:t>
      </w:r>
      <w:r w:rsidRPr="00F25E36">
        <w:rPr>
          <w:rFonts w:ascii="Arial" w:eastAsia="Arial" w:hAnsi="Arial" w:cs="Arial"/>
          <w:b/>
          <w:bCs/>
        </w:rPr>
        <w:t>una de las principales causas de cáncer a nivel global</w:t>
      </w:r>
      <w:r w:rsidRPr="00F25E36">
        <w:rPr>
          <w:rFonts w:ascii="Arial" w:eastAsia="Arial" w:hAnsi="Arial" w:cs="Arial"/>
        </w:rPr>
        <w:t xml:space="preserve">. En el año 2020, se diagnosticaron más de </w:t>
      </w:r>
      <w:r w:rsidRPr="00F25E36">
        <w:rPr>
          <w:rFonts w:ascii="Arial" w:eastAsia="Arial" w:hAnsi="Arial" w:cs="Arial"/>
          <w:b/>
          <w:bCs/>
        </w:rPr>
        <w:t>1.5 millones de casos de cáncer de piel en el mundo,</w:t>
      </w:r>
      <w:r w:rsidRPr="00F25E36">
        <w:rPr>
          <w:rFonts w:ascii="Arial" w:eastAsia="Arial" w:hAnsi="Arial" w:cs="Arial"/>
        </w:rPr>
        <w:t xml:space="preserve"> registrándose más de </w:t>
      </w:r>
      <w:r w:rsidRPr="00F25E36">
        <w:rPr>
          <w:rFonts w:ascii="Arial" w:eastAsia="Arial" w:hAnsi="Arial" w:cs="Arial"/>
          <w:b/>
          <w:bCs/>
        </w:rPr>
        <w:t>120,000 muertes</w:t>
      </w:r>
      <w:r w:rsidRPr="00F25E36">
        <w:rPr>
          <w:rFonts w:ascii="Arial" w:eastAsia="Arial" w:hAnsi="Arial" w:cs="Arial"/>
        </w:rPr>
        <w:t xml:space="preserve"> debido a esta causa. Específicamente, provocó alrededor de </w:t>
      </w:r>
      <w:r w:rsidRPr="00F25E36">
        <w:rPr>
          <w:rFonts w:ascii="Arial" w:eastAsia="Arial" w:hAnsi="Arial" w:cs="Arial"/>
          <w:b/>
          <w:bCs/>
        </w:rPr>
        <w:t>325,000 casos de melanoma cutáneo</w:t>
      </w:r>
      <w:r w:rsidRPr="00F25E36">
        <w:rPr>
          <w:rFonts w:ascii="Arial" w:eastAsia="Arial" w:hAnsi="Arial" w:cs="Arial"/>
        </w:rPr>
        <w:t xml:space="preserve"> (el más mortífero) con 57,000 defunciones, y </w:t>
      </w:r>
      <w:r w:rsidRPr="00F25E36">
        <w:rPr>
          <w:rFonts w:ascii="Arial" w:eastAsia="Arial" w:hAnsi="Arial" w:cs="Arial"/>
          <w:b/>
          <w:bCs/>
        </w:rPr>
        <w:t>1.2 millones de casos de cáncer de piel</w:t>
      </w:r>
      <w:r w:rsidRPr="00F25E36">
        <w:rPr>
          <w:rFonts w:ascii="Arial" w:eastAsia="Arial" w:hAnsi="Arial" w:cs="Arial"/>
        </w:rPr>
        <w:t xml:space="preserve"> distinto al melanoma con 64,000 muertes. Por lo que, existe un</w:t>
      </w:r>
      <w:r w:rsidRPr="00F25E36">
        <w:rPr>
          <w:rFonts w:ascii="Arial" w:eastAsia="Arial" w:hAnsi="Arial" w:cs="Arial"/>
        </w:rPr>
        <w:t xml:space="preserve">a relación directa y letal entre la sobreexposición a la radiación ultravioleta y el desarrollo de tumores malignos, lo que convierte a la protección solar en una </w:t>
      </w:r>
      <w:r w:rsidRPr="00F25E36">
        <w:rPr>
          <w:rFonts w:ascii="Arial" w:eastAsia="Arial" w:hAnsi="Arial" w:cs="Arial"/>
          <w:b/>
          <w:bCs/>
        </w:rPr>
        <w:t>prioridad de salud pública</w:t>
      </w:r>
      <w:r w:rsidRPr="00F25E36">
        <w:rPr>
          <w:rFonts w:ascii="Arial" w:eastAsia="Arial" w:hAnsi="Arial" w:cs="Arial"/>
        </w:rPr>
        <w:t xml:space="preserve"> y no en una simple elección de estilo de vida. </w:t>
      </w:r>
      <w:r w:rsidR="00F25E36" w:rsidRPr="00F25E36">
        <w:rPr>
          <w:rStyle w:val="Refdenotaalpie"/>
          <w:rFonts w:ascii="Arial" w:eastAsia="Arial" w:hAnsi="Arial" w:cs="Arial"/>
        </w:rPr>
        <w:footnoteReference w:id="1"/>
      </w:r>
    </w:p>
    <w:p w14:paraId="650ECFC0" w14:textId="77777777" w:rsidR="00C86C2C" w:rsidRPr="00F25E36" w:rsidRDefault="00C86C2C">
      <w:pPr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60DE0773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Solemos asociar</w:t>
      </w:r>
      <w:r>
        <w:rPr>
          <w:rFonts w:ascii="Arial" w:eastAsia="Arial" w:hAnsi="Arial" w:cs="Arial"/>
        </w:rPr>
        <w:t xml:space="preserve"> el sol con daños en la piel, pero la radiación solar ataca de forma silenciosa y crónica la </w:t>
      </w:r>
      <w:r>
        <w:rPr>
          <w:rFonts w:ascii="Arial" w:eastAsia="Arial" w:hAnsi="Arial" w:cs="Arial"/>
          <w:b/>
          <w:bCs/>
        </w:rPr>
        <w:t>salud ocular</w:t>
      </w:r>
      <w:r>
        <w:rPr>
          <w:rFonts w:ascii="Arial" w:eastAsia="Arial" w:hAnsi="Arial" w:cs="Arial"/>
        </w:rPr>
        <w:t xml:space="preserve">, destruyendo la capacidad visual a largo plazo. La radiación UV causa efectos agudos y dolorosos pero reversibles (como la </w:t>
      </w:r>
      <w:r>
        <w:rPr>
          <w:rFonts w:ascii="Arial" w:eastAsia="Arial" w:hAnsi="Arial" w:cs="Arial"/>
          <w:b/>
          <w:bCs/>
        </w:rPr>
        <w:t xml:space="preserve">fotoqueratitis y la </w:t>
      </w:r>
      <w:proofErr w:type="spellStart"/>
      <w:r>
        <w:rPr>
          <w:rFonts w:ascii="Arial" w:eastAsia="Arial" w:hAnsi="Arial" w:cs="Arial"/>
          <w:b/>
          <w:bCs/>
        </w:rPr>
        <w:t>fotocon</w:t>
      </w:r>
      <w:r>
        <w:rPr>
          <w:rFonts w:ascii="Arial" w:eastAsia="Arial" w:hAnsi="Arial" w:cs="Arial"/>
          <w:b/>
          <w:bCs/>
        </w:rPr>
        <w:t>juntivitis</w:t>
      </w:r>
      <w:proofErr w:type="spellEnd"/>
      <w:r>
        <w:rPr>
          <w:rFonts w:ascii="Arial" w:eastAsia="Arial" w:hAnsi="Arial" w:cs="Arial"/>
        </w:rPr>
        <w:t xml:space="preserve">), pero su verdadero peligro radica en los efectos crónicos. A nivel mundial, hay </w:t>
      </w:r>
      <w:r>
        <w:rPr>
          <w:rFonts w:ascii="Arial" w:eastAsia="Arial" w:hAnsi="Arial" w:cs="Arial"/>
          <w:b/>
          <w:bCs/>
        </w:rPr>
        <w:t>15 millones de personas ciegas a causa de las cataratas</w:t>
      </w:r>
      <w:r>
        <w:rPr>
          <w:rFonts w:ascii="Arial" w:eastAsia="Arial" w:hAnsi="Arial" w:cs="Arial"/>
        </w:rPr>
        <w:t xml:space="preserve">, y la OMS calcula que </w:t>
      </w:r>
      <w:r>
        <w:rPr>
          <w:rFonts w:ascii="Arial" w:eastAsia="Arial" w:hAnsi="Arial" w:cs="Arial"/>
          <w:b/>
          <w:bCs/>
        </w:rPr>
        <w:t xml:space="preserve">el 10% de estos casos se deben </w:t>
      </w:r>
      <w:r>
        <w:rPr>
          <w:rFonts w:ascii="Arial" w:eastAsia="Arial" w:hAnsi="Arial" w:cs="Arial"/>
          <w:b/>
          <w:bCs/>
        </w:rPr>
        <w:lastRenderedPageBreak/>
        <w:t>directamente a la exposición a la radiación UV</w:t>
      </w:r>
      <w:r>
        <w:rPr>
          <w:rFonts w:ascii="Arial" w:eastAsia="Arial" w:hAnsi="Arial" w:cs="Arial"/>
        </w:rPr>
        <w:t>. Además,</w:t>
      </w:r>
      <w:r>
        <w:rPr>
          <w:rFonts w:ascii="Arial" w:eastAsia="Arial" w:hAnsi="Arial" w:cs="Arial"/>
        </w:rPr>
        <w:t xml:space="preserve"> favorece la aparición de pterigión (carnosidad en la córnea) y cánceres dentro y alrededor del ojo.</w:t>
      </w:r>
      <w:r>
        <w:rPr>
          <w:rFonts w:ascii="Arial" w:eastAsia="Arial" w:hAnsi="Arial" w:cs="Arial"/>
          <w:vertAlign w:val="superscript"/>
        </w:rPr>
        <w:footnoteReference w:id="2"/>
      </w:r>
    </w:p>
    <w:p w14:paraId="5F837A33" w14:textId="77777777" w:rsidR="00C86C2C" w:rsidRDefault="00C86C2C">
      <w:pPr>
        <w:spacing w:line="360" w:lineRule="auto"/>
        <w:jc w:val="both"/>
        <w:rPr>
          <w:rFonts w:ascii="Arial" w:eastAsia="Arial" w:hAnsi="Arial" w:cs="Arial"/>
        </w:rPr>
      </w:pPr>
    </w:p>
    <w:p w14:paraId="40D0B2AD" w14:textId="62166CEB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oncóloga médica del </w:t>
      </w:r>
      <w:r w:rsidRPr="003501E3">
        <w:rPr>
          <w:rFonts w:ascii="Arial" w:eastAsia="Arial" w:hAnsi="Arial" w:cs="Arial"/>
          <w:b/>
          <w:bCs/>
        </w:rPr>
        <w:t>Departamento de Tumores de Piel, Partes Blandas y Óseos</w:t>
      </w:r>
      <w:r>
        <w:rPr>
          <w:rFonts w:ascii="Arial" w:eastAsia="Arial" w:hAnsi="Arial" w:cs="Arial"/>
        </w:rPr>
        <w:t xml:space="preserve"> del Instituto Nacional de Cancerología (INCan), Gabriela Alamilla García, señaló que en México se diagnostican alrededor de </w:t>
      </w:r>
      <w:r>
        <w:rPr>
          <w:rFonts w:ascii="Arial" w:eastAsia="Arial" w:hAnsi="Arial" w:cs="Arial"/>
          <w:b/>
          <w:bCs/>
        </w:rPr>
        <w:t>11 mil casos de cáncer de piel cada año</w:t>
      </w:r>
      <w:r>
        <w:rPr>
          <w:rFonts w:ascii="Arial" w:eastAsia="Arial" w:hAnsi="Arial" w:cs="Arial"/>
        </w:rPr>
        <w:t xml:space="preserve">. Del total, aproximadamente </w:t>
      </w:r>
      <w:r>
        <w:rPr>
          <w:rFonts w:ascii="Arial" w:eastAsia="Arial" w:hAnsi="Arial" w:cs="Arial"/>
          <w:b/>
          <w:bCs/>
        </w:rPr>
        <w:t>8 mil 600 corresponden a cáncer de piel no melanoma</w:t>
      </w:r>
      <w:r>
        <w:rPr>
          <w:rFonts w:ascii="Arial" w:eastAsia="Arial" w:hAnsi="Arial" w:cs="Arial"/>
        </w:rPr>
        <w:t xml:space="preserve"> y cerca de </w:t>
      </w:r>
      <w:r>
        <w:rPr>
          <w:rFonts w:ascii="Arial" w:eastAsia="Arial" w:hAnsi="Arial" w:cs="Arial"/>
          <w:b/>
          <w:bCs/>
        </w:rPr>
        <w:t>2 mil 200 a melanoma</w:t>
      </w:r>
      <w:r>
        <w:rPr>
          <w:rFonts w:ascii="Arial" w:eastAsia="Arial" w:hAnsi="Arial" w:cs="Arial"/>
        </w:rPr>
        <w:t>, considerado el tipo más agresivo por su capacidad de generar metástasis y poner en riesgo la vida de las personas.</w:t>
      </w:r>
      <w:r>
        <w:rPr>
          <w:rFonts w:ascii="Arial" w:eastAsia="Arial" w:hAnsi="Arial" w:cs="Arial"/>
          <w:vertAlign w:val="superscript"/>
        </w:rPr>
        <w:footnoteReference w:id="3"/>
      </w:r>
    </w:p>
    <w:p w14:paraId="11DDF434" w14:textId="77777777" w:rsidR="00C86C2C" w:rsidRDefault="00C86C2C">
      <w:pPr>
        <w:spacing w:line="360" w:lineRule="auto"/>
        <w:jc w:val="both"/>
        <w:rPr>
          <w:rFonts w:ascii="Arial" w:eastAsia="Arial" w:hAnsi="Arial" w:cs="Arial"/>
        </w:rPr>
      </w:pPr>
    </w:p>
    <w:p w14:paraId="21635FE8" w14:textId="77777777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la misma manera, la especialista destacó que la prevención debe iniciar desde edades tempranas, </w:t>
      </w:r>
      <w:r>
        <w:rPr>
          <w:rFonts w:ascii="Arial" w:eastAsia="Arial" w:hAnsi="Arial" w:cs="Arial"/>
          <w:b/>
          <w:bCs/>
        </w:rPr>
        <w:t>ya que la exposición excesiva al sol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durante la infancia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y adolescencia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incrementa significativamente el riesgo de desarrollar la enfermedad en la edad adult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</w:rPr>
        <w:t>. Por ello, recomendó fomentar hábitos de protección solar desde la niñez.</w:t>
      </w:r>
    </w:p>
    <w:p w14:paraId="6C8C831C" w14:textId="77777777" w:rsidR="00C86C2C" w:rsidRDefault="00C86C2C">
      <w:pPr>
        <w:spacing w:line="360" w:lineRule="auto"/>
        <w:jc w:val="both"/>
        <w:rPr>
          <w:rFonts w:ascii="Arial" w:eastAsia="Arial" w:hAnsi="Arial" w:cs="Arial"/>
        </w:rPr>
      </w:pPr>
    </w:p>
    <w:p w14:paraId="7C62FE93" w14:textId="56AAD1C0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 anterior se ve reforzado considerando que el daño solar en la piel se acumula a lo largo de toda la vida. La OMS afirma textualmente que ¨…</w:t>
      </w:r>
      <w:r>
        <w:rPr>
          <w:rFonts w:ascii="Arial" w:eastAsia="Arial" w:hAnsi="Arial" w:cs="Arial"/>
          <w:b/>
          <w:bCs/>
        </w:rPr>
        <w:t>las quemaduras solares sufridas duran</w:t>
      </w:r>
      <w:r>
        <w:rPr>
          <w:rFonts w:ascii="Arial" w:eastAsia="Arial" w:hAnsi="Arial" w:cs="Arial"/>
          <w:b/>
          <w:bCs/>
        </w:rPr>
        <w:t>te la infancia conllevan un mayor riesgo de desarrollar cáncer de piel en etapas posteriores de la vida</w:t>
      </w:r>
      <w:r w:rsidR="00F25E36">
        <w:rPr>
          <w:rFonts w:ascii="Arial" w:eastAsia="Arial" w:hAnsi="Arial" w:cs="Arial"/>
          <w:b/>
          <w:bCs/>
        </w:rPr>
        <w:t>¨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</w:rPr>
        <w:t xml:space="preserve">Una sobreexposición en los </w:t>
      </w:r>
      <w:r>
        <w:rPr>
          <w:rFonts w:ascii="Arial" w:eastAsia="Arial" w:hAnsi="Arial" w:cs="Arial"/>
        </w:rPr>
        <w:lastRenderedPageBreak/>
        <w:t>primeros años de vida es el detonante principal de los diagnósticos de melanoma y otros carcinomas en la edad adulta.</w:t>
      </w:r>
    </w:p>
    <w:p w14:paraId="7CCD4F8D" w14:textId="061271F0" w:rsidR="005A6816" w:rsidRDefault="003002AD">
      <w:pPr>
        <w:spacing w:line="360" w:lineRule="auto"/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</w:rPr>
        <w:t>Así m</w:t>
      </w:r>
      <w:r>
        <w:rPr>
          <w:rFonts w:ascii="Arial" w:eastAsia="Arial" w:hAnsi="Arial" w:cs="Arial"/>
        </w:rPr>
        <w:t xml:space="preserve">ismo, de acuerdo con la información proporcionada por la página del clima </w:t>
      </w:r>
      <w:proofErr w:type="spellStart"/>
      <w:r>
        <w:rPr>
          <w:rFonts w:ascii="Arial" w:eastAsia="Arial" w:hAnsi="Arial" w:cs="Arial"/>
        </w:rPr>
        <w:t>AccuWeather</w:t>
      </w:r>
      <w:proofErr w:type="spellEnd"/>
      <w:r>
        <w:rPr>
          <w:rFonts w:ascii="Arial" w:eastAsia="Arial" w:hAnsi="Arial" w:cs="Arial"/>
        </w:rPr>
        <w:t xml:space="preserve"> los siguientes días del mes de ju</w:t>
      </w:r>
      <w:r w:rsidR="003501E3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io se esperan índices altos de radiación ultravioleta en la ciudad capitalina de Chihuahua:</w:t>
      </w:r>
      <w:r>
        <w:rPr>
          <w:rFonts w:ascii="Arial" w:eastAsia="Arial" w:hAnsi="Arial" w:cs="Arial"/>
          <w:vertAlign w:val="superscript"/>
        </w:rPr>
        <w:footnoteReference w:id="4"/>
      </w:r>
      <w:r>
        <w:rPr>
          <w:rFonts w:ascii="Arial" w:eastAsia="Arial" w:hAnsi="Arial" w:cs="Arial"/>
          <w:vertAlign w:val="superscript"/>
        </w:rPr>
        <w:t xml:space="preserve"> </w:t>
      </w:r>
    </w:p>
    <w:p w14:paraId="0D45075C" w14:textId="0E16F6C2" w:rsidR="00A11E3B" w:rsidRDefault="00C86C2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0272B31" wp14:editId="11307311">
            <wp:extent cx="5790565" cy="3162246"/>
            <wp:effectExtent l="0" t="0" r="635" b="635"/>
            <wp:docPr id="17475300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20" cy="31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7A05" w14:textId="56550594" w:rsidR="00C86C2C" w:rsidRDefault="00F7740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C12FFB" wp14:editId="2C83C623">
            <wp:simplePos x="0" y="0"/>
            <wp:positionH relativeFrom="margin">
              <wp:posOffset>-635</wp:posOffset>
            </wp:positionH>
            <wp:positionV relativeFrom="paragraph">
              <wp:posOffset>871220</wp:posOffset>
            </wp:positionV>
            <wp:extent cx="5634990" cy="3073400"/>
            <wp:effectExtent l="0" t="0" r="3810" b="0"/>
            <wp:wrapTopAndBottom/>
            <wp:docPr id="16010538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</w:rPr>
        <w:t xml:space="preserve">Siguiendo el mismo orden de ideas, la ciudad de Juárez también presenta pronósticos de altos índices de radiación UV, de acuerdo con la información disponible en la misma página: </w:t>
      </w:r>
      <w:r>
        <w:rPr>
          <w:rFonts w:ascii="Arial" w:eastAsia="Arial" w:hAnsi="Arial" w:cs="Arial"/>
          <w:vertAlign w:val="superscript"/>
        </w:rPr>
        <w:footnoteReference w:id="5"/>
      </w:r>
    </w:p>
    <w:p w14:paraId="3BB22952" w14:textId="29BB6191" w:rsidR="00C86C2C" w:rsidRDefault="00C86C2C">
      <w:pPr>
        <w:spacing w:line="360" w:lineRule="auto"/>
        <w:jc w:val="both"/>
        <w:rPr>
          <w:rFonts w:ascii="Arial" w:eastAsia="Arial" w:hAnsi="Arial" w:cs="Arial"/>
        </w:rPr>
      </w:pPr>
    </w:p>
    <w:p w14:paraId="44F580CC" w14:textId="3E5857D4" w:rsidR="005A6816" w:rsidRDefault="003002A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atención a lo anteriormente expuesto, resulta incongruente la inobserv</w:t>
      </w:r>
      <w:r>
        <w:rPr>
          <w:rFonts w:ascii="Arial" w:eastAsia="Arial" w:hAnsi="Arial" w:cs="Arial"/>
        </w:rPr>
        <w:t xml:space="preserve">ancia de la ley respecto a regular la </w:t>
      </w:r>
      <w:r w:rsidRPr="002E6045">
        <w:rPr>
          <w:rFonts w:ascii="Arial" w:eastAsia="Arial" w:hAnsi="Arial" w:cs="Arial"/>
          <w:b/>
          <w:bCs/>
        </w:rPr>
        <w:t>concientización</w:t>
      </w:r>
      <w:r>
        <w:rPr>
          <w:rFonts w:ascii="Arial" w:eastAsia="Arial" w:hAnsi="Arial" w:cs="Arial"/>
          <w:b/>
          <w:bCs/>
        </w:rPr>
        <w:t xml:space="preserve"> de los efectos de los rayos del sol ante comunidades vulnerables como lo son las niñas, niños y adolescentes</w:t>
      </w:r>
      <w:r>
        <w:rPr>
          <w:rFonts w:ascii="Arial" w:eastAsia="Arial" w:hAnsi="Arial" w:cs="Arial"/>
        </w:rPr>
        <w:t>. Por lo que se genera un cuadro comparativo con la propuesta de reforma para atender esta pro</w:t>
      </w:r>
      <w:r>
        <w:rPr>
          <w:rFonts w:ascii="Arial" w:eastAsia="Arial" w:hAnsi="Arial" w:cs="Arial"/>
        </w:rPr>
        <w:t>blemática:</w:t>
      </w:r>
    </w:p>
    <w:p w14:paraId="6FFF5E4F" w14:textId="23ED99C5" w:rsidR="00C86C2C" w:rsidRPr="00C86C2C" w:rsidRDefault="00C86C2C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5A6816" w14:paraId="52E37AE0" w14:textId="77777777">
        <w:tc>
          <w:tcPr>
            <w:tcW w:w="8828" w:type="dxa"/>
            <w:gridSpan w:val="2"/>
          </w:tcPr>
          <w:p w14:paraId="195AFE89" w14:textId="77777777" w:rsidR="005A6816" w:rsidRDefault="003002AD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Ley Estatal de Educación</w:t>
            </w:r>
          </w:p>
        </w:tc>
      </w:tr>
      <w:tr w:rsidR="005A6816" w14:paraId="142E5899" w14:textId="77777777">
        <w:tc>
          <w:tcPr>
            <w:tcW w:w="4414" w:type="dxa"/>
          </w:tcPr>
          <w:p w14:paraId="7BEDCA8C" w14:textId="77777777" w:rsidR="005A6816" w:rsidRDefault="003002AD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VIGENTE</w:t>
            </w:r>
          </w:p>
        </w:tc>
        <w:tc>
          <w:tcPr>
            <w:tcW w:w="4414" w:type="dxa"/>
          </w:tcPr>
          <w:p w14:paraId="6C8061A1" w14:textId="77777777" w:rsidR="005A6816" w:rsidRDefault="003002AD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PROPUESTA</w:t>
            </w:r>
          </w:p>
        </w:tc>
      </w:tr>
      <w:tr w:rsidR="005A6816" w14:paraId="03FBA3A7" w14:textId="77777777">
        <w:tc>
          <w:tcPr>
            <w:tcW w:w="4414" w:type="dxa"/>
          </w:tcPr>
          <w:p w14:paraId="5109A9D7" w14:textId="77777777" w:rsidR="005A6816" w:rsidRDefault="003002AD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ARTÍCULO 62 BIS. La educación física promoverá, fomentará y difundirá la cultura física en todas sus manifestaciones, a favor de la formación integral y con calidad, de todos los escolares de la </w:t>
            </w:r>
            <w:r>
              <w:rPr>
                <w:rFonts w:ascii="Arial" w:eastAsia="Arial" w:hAnsi="Arial" w:cs="Arial"/>
              </w:rPr>
              <w:t>educación básica, para lo cual:</w:t>
            </w:r>
          </w:p>
          <w:p w14:paraId="7AC58926" w14:textId="77777777" w:rsidR="005A6816" w:rsidRDefault="005A681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072B742A" w14:textId="77777777" w:rsidR="005A6816" w:rsidRDefault="003002AD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 a VII. </w:t>
            </w:r>
          </w:p>
          <w:p w14:paraId="29141E64" w14:textId="77777777" w:rsidR="005A6816" w:rsidRDefault="005A681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414" w:type="dxa"/>
          </w:tcPr>
          <w:p w14:paraId="03DE9F79" w14:textId="77777777" w:rsidR="005A6816" w:rsidRDefault="003002AD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ARTÍCULO 62 BIS. La educación física promoverá, fomentará y difundirá la cultura física en todas sus manifestaciones, a favor de la formación integral y con calidad, de todos los escolares de la educación básica,</w:t>
            </w:r>
            <w:r>
              <w:rPr>
                <w:rFonts w:ascii="Arial" w:eastAsia="Arial" w:hAnsi="Arial" w:cs="Arial"/>
              </w:rPr>
              <w:t xml:space="preserve"> para lo cual:</w:t>
            </w:r>
          </w:p>
          <w:p w14:paraId="0E98A0D4" w14:textId="77777777" w:rsidR="005A6816" w:rsidRDefault="005A681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105E9D84" w14:textId="77777777" w:rsidR="005A6816" w:rsidRDefault="003002AD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VII. Implementará las prácticas necesarias para sensibilizar a la comunidad escolar sobre los riesgos asociados a la exposición prolongada a la radiación solar, así como también, establecerá lineamientos para que las actividades físicas, de</w:t>
            </w:r>
            <w:r>
              <w:rPr>
                <w:rFonts w:ascii="Arial" w:eastAsia="Arial" w:hAnsi="Arial" w:cs="Arial"/>
                <w:b/>
                <w:bCs/>
              </w:rPr>
              <w:t>portivas y recreativas al aire libre se realicen preferentemente en horarios o espacios que no representen riesgos por la alta exposición a la radiación ultravioleta.</w:t>
            </w:r>
          </w:p>
          <w:p w14:paraId="18CD82C8" w14:textId="77777777" w:rsidR="005A6816" w:rsidRDefault="005A6816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1F1F047B" w14:textId="77777777" w:rsidR="005A6816" w:rsidRDefault="003002AD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VIII.</w:t>
            </w:r>
            <w:r>
              <w:rPr>
                <w:rFonts w:ascii="Arial" w:eastAsia="Arial" w:hAnsi="Arial" w:cs="Arial"/>
              </w:rPr>
              <w:t xml:space="preserve"> Las demás que establezcan esta Ley, así como las leyes y disposiciones conducentes</w:t>
            </w:r>
            <w:r>
              <w:rPr>
                <w:rFonts w:ascii="Arial" w:eastAsia="Arial" w:hAnsi="Arial" w:cs="Arial"/>
              </w:rPr>
              <w:t>, en los términos autorizados por los planes y los programas de estudios aplicables.</w:t>
            </w:r>
          </w:p>
        </w:tc>
      </w:tr>
    </w:tbl>
    <w:p w14:paraId="30512032" w14:textId="77777777" w:rsidR="005A6816" w:rsidRDefault="005A6816">
      <w:pPr>
        <w:spacing w:line="360" w:lineRule="auto"/>
        <w:jc w:val="both"/>
        <w:rPr>
          <w:rFonts w:ascii="Arial" w:eastAsia="Arial" w:hAnsi="Arial" w:cs="Arial"/>
        </w:rPr>
      </w:pPr>
    </w:p>
    <w:p w14:paraId="334CFE00" w14:textId="77777777" w:rsidR="005A6816" w:rsidRDefault="003002AD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lastRenderedPageBreak/>
        <w:t>DECRETO</w:t>
      </w:r>
    </w:p>
    <w:p w14:paraId="2BB905B1" w14:textId="77777777" w:rsidR="005A6816" w:rsidRDefault="003002AD">
      <w:pPr>
        <w:spacing w:before="240" w:after="240" w:line="360" w:lineRule="auto"/>
        <w:jc w:val="both"/>
        <w:rPr>
          <w:b/>
          <w:bCs/>
        </w:rPr>
      </w:pPr>
      <w:r>
        <w:rPr>
          <w:b/>
          <w:bCs/>
        </w:rPr>
        <w:t xml:space="preserve">ÚNICO. Se reforma la fracción VII y se adiciona la fracción VIII del artículo 62 Bis de la Ley Estatal de Educación, para quedar redactado de la </w:t>
      </w:r>
      <w:r>
        <w:rPr>
          <w:b/>
          <w:bCs/>
        </w:rPr>
        <w:t>siguiente manera:</w:t>
      </w:r>
    </w:p>
    <w:p w14:paraId="741C19E9" w14:textId="77777777" w:rsidR="005A6816" w:rsidRDefault="003002AD">
      <w:pPr>
        <w:spacing w:before="240" w:after="240" w:line="360" w:lineRule="auto"/>
        <w:jc w:val="both"/>
      </w:pPr>
      <w:r>
        <w:t>ARTÍCULO 62 BIS. La educación física promoverá, fomentará y difundirá la cultura física en todas sus manifestaciones, a favor de la formación integral y con calidad, de todos los escolares de la educación básica, para lo cual:</w:t>
      </w:r>
    </w:p>
    <w:p w14:paraId="751AEBD7" w14:textId="77777777" w:rsidR="005A6816" w:rsidRDefault="003002AD">
      <w:pPr>
        <w:spacing w:before="240" w:after="240" w:line="360" w:lineRule="auto"/>
        <w:jc w:val="both"/>
      </w:pPr>
      <w:r>
        <w:t>…</w:t>
      </w:r>
    </w:p>
    <w:p w14:paraId="24D67C09" w14:textId="77777777" w:rsidR="005A6816" w:rsidRDefault="003002AD">
      <w:pPr>
        <w:spacing w:before="240" w:after="240" w:line="360" w:lineRule="auto"/>
        <w:jc w:val="both"/>
        <w:rPr>
          <w:b/>
          <w:bCs/>
        </w:rPr>
      </w:pPr>
      <w:r>
        <w:rPr>
          <w:b/>
          <w:bCs/>
        </w:rPr>
        <w:t>VII. Impl</w:t>
      </w:r>
      <w:r>
        <w:rPr>
          <w:b/>
          <w:bCs/>
        </w:rPr>
        <w:t>ementará las prácticas necesarias para sensibilizar a la comunidad escolar sobre los riesgos asociados a la exposición prolongada a la radiación solar, así como también, establecerá lineamientos para que las actividades físicas, deportivas y recreativas al</w:t>
      </w:r>
      <w:r>
        <w:rPr>
          <w:b/>
          <w:bCs/>
        </w:rPr>
        <w:t xml:space="preserve"> aire libre se realicen preferentemente en horarios o espacios que no representen riesgos por la alta exposición a la radiación ultravioleta.</w:t>
      </w:r>
    </w:p>
    <w:p w14:paraId="53613285" w14:textId="77777777" w:rsidR="005A6816" w:rsidRDefault="003002AD">
      <w:pPr>
        <w:spacing w:before="240" w:after="240" w:line="360" w:lineRule="auto"/>
        <w:jc w:val="both"/>
      </w:pPr>
      <w:r>
        <w:rPr>
          <w:b/>
          <w:bCs/>
        </w:rPr>
        <w:t xml:space="preserve">VIII. </w:t>
      </w:r>
      <w:r>
        <w:t xml:space="preserve">Las demás que establezcan esta Ley, así como las leyes y disposiciones conducentes, en los términos </w:t>
      </w:r>
      <w:r>
        <w:t>autorizados por los planes y los programas de estudios aplicables.</w:t>
      </w:r>
    </w:p>
    <w:p w14:paraId="52DBFC92" w14:textId="77777777" w:rsidR="005A6816" w:rsidRDefault="005A6816">
      <w:pPr>
        <w:spacing w:before="240" w:after="240" w:line="360" w:lineRule="auto"/>
        <w:jc w:val="both"/>
      </w:pPr>
    </w:p>
    <w:p w14:paraId="5C75483A" w14:textId="77777777" w:rsidR="005A6816" w:rsidRDefault="003002AD">
      <w:pPr>
        <w:spacing w:line="360" w:lineRule="auto"/>
        <w:ind w:left="1140" w:right="1480"/>
        <w:jc w:val="center"/>
        <w:rPr>
          <w:b/>
          <w:bCs/>
        </w:rPr>
      </w:pPr>
      <w:r>
        <w:rPr>
          <w:b/>
          <w:bCs/>
        </w:rPr>
        <w:t xml:space="preserve">TRANSITORIOS: </w:t>
      </w:r>
    </w:p>
    <w:p w14:paraId="1A60B516" w14:textId="4C6D8DEF" w:rsidR="005A6816" w:rsidRDefault="00593D53">
      <w:pPr>
        <w:spacing w:after="240" w:line="360" w:lineRule="auto"/>
        <w:jc w:val="both"/>
      </w:pPr>
      <w:r>
        <w:rPr>
          <w:b/>
          <w:bCs/>
        </w:rPr>
        <w:t>PRIMERO</w:t>
      </w:r>
      <w:r w:rsidR="0059723F">
        <w:rPr>
          <w:b/>
          <w:bCs/>
        </w:rPr>
        <w:t xml:space="preserve">. – </w:t>
      </w:r>
      <w:r w:rsidR="0059723F">
        <w:t>El presente decreto entrará en vigor al día siguiente de su publicación en el Periódico Oficial del Estado de Chihuahua.</w:t>
      </w:r>
    </w:p>
    <w:p w14:paraId="0B0FC292" w14:textId="77777777" w:rsidR="005A6816" w:rsidRDefault="003002AD">
      <w:pPr>
        <w:spacing w:before="160" w:line="360" w:lineRule="auto"/>
        <w:ind w:right="120"/>
        <w:jc w:val="both"/>
      </w:pPr>
      <w:r>
        <w:rPr>
          <w:b/>
          <w:bCs/>
        </w:rPr>
        <w:t xml:space="preserve">ECONÓMICO. - </w:t>
      </w:r>
      <w:r>
        <w:t xml:space="preserve">Aprobado que sea, túrnese a </w:t>
      </w:r>
      <w:r>
        <w:t>la Secretaría para que elabore la minuta de Decreto correspondiente.</w:t>
      </w:r>
    </w:p>
    <w:p w14:paraId="76A809A4" w14:textId="62FF88D1" w:rsidR="005A6816" w:rsidRDefault="003002AD">
      <w:pPr>
        <w:spacing w:before="160" w:after="240" w:line="360" w:lineRule="auto"/>
        <w:jc w:val="both"/>
      </w:pPr>
      <w:r>
        <w:rPr>
          <w:b/>
          <w:bCs/>
        </w:rPr>
        <w:lastRenderedPageBreak/>
        <w:t xml:space="preserve">DADO. - </w:t>
      </w:r>
      <w:r>
        <w:t xml:space="preserve">En el Salón de Sesiones del Poder Legislativo a los </w:t>
      </w:r>
      <w:r w:rsidR="001974EF">
        <w:t>30</w:t>
      </w:r>
      <w:r>
        <w:t xml:space="preserve"> días del mes de ju</w:t>
      </w:r>
      <w:r w:rsidR="002E6045">
        <w:t>n</w:t>
      </w:r>
      <w:r>
        <w:t>io del año dos mil veintiséis.</w:t>
      </w:r>
    </w:p>
    <w:p w14:paraId="2786D808" w14:textId="77777777" w:rsidR="005A6816" w:rsidRDefault="005A6816">
      <w:pPr>
        <w:spacing w:before="160" w:after="240" w:line="360" w:lineRule="auto"/>
        <w:jc w:val="both"/>
        <w:rPr>
          <w:b/>
          <w:bCs/>
        </w:rPr>
      </w:pPr>
    </w:p>
    <w:p w14:paraId="7B1A83B1" w14:textId="77777777" w:rsidR="005A6816" w:rsidRDefault="003002AD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ATENTAMENTE</w:t>
      </w:r>
    </w:p>
    <w:p w14:paraId="433B26DF" w14:textId="77777777" w:rsidR="005A6816" w:rsidRDefault="005A6816">
      <w:pPr>
        <w:spacing w:before="240" w:after="240" w:line="360" w:lineRule="auto"/>
        <w:jc w:val="both"/>
        <w:rPr>
          <w:b/>
          <w:bCs/>
        </w:rPr>
      </w:pPr>
    </w:p>
    <w:p w14:paraId="4F4EFF5E" w14:textId="77777777" w:rsidR="005A6816" w:rsidRDefault="005A6816">
      <w:pPr>
        <w:spacing w:before="240" w:after="240" w:line="360" w:lineRule="auto"/>
        <w:jc w:val="center"/>
        <w:rPr>
          <w:b/>
          <w:bCs/>
        </w:rPr>
      </w:pPr>
    </w:p>
    <w:p w14:paraId="24A7A87E" w14:textId="77777777" w:rsidR="005A6816" w:rsidRDefault="003002AD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 xml:space="preserve"> DIP. IRLANDA DOMINIQUE MÁRQUEZ NOLASCO</w:t>
      </w:r>
    </w:p>
    <w:p w14:paraId="4EF7C077" w14:textId="77777777" w:rsidR="005A6816" w:rsidRDefault="003002AD">
      <w:pPr>
        <w:spacing w:before="240" w:after="240" w:line="360" w:lineRule="auto"/>
        <w:jc w:val="center"/>
      </w:pPr>
      <w:r>
        <w:rPr>
          <w:b/>
          <w:bCs/>
        </w:rPr>
        <w:t>REPRESENTANTE DEL P</w:t>
      </w:r>
      <w:r>
        <w:rPr>
          <w:b/>
          <w:bCs/>
        </w:rPr>
        <w:t>ARTIDO DEL TRABAJO</w:t>
      </w:r>
    </w:p>
    <w:p w14:paraId="119F7524" w14:textId="77777777" w:rsidR="005A6816" w:rsidRDefault="005A6816">
      <w:pPr>
        <w:spacing w:line="360" w:lineRule="auto"/>
        <w:jc w:val="both"/>
        <w:rPr>
          <w:rFonts w:ascii="Arial" w:eastAsia="Arial" w:hAnsi="Arial" w:cs="Arial"/>
        </w:rPr>
      </w:pPr>
    </w:p>
    <w:sectPr w:rsidR="005A6816">
      <w:head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DED8" w14:textId="77777777" w:rsidR="000A0901" w:rsidRDefault="000A0901">
      <w:pPr>
        <w:spacing w:after="0" w:line="240" w:lineRule="auto"/>
      </w:pPr>
      <w:r>
        <w:separator/>
      </w:r>
    </w:p>
  </w:endnote>
  <w:endnote w:type="continuationSeparator" w:id="0">
    <w:p w14:paraId="072202CB" w14:textId="77777777" w:rsidR="000A0901" w:rsidRDefault="000A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20CB44E-4B1D-4384-8054-8A02A9887895}"/>
    <w:embedBold r:id="rId2" w:fontKey="{2C3ED670-A8D1-4C29-8311-D11588ABE936}"/>
    <w:embedItalic r:id="rId3" w:fontKey="{3C642472-CA6A-496A-92F1-7C59F6392D47}"/>
  </w:font>
  <w:font w:name="Play">
    <w:charset w:val="00"/>
    <w:family w:val="auto"/>
    <w:pitch w:val="default"/>
    <w:embedRegular r:id="rId4" w:fontKey="{14ED79FD-A3DB-4027-9230-62EF252F9E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F4FD1DE-7087-4B04-84E8-292F06B5E0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28C7398-3C86-4531-A3FE-27BDE15D6B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1ADDC" w14:textId="77777777" w:rsidR="000A0901" w:rsidRDefault="000A0901">
      <w:pPr>
        <w:spacing w:after="0" w:line="240" w:lineRule="auto"/>
      </w:pPr>
      <w:r>
        <w:separator/>
      </w:r>
    </w:p>
  </w:footnote>
  <w:footnote w:type="continuationSeparator" w:id="0">
    <w:p w14:paraId="2CC63D74" w14:textId="77777777" w:rsidR="000A0901" w:rsidRDefault="000A0901">
      <w:pPr>
        <w:spacing w:after="0" w:line="240" w:lineRule="auto"/>
      </w:pPr>
      <w:r>
        <w:continuationSeparator/>
      </w:r>
    </w:p>
  </w:footnote>
  <w:footnote w:id="1">
    <w:p w14:paraId="0D49FA84" w14:textId="68ABFBFC" w:rsidR="00F25E36" w:rsidRDefault="00F25E36" w:rsidP="00F25E36">
      <w:pPr>
        <w:pStyle w:val="Textonotapie"/>
      </w:pPr>
      <w:r>
        <w:rPr>
          <w:rStyle w:val="Refdenotaalpie"/>
        </w:rPr>
        <w:footnoteRef/>
      </w:r>
      <w:r>
        <w:t xml:space="preserve"> World. (2022, June 21). Radiación ultravioleta. Who.Int; World Health Organization: WHO. </w:t>
      </w:r>
      <w:hyperlink r:id="rId1" w:history="1">
        <w:r w:rsidRPr="00541FFB">
          <w:rPr>
            <w:rStyle w:val="Hipervnculo"/>
          </w:rPr>
          <w:t>https://www.who.int/es/news-room/fact-sheets/detail/ultraviolet-radiation</w:t>
        </w:r>
      </w:hyperlink>
      <w:r>
        <w:t xml:space="preserve"> </w:t>
      </w:r>
    </w:p>
  </w:footnote>
  <w:footnote w:id="2">
    <w:p w14:paraId="642EE084" w14:textId="77777777" w:rsidR="005A6816" w:rsidRDefault="00300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World. (2022, June 21). </w:t>
      </w:r>
      <w:r>
        <w:rPr>
          <w:i/>
          <w:iCs/>
          <w:color w:val="000000"/>
          <w:sz w:val="20"/>
          <w:szCs w:val="20"/>
        </w:rPr>
        <w:t>Radiación ultravioleta</w:t>
      </w:r>
      <w:r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Who.Int; World Health </w:t>
      </w:r>
      <w:r>
        <w:rPr>
          <w:color w:val="000000"/>
          <w:sz w:val="20"/>
          <w:szCs w:val="20"/>
        </w:rPr>
        <w:t xml:space="preserve">Organization: WHO. </w:t>
      </w:r>
      <w:hyperlink r:id="rId2">
        <w:r w:rsidR="005A6816">
          <w:rPr>
            <w:color w:val="467886"/>
            <w:sz w:val="20"/>
            <w:szCs w:val="20"/>
            <w:u w:val="single"/>
          </w:rPr>
          <w:t>https://www.who.int/es/news-room/fact-sheets/detail/ultraviolet-radiation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3">
    <w:p w14:paraId="75681C2A" w14:textId="77777777" w:rsidR="005A6816" w:rsidRDefault="00300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Salud, S. de. (2026). </w:t>
      </w:r>
      <w:r>
        <w:rPr>
          <w:i/>
          <w:iCs/>
          <w:color w:val="000000"/>
          <w:sz w:val="20"/>
          <w:szCs w:val="20"/>
        </w:rPr>
        <w:t>La detección oportuna del cáncer de piel pued</w:t>
      </w:r>
      <w:r>
        <w:rPr>
          <w:i/>
          <w:iCs/>
          <w:color w:val="000000"/>
          <w:sz w:val="20"/>
          <w:szCs w:val="20"/>
        </w:rPr>
        <w:t>e lograr tasas de curación de hasta 95%</w:t>
      </w:r>
      <w:r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Gob.Mx. </w:t>
      </w:r>
      <w:hyperlink r:id="rId3">
        <w:r w:rsidR="005A6816">
          <w:rPr>
            <w:color w:val="467886"/>
            <w:sz w:val="20"/>
            <w:szCs w:val="20"/>
            <w:u w:val="single"/>
          </w:rPr>
          <w:t>https://www.gob.mx/salud/articulos/la-deteccion-oportuna-del-cancer-de-piel-puede-lograr-tasas-de-curacion-de-hasta-95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4">
    <w:p w14:paraId="360D6CE5" w14:textId="77777777" w:rsidR="005A6816" w:rsidRDefault="00300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Tiempo mensual en Chihuahua, Chihuahua, México | </w:t>
      </w:r>
      <w:r>
        <w:rPr>
          <w:i/>
          <w:iCs/>
          <w:color w:val="000000"/>
          <w:sz w:val="20"/>
          <w:szCs w:val="20"/>
        </w:rPr>
        <w:t>AccuWeather</w:t>
      </w:r>
      <w:r>
        <w:rPr>
          <w:color w:val="000000"/>
          <w:sz w:val="20"/>
          <w:szCs w:val="20"/>
        </w:rPr>
        <w:t xml:space="preserve">. (2026). Accuweather.Com. </w:t>
      </w:r>
      <w:hyperlink r:id="rId4">
        <w:r w:rsidR="005A6816">
          <w:rPr>
            <w:color w:val="467886"/>
            <w:sz w:val="20"/>
            <w:szCs w:val="20"/>
            <w:u w:val="single"/>
          </w:rPr>
          <w:t>https://www.accuweather.com/es/mx/chihuahua/242375/june-weather/242375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5">
    <w:p w14:paraId="3C176DED" w14:textId="77777777" w:rsidR="005A6816" w:rsidRDefault="00300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Tiempo mensual en Juárez, Chihuahua, México | AccuWeather</w:t>
      </w:r>
      <w:r>
        <w:rPr>
          <w:color w:val="000000"/>
          <w:sz w:val="20"/>
          <w:szCs w:val="20"/>
        </w:rPr>
        <w:t xml:space="preserve">. (2026). Accuweather.Com. </w:t>
      </w:r>
      <w:hyperlink r:id="rId5">
        <w:r w:rsidR="005A6816">
          <w:rPr>
            <w:color w:val="467886"/>
            <w:sz w:val="20"/>
            <w:szCs w:val="20"/>
            <w:u w:val="single"/>
          </w:rPr>
          <w:t>https://www.accuweather.com/es/mx/juarez/242376/june-weather/242376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5077" w14:textId="77777777" w:rsidR="005A6816" w:rsidRDefault="003002AD">
    <w:pPr>
      <w:tabs>
        <w:tab w:val="center" w:pos="4680"/>
        <w:tab w:val="right" w:pos="9360"/>
      </w:tabs>
      <w:spacing w:before="240" w:after="240" w:line="240" w:lineRule="auto"/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“2026, Año del Bicentenario de la abolición de la esclavitud en el Estado de Chihuahua”</w:t>
    </w:r>
  </w:p>
  <w:p w14:paraId="4937D5EC" w14:textId="77777777" w:rsidR="005A6816" w:rsidRDefault="005A68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7E169FC3" w14:textId="77777777" w:rsidR="005A6816" w:rsidRDefault="005A68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4FC04A9" w14:textId="77777777" w:rsidR="005A6816" w:rsidRDefault="005A68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34B94F3" w14:textId="77777777" w:rsidR="005A6816" w:rsidRDefault="005A68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816"/>
    <w:rsid w:val="000A0901"/>
    <w:rsid w:val="000B1AE0"/>
    <w:rsid w:val="000C3630"/>
    <w:rsid w:val="00146DD6"/>
    <w:rsid w:val="001974EF"/>
    <w:rsid w:val="002E6045"/>
    <w:rsid w:val="003002AD"/>
    <w:rsid w:val="003501E3"/>
    <w:rsid w:val="003B229B"/>
    <w:rsid w:val="005061B8"/>
    <w:rsid w:val="00593D53"/>
    <w:rsid w:val="0059723F"/>
    <w:rsid w:val="005A6816"/>
    <w:rsid w:val="005C00DB"/>
    <w:rsid w:val="00632023"/>
    <w:rsid w:val="006D2737"/>
    <w:rsid w:val="008F3152"/>
    <w:rsid w:val="00A11E3B"/>
    <w:rsid w:val="00C86C2C"/>
    <w:rsid w:val="00E6048C"/>
    <w:rsid w:val="00F25E36"/>
    <w:rsid w:val="00F7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5169"/>
  <w15:docId w15:val="{E8C0BAD7-6EDC-4450-A662-96CBA8A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25E3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25E3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25E3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25E3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5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b.mx/salud/articulos/la-deteccion-oportuna-del-cancer-de-piel-puede-lograr-tasas-de-curacion-de-hasta-95" TargetMode="External"/><Relationship Id="rId2" Type="http://schemas.openxmlformats.org/officeDocument/2006/relationships/hyperlink" Target="https://www.who.int/es/news-room/fact-sheets/detail/ultraviolet-radiation" TargetMode="External"/><Relationship Id="rId1" Type="http://schemas.openxmlformats.org/officeDocument/2006/relationships/hyperlink" Target="https://www.who.int/es/news-room/fact-sheets/detail/ultraviolet-radiation" TargetMode="External"/><Relationship Id="rId5" Type="http://schemas.openxmlformats.org/officeDocument/2006/relationships/hyperlink" Target="https://www.accuweather.com/es/mx/juarez/242376/june-weather/242376" TargetMode="External"/><Relationship Id="rId4" Type="http://schemas.openxmlformats.org/officeDocument/2006/relationships/hyperlink" Target="https://www.accuweather.com/es/mx/chihuahua/242375/june-weather/242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UPgyl8wDzfqRjHe1HHYcz8XxA==">CgMxLjA4AHIhMTQyOXlDVS1sd3ppYWFJTkgtSlRQR2pqRXJjSGNGcU5L</go:docsCustomData>
</go:gDocsCustomXmlDataStorage>
</file>

<file path=customXml/itemProps1.xml><?xml version="1.0" encoding="utf-8"?>
<ds:datastoreItem xmlns:ds="http://schemas.openxmlformats.org/officeDocument/2006/customXml" ds:itemID="{B438CE21-56CF-48EB-A986-0987519E8D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1413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Daniela Flores Chacon</dc:creator>
  <cp:lastModifiedBy>Andrea Daniela Flores Chacon</cp:lastModifiedBy>
  <cp:revision>2</cp:revision>
  <dcterms:created xsi:type="dcterms:W3CDTF">2026-06-26T19:23:00Z</dcterms:created>
  <dcterms:modified xsi:type="dcterms:W3CDTF">2026-06-26T19:23:00Z</dcterms:modified>
</cp:coreProperties>
</file>