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4D4DC" w14:textId="77777777" w:rsidR="00C469FD" w:rsidRPr="00430480" w:rsidRDefault="00C469FD" w:rsidP="00C469FD">
      <w:pPr>
        <w:spacing w:after="0" w:line="360" w:lineRule="auto"/>
        <w:jc w:val="both"/>
        <w:rPr>
          <w:rFonts w:ascii="Century Gothic" w:hAnsi="Century Gothic" w:cs="Arial"/>
          <w:b/>
          <w:sz w:val="26"/>
          <w:szCs w:val="26"/>
        </w:rPr>
      </w:pPr>
      <w:r w:rsidRPr="00430480">
        <w:rPr>
          <w:rFonts w:ascii="Century Gothic" w:hAnsi="Century Gothic" w:cs="Arial"/>
          <w:b/>
          <w:sz w:val="26"/>
          <w:szCs w:val="26"/>
        </w:rPr>
        <w:t xml:space="preserve">INICIATIVA CON PROYECTO DE DECRETO MEDIANTE EL CUAL </w:t>
      </w:r>
      <w:r w:rsidRPr="00654369">
        <w:rPr>
          <w:rFonts w:ascii="Century Gothic" w:hAnsi="Century Gothic" w:cs="Arial"/>
          <w:b/>
          <w:sz w:val="26"/>
          <w:szCs w:val="26"/>
        </w:rPr>
        <w:t>SE REFORMA EL ARTÍCULO 201 AL CÓDIGO PENAL DEL ESTADO DE CHIHUAHUA, PARA TIPIFICAR Y SANCIONAR LA VIOLENCIA OBSTETRICA</w:t>
      </w:r>
      <w:r>
        <w:rPr>
          <w:rFonts w:ascii="Century Gothic" w:hAnsi="Century Gothic" w:cs="Arial"/>
          <w:b/>
          <w:sz w:val="26"/>
          <w:szCs w:val="26"/>
        </w:rPr>
        <w:t>.</w:t>
      </w:r>
    </w:p>
    <w:p w14:paraId="2A96E4AC" w14:textId="77777777" w:rsidR="00C469FD" w:rsidRPr="00430480" w:rsidRDefault="00C469FD" w:rsidP="00C469FD">
      <w:pPr>
        <w:spacing w:line="360" w:lineRule="auto"/>
        <w:jc w:val="both"/>
        <w:rPr>
          <w:rFonts w:ascii="Century Gothic" w:hAnsi="Century Gothic" w:cs="Arial"/>
          <w:b/>
          <w:sz w:val="26"/>
          <w:szCs w:val="26"/>
        </w:rPr>
      </w:pPr>
    </w:p>
    <w:p w14:paraId="79CF71C6" w14:textId="77777777" w:rsidR="00C469FD" w:rsidRPr="00430480" w:rsidRDefault="00C469FD" w:rsidP="00C469FD">
      <w:pPr>
        <w:spacing w:after="0" w:line="360" w:lineRule="auto"/>
        <w:jc w:val="both"/>
        <w:rPr>
          <w:rFonts w:ascii="Century Gothic" w:hAnsi="Century Gothic" w:cs="Arial"/>
          <w:b/>
          <w:sz w:val="26"/>
          <w:szCs w:val="26"/>
        </w:rPr>
      </w:pPr>
      <w:r w:rsidRPr="00430480">
        <w:rPr>
          <w:rFonts w:ascii="Century Gothic" w:hAnsi="Century Gothic" w:cs="Arial"/>
          <w:b/>
          <w:sz w:val="26"/>
          <w:szCs w:val="26"/>
        </w:rPr>
        <w:t>H. CONGRESO DEL ESTADO DE CHIHUAHUA</w:t>
      </w:r>
    </w:p>
    <w:p w14:paraId="264CAA39" w14:textId="77777777" w:rsidR="00C469FD" w:rsidRPr="00430480" w:rsidRDefault="00C469FD" w:rsidP="00C469FD">
      <w:pPr>
        <w:spacing w:after="0" w:line="360" w:lineRule="auto"/>
        <w:jc w:val="both"/>
        <w:rPr>
          <w:rFonts w:ascii="Century Gothic" w:hAnsi="Century Gothic" w:cs="Arial"/>
          <w:b/>
          <w:sz w:val="26"/>
          <w:szCs w:val="26"/>
        </w:rPr>
      </w:pPr>
      <w:r w:rsidRPr="00430480">
        <w:rPr>
          <w:rFonts w:ascii="Century Gothic" w:hAnsi="Century Gothic" w:cs="Arial"/>
          <w:b/>
          <w:sz w:val="26"/>
          <w:szCs w:val="26"/>
        </w:rPr>
        <w:t>PRESENTE.</w:t>
      </w:r>
    </w:p>
    <w:p w14:paraId="662B18C2" w14:textId="324D48E0" w:rsidR="00C469FD" w:rsidRPr="00430480" w:rsidRDefault="00C469FD" w:rsidP="00C469FD">
      <w:pPr>
        <w:pBdr>
          <w:top w:val="nil"/>
          <w:left w:val="nil"/>
          <w:bottom w:val="nil"/>
          <w:right w:val="nil"/>
          <w:between w:val="nil"/>
        </w:pBdr>
        <w:spacing w:after="0" w:line="276" w:lineRule="auto"/>
        <w:ind w:firstLine="709"/>
        <w:jc w:val="both"/>
        <w:rPr>
          <w:rFonts w:ascii="Century Gothic" w:eastAsia="Century Gothic" w:hAnsi="Century Gothic" w:cs="Century Gothic"/>
          <w:b/>
          <w:color w:val="000000"/>
          <w:sz w:val="26"/>
          <w:szCs w:val="26"/>
        </w:rPr>
      </w:pPr>
      <w:r w:rsidRPr="00430480">
        <w:rPr>
          <w:rFonts w:ascii="Century Gothic" w:eastAsia="Century Gothic" w:hAnsi="Century Gothic" w:cs="Century Gothic"/>
          <w:color w:val="000000"/>
          <w:sz w:val="26"/>
          <w:szCs w:val="26"/>
        </w:rPr>
        <w:t xml:space="preserve">La suscrita </w:t>
      </w:r>
      <w:r w:rsidRPr="00430480">
        <w:rPr>
          <w:rFonts w:ascii="Century Gothic" w:eastAsia="Century Gothic" w:hAnsi="Century Gothic" w:cs="Century Gothic"/>
          <w:b/>
          <w:color w:val="000000"/>
          <w:sz w:val="26"/>
          <w:szCs w:val="26"/>
        </w:rPr>
        <w:t>JOCELINE VEGA VARGAS,</w:t>
      </w:r>
      <w:r w:rsidRPr="00430480">
        <w:rPr>
          <w:rFonts w:ascii="Century Gothic" w:eastAsia="Century Gothic" w:hAnsi="Century Gothic" w:cs="Century Gothic"/>
          <w:color w:val="000000"/>
          <w:sz w:val="26"/>
          <w:szCs w:val="26"/>
        </w:rPr>
        <w:t xml:space="preserve"> en mi carácter de diputada de la </w:t>
      </w:r>
      <w:r w:rsidRPr="00430480">
        <w:rPr>
          <w:rFonts w:ascii="Century Gothic" w:eastAsia="Century Gothic" w:hAnsi="Century Gothic" w:cs="Century Gothic"/>
          <w:b/>
          <w:color w:val="000000"/>
          <w:sz w:val="26"/>
          <w:szCs w:val="26"/>
        </w:rPr>
        <w:t>SEXAGÉSIMA OCTAVA LEGISLATURA DEL H. CONGRESO DEL ESTADO DE CHIHUAHUA</w:t>
      </w:r>
      <w:r w:rsidRPr="00430480">
        <w:rPr>
          <w:rFonts w:ascii="Century Gothic" w:eastAsia="Century Gothic" w:hAnsi="Century Gothic" w:cs="Century Gothic"/>
          <w:color w:val="000000"/>
          <w:sz w:val="26"/>
          <w:szCs w:val="26"/>
        </w:rPr>
        <w:t xml:space="preserve">, integrante del </w:t>
      </w:r>
      <w:r w:rsidRPr="00430480">
        <w:rPr>
          <w:rFonts w:ascii="Century Gothic" w:eastAsia="Century Gothic" w:hAnsi="Century Gothic" w:cs="Century Gothic"/>
          <w:b/>
          <w:color w:val="000000"/>
          <w:sz w:val="26"/>
          <w:szCs w:val="26"/>
        </w:rPr>
        <w:t>GRUPO PARLAMENTARIO DEL PARTIDO ACCIÓN NACIONAL</w:t>
      </w:r>
      <w:r w:rsidRPr="00430480">
        <w:rPr>
          <w:rFonts w:ascii="Century Gothic" w:eastAsia="Century Gothic" w:hAnsi="Century Gothic" w:cs="Century Gothic"/>
          <w:color w:val="000000"/>
          <w:sz w:val="26"/>
          <w:szCs w:val="26"/>
        </w:rPr>
        <w:t xml:space="preserve">, con fundamento en lo dispuesto por las fracciones I y </w:t>
      </w:r>
      <w:proofErr w:type="spellStart"/>
      <w:r w:rsidRPr="00430480">
        <w:rPr>
          <w:rFonts w:ascii="Century Gothic" w:eastAsia="Century Gothic" w:hAnsi="Century Gothic" w:cs="Century Gothic"/>
          <w:color w:val="000000"/>
          <w:sz w:val="26"/>
          <w:szCs w:val="26"/>
        </w:rPr>
        <w:t>Il</w:t>
      </w:r>
      <w:proofErr w:type="spellEnd"/>
      <w:r w:rsidRPr="00430480">
        <w:rPr>
          <w:rFonts w:ascii="Century Gothic" w:eastAsia="Century Gothic" w:hAnsi="Century Gothic" w:cs="Century Gothic"/>
          <w:color w:val="000000"/>
          <w:sz w:val="26"/>
          <w:szCs w:val="26"/>
        </w:rPr>
        <w:t xml:space="preserve">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Pr="00430480">
        <w:rPr>
          <w:rFonts w:ascii="Century Gothic" w:eastAsia="Century Gothic" w:hAnsi="Century Gothic" w:cs="Century Gothic"/>
          <w:b/>
          <w:color w:val="000000"/>
          <w:sz w:val="26"/>
          <w:szCs w:val="26"/>
        </w:rPr>
        <w:t xml:space="preserve">INICIATIVA CON CARÁCTER DE DECRETO, </w:t>
      </w:r>
      <w:r w:rsidRPr="00430480">
        <w:rPr>
          <w:rFonts w:ascii="Century Gothic" w:eastAsia="Century Gothic" w:hAnsi="Century Gothic" w:cs="Century Gothic"/>
          <w:color w:val="000000"/>
          <w:sz w:val="26"/>
          <w:szCs w:val="26"/>
        </w:rPr>
        <w:t xml:space="preserve">esto al tenor de la siguiente: </w:t>
      </w:r>
    </w:p>
    <w:p w14:paraId="1E61B254" w14:textId="77777777" w:rsidR="00C469FD" w:rsidRPr="00430480" w:rsidRDefault="00C469FD" w:rsidP="00C469FD">
      <w:pPr>
        <w:spacing w:line="360" w:lineRule="auto"/>
        <w:jc w:val="both"/>
        <w:rPr>
          <w:rFonts w:ascii="Century Gothic" w:hAnsi="Century Gothic" w:cs="Arial"/>
          <w:b/>
          <w:sz w:val="26"/>
          <w:szCs w:val="26"/>
        </w:rPr>
      </w:pPr>
    </w:p>
    <w:p w14:paraId="250310EA" w14:textId="77777777" w:rsidR="00C469FD" w:rsidRDefault="00C469FD" w:rsidP="00C469FD">
      <w:pPr>
        <w:spacing w:line="360" w:lineRule="auto"/>
        <w:jc w:val="center"/>
        <w:rPr>
          <w:rFonts w:ascii="Century Gothic" w:hAnsi="Century Gothic" w:cs="Arial"/>
          <w:b/>
          <w:sz w:val="26"/>
          <w:szCs w:val="26"/>
        </w:rPr>
      </w:pPr>
      <w:r w:rsidRPr="00430480">
        <w:rPr>
          <w:rFonts w:ascii="Century Gothic" w:hAnsi="Century Gothic" w:cs="Arial"/>
          <w:b/>
          <w:sz w:val="26"/>
          <w:szCs w:val="26"/>
        </w:rPr>
        <w:t>EXPOSICIÓN DE MOTIVOS</w:t>
      </w:r>
    </w:p>
    <w:p w14:paraId="01ACB708"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La protección de la dignidad humana constituye uno de los pilares fundamentales del Estado de Derecho. En ese marco, el derecho de las mujeres a una vida libre de violencia, así como el acceso a servicios de salud de calidad, con enfoque de derechos humanos, perspectiva de género y trato digno, no admite ambigüedades ni omisiones por parte del Estado.</w:t>
      </w:r>
    </w:p>
    <w:p w14:paraId="59F64F19"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lastRenderedPageBreak/>
        <w:t>En el Estado de Chihuahua, como en diversas regiones del país, persisten prácticas dentro de los servicios de salud que vulneran de manera grave los derechos de las mujeres durante el embarazo, el parto y el puerperio. Estas conductas, que van desde la omisión de atención médica oportuna hasta la realización de procedimientos sin consentimiento informado, constituyen formas específicas de violencia que deben ser reconocidas, prevenidas y sancionadas con toda la firmeza del orden jurídico.</w:t>
      </w:r>
    </w:p>
    <w:p w14:paraId="59455DD4"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La violencia obstétrica no es un concepto abstracto ni una categoría meramente teórica; es una realidad documentada que impacta directamente en la integridad física, psicológica y reproductiva de las mujeres. Se manifiesta a través de actos de negligencia, abuso de poder, trato deshumanizado, medicalización innecesaria y la imposición de decisiones médicas sin el consentimiento libre, previo e informado de las pacientes. Estas prácticas no solo vulneran derechos fundamentales, sino que erosionan la confianza en las instituciones de salud y perpetúan esquemas de desigualdad estructural.</w:t>
      </w:r>
    </w:p>
    <w:p w14:paraId="552D8680"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Si bien existen disposiciones en el ámbito administrativo y en leyes de carácter general que abordan la violencia obstétrica, resulta evidente que dichas herramientas han sido insuficientes para erradicar estas conductas. La ausencia de una tipificación penal específica genera espacios de impunidad que inhiben la denuncia y dificultan el acceso a la justicia para las víctimas.</w:t>
      </w:r>
    </w:p>
    <w:p w14:paraId="4E8DB956"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 xml:space="preserve">Legislar no implica únicamente incrementar el número de normas, sino garantizar que el marco jurídico sea eficaz, coherente y responda a las necesidades reales de la sociedad. En ese sentido, la presente iniciativa no surge de un impulso aislado ni de una lógica de sobrerregulación, sino de la convicción de que existen vacíos legales que deben ser atendidos con responsabilidad y rigor. Tipificar la </w:t>
      </w:r>
      <w:r w:rsidRPr="00DF35D1">
        <w:rPr>
          <w:rFonts w:ascii="Century Gothic" w:hAnsi="Century Gothic"/>
          <w:sz w:val="26"/>
          <w:szCs w:val="26"/>
        </w:rPr>
        <w:lastRenderedPageBreak/>
        <w:t>violencia obstétrica en el Código Penal del Estado de Chihuahua representa un paso necesario para fortalecer el sistema de protección de los derechos de las mujeres, dotando de herramientas jurídicas claras para sancionar conductas que hoy quedan, en muchos casos, en la impunidad.</w:t>
      </w:r>
    </w:p>
    <w:p w14:paraId="2E0BF41B"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La construcción de esta iniciativa es resultado de un ejercicio serio, plural y técnicamente fundamentado. Se llevó a cabo una mesa de trabajo en la que participaron especialistas en derecho, profesionales del sector salud, académicos y expertos en la materia, quienes aportaron su conocimiento y experiencia para delimitar con precisión las conductas que constituyen violencia obstétrica, así como los elementos necesarios para su adecuada acreditación y sanción. Este proceso permitió consolidar una propuesta equilibrada, que protege los derechos de las pacientes sin desatender la realidad operativa del personal médico.</w:t>
      </w:r>
    </w:p>
    <w:p w14:paraId="1BA07DD0"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El articulado propuesto define con claridad el tipo penal, estableciendo las conductas específicas que lo configuran, entre las que destacan la omisión o retraso injustificado en la atención médica, el maltrato verbal o psicológico, la realización de procedimientos sin consentimiento informado, la alteración indebida del proceso natural del parto, la imposición de intervenciones quirúrgicas innecesarias, así como la vulneración de derechos relacionados con la maternidad, la reproducción y el apego inmediato entre madre e hijo.</w:t>
      </w:r>
    </w:p>
    <w:p w14:paraId="77074B68"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Asimismo, se contemplan sanciones proporcionales a la gravedad de las conductas, incluyendo penas privativas de la libertad, multas e inhabilitación para el ejercicio profesional, así como agravantes en aquellos casos en que exista abuso de poder, condiciones de vulnerabilidad de la víctima, daño físico o psicológico, afectaciones irreversibles a la capacidad reproductiva o incluso la pérdida de la vida.</w:t>
      </w:r>
    </w:p>
    <w:p w14:paraId="6DE4D37C"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lastRenderedPageBreak/>
        <w:t>Esta iniciativa parte de un principio fundamental: ninguna mujer debe ser violentada en uno de los momentos más trascendentes de su vida. El embarazo, el parto y el puerperio deben ser experiencias acompañadas de respeto, información clara, trato digno y decisiones libres.</w:t>
      </w:r>
    </w:p>
    <w:p w14:paraId="7E921BE0" w14:textId="77777777" w:rsidR="00C469FD" w:rsidRPr="00DF35D1"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Tipificar la violencia obstétrica en el Código Penal del Estado de Chihuahua no solo constituye una respuesta jurídica necesaria, sino un mensaje claro de que el Estado reconoce, visibiliza y actúa frente a una problemática que durante mucho tiempo ha sido normalizada.</w:t>
      </w:r>
    </w:p>
    <w:p w14:paraId="46446CDE" w14:textId="77777777" w:rsidR="00C469FD" w:rsidRPr="0094566E" w:rsidRDefault="00C469FD" w:rsidP="00C469FD">
      <w:pPr>
        <w:pStyle w:val="NormalWeb"/>
        <w:ind w:firstLine="708"/>
        <w:jc w:val="both"/>
        <w:rPr>
          <w:rFonts w:ascii="Century Gothic" w:hAnsi="Century Gothic"/>
          <w:sz w:val="26"/>
          <w:szCs w:val="26"/>
        </w:rPr>
      </w:pPr>
      <w:r w:rsidRPr="00DF35D1">
        <w:rPr>
          <w:rFonts w:ascii="Century Gothic" w:hAnsi="Century Gothic"/>
          <w:sz w:val="26"/>
          <w:szCs w:val="26"/>
        </w:rPr>
        <w:t>Legislar con responsabilidad implica cerrar espacios a la impunidad, fortalecer las instituciones y, sobre todo, colocar en el centro la dignidad de las personas. Esta iniciativa responde a esa convicción.</w:t>
      </w:r>
    </w:p>
    <w:p w14:paraId="4A114A4D" w14:textId="77777777" w:rsidR="00C469FD" w:rsidRPr="00430480" w:rsidRDefault="00C469FD" w:rsidP="00C469FD">
      <w:pPr>
        <w:pStyle w:val="NormalWeb"/>
        <w:spacing w:line="360" w:lineRule="auto"/>
        <w:ind w:firstLine="708"/>
        <w:jc w:val="both"/>
        <w:rPr>
          <w:rFonts w:ascii="Century Gothic" w:hAnsi="Century Gothic" w:cs="Arial"/>
          <w:bCs/>
          <w:sz w:val="26"/>
          <w:szCs w:val="26"/>
        </w:rPr>
      </w:pPr>
      <w:r w:rsidRPr="00430480">
        <w:rPr>
          <w:rFonts w:ascii="Century Gothic" w:hAnsi="Century Gothic" w:cs="Arial"/>
          <w:sz w:val="26"/>
          <w:szCs w:val="26"/>
        </w:rPr>
        <w:t xml:space="preserve">Por lo anterior expuesto, someto a su consideración la siguiente </w:t>
      </w:r>
      <w:r w:rsidRPr="00430480">
        <w:rPr>
          <w:rFonts w:ascii="Century Gothic" w:hAnsi="Century Gothic" w:cs="Arial"/>
          <w:bCs/>
          <w:sz w:val="26"/>
          <w:szCs w:val="26"/>
        </w:rPr>
        <w:t>iniciativa con proyecto de:</w:t>
      </w:r>
    </w:p>
    <w:p w14:paraId="145C5B05" w14:textId="77777777" w:rsidR="00C469FD" w:rsidRPr="00430480" w:rsidRDefault="00C469FD" w:rsidP="00C469FD">
      <w:pPr>
        <w:pStyle w:val="NormalWeb"/>
        <w:spacing w:line="360" w:lineRule="auto"/>
        <w:ind w:firstLine="708"/>
        <w:jc w:val="center"/>
        <w:rPr>
          <w:rFonts w:ascii="Century Gothic" w:hAnsi="Century Gothic" w:cs="Arial"/>
          <w:b/>
          <w:sz w:val="26"/>
          <w:szCs w:val="26"/>
        </w:rPr>
      </w:pPr>
      <w:r w:rsidRPr="00430480">
        <w:rPr>
          <w:rFonts w:ascii="Century Gothic" w:hAnsi="Century Gothic" w:cs="Arial"/>
          <w:b/>
          <w:sz w:val="26"/>
          <w:szCs w:val="26"/>
        </w:rPr>
        <w:t>DECRETO</w:t>
      </w:r>
    </w:p>
    <w:p w14:paraId="361C89A3" w14:textId="77777777" w:rsidR="00C469FD" w:rsidRDefault="00C469FD" w:rsidP="00C469FD">
      <w:pPr>
        <w:pStyle w:val="NormalWeb"/>
        <w:spacing w:line="360" w:lineRule="auto"/>
        <w:ind w:firstLine="708"/>
        <w:jc w:val="both"/>
        <w:rPr>
          <w:rFonts w:ascii="Century Gothic" w:hAnsi="Century Gothic" w:cs="Arial"/>
          <w:sz w:val="26"/>
          <w:szCs w:val="26"/>
        </w:rPr>
      </w:pPr>
      <w:r w:rsidRPr="00430480">
        <w:rPr>
          <w:rFonts w:ascii="Century Gothic" w:hAnsi="Century Gothic" w:cs="Arial"/>
          <w:b/>
          <w:sz w:val="26"/>
          <w:szCs w:val="26"/>
        </w:rPr>
        <w:t>ÚNICO</w:t>
      </w:r>
      <w:r w:rsidRPr="00430480">
        <w:rPr>
          <w:rFonts w:ascii="Century Gothic" w:hAnsi="Century Gothic" w:cs="Arial"/>
          <w:bCs/>
          <w:sz w:val="26"/>
          <w:szCs w:val="26"/>
        </w:rPr>
        <w:t>. Se</w:t>
      </w:r>
      <w:r>
        <w:rPr>
          <w:rFonts w:ascii="Century Gothic" w:hAnsi="Century Gothic" w:cs="Arial"/>
          <w:bCs/>
          <w:sz w:val="26"/>
          <w:szCs w:val="26"/>
        </w:rPr>
        <w:t xml:space="preserve"> reforma el articulo 201 del Código Penal para el Estado de Chihuahua para quedar redactado de la siguiente manera</w:t>
      </w:r>
      <w:r w:rsidRPr="00430480">
        <w:rPr>
          <w:rFonts w:ascii="Century Gothic" w:hAnsi="Century Gothic" w:cs="Arial"/>
          <w:sz w:val="26"/>
          <w:szCs w:val="26"/>
        </w:rPr>
        <w:t xml:space="preserve">: </w:t>
      </w:r>
    </w:p>
    <w:p w14:paraId="7FD8FC3E" w14:textId="77777777" w:rsidR="00C469FD" w:rsidRPr="008B275E" w:rsidRDefault="00C469FD" w:rsidP="00C469FD">
      <w:pPr>
        <w:jc w:val="both"/>
        <w:rPr>
          <w:rFonts w:ascii="Century Gothic" w:hAnsi="Century Gothic"/>
          <w:b/>
          <w:bCs/>
          <w:sz w:val="26"/>
          <w:szCs w:val="26"/>
          <w:lang w:val="es-ES_tradnl"/>
        </w:rPr>
      </w:pPr>
      <w:r w:rsidRPr="00BA746A">
        <w:rPr>
          <w:rFonts w:ascii="Century Gothic" w:hAnsi="Century Gothic"/>
          <w:b/>
          <w:bCs/>
          <w:sz w:val="26"/>
          <w:szCs w:val="26"/>
          <w:lang w:val="es-ES_tradnl"/>
        </w:rPr>
        <w:t>Artículo 201.</w:t>
      </w:r>
      <w:r>
        <w:rPr>
          <w:rFonts w:ascii="Century Gothic" w:hAnsi="Century Gothic"/>
          <w:b/>
          <w:bCs/>
          <w:sz w:val="26"/>
          <w:szCs w:val="26"/>
          <w:lang w:val="es-ES_tradnl"/>
        </w:rPr>
        <w:t xml:space="preserve"> </w:t>
      </w:r>
      <w:r w:rsidRPr="008B275E">
        <w:rPr>
          <w:rFonts w:ascii="Century Gothic" w:hAnsi="Century Gothic"/>
          <w:b/>
          <w:bCs/>
          <w:sz w:val="26"/>
          <w:szCs w:val="26"/>
          <w:lang w:val="es-ES_tradnl"/>
        </w:rPr>
        <w:t>Comete el delito de violencia obstétrica el personal de salud que, con motivo de la prestación de servicios médicos durante el embarazo, parto o puerperio, realice cualquiera de las conductas siguientes:</w:t>
      </w:r>
    </w:p>
    <w:p w14:paraId="4251C20C" w14:textId="77777777" w:rsidR="00C469FD" w:rsidRPr="008B275E" w:rsidRDefault="00C469FD" w:rsidP="00C469FD">
      <w:pPr>
        <w:pStyle w:val="NormalWeb"/>
        <w:jc w:val="both"/>
        <w:rPr>
          <w:rFonts w:ascii="Century Gothic" w:hAnsi="Century Gothic"/>
          <w:b/>
          <w:bCs/>
          <w:sz w:val="26"/>
          <w:szCs w:val="26"/>
        </w:rPr>
      </w:pPr>
      <w:r w:rsidRPr="008B275E">
        <w:rPr>
          <w:rFonts w:ascii="Century Gothic" w:hAnsi="Century Gothic"/>
          <w:b/>
          <w:bCs/>
          <w:sz w:val="26"/>
          <w:szCs w:val="26"/>
          <w:lang w:val="es-ES_tradnl"/>
        </w:rPr>
        <w:lastRenderedPageBreak/>
        <w:t>I</w:t>
      </w:r>
      <w:r w:rsidRPr="008B275E">
        <w:rPr>
          <w:rStyle w:val="Textoennegrita"/>
          <w:rFonts w:ascii="Century Gothic" w:eastAsiaTheme="majorEastAsia" w:hAnsi="Century Gothic"/>
          <w:sz w:val="26"/>
          <w:szCs w:val="26"/>
        </w:rPr>
        <w:t>.</w:t>
      </w:r>
      <w:r w:rsidRPr="008B275E">
        <w:rPr>
          <w:rFonts w:ascii="Century Gothic" w:hAnsi="Century Gothic"/>
          <w:b/>
          <w:bCs/>
          <w:sz w:val="26"/>
          <w:szCs w:val="26"/>
        </w:rPr>
        <w:t xml:space="preserve"> Omita proporcionar atención médica durante el embarazo, parto, puerperio o en emergencias obstétricas, cuando exista solicitud expresa de la paciente o una condición clínica evidente que requiera intervención, o bien, retrase injustificadamente dicha atención en contravención de los protocolos médicos aplicables.</w:t>
      </w:r>
    </w:p>
    <w:p w14:paraId="558E1303" w14:textId="77777777" w:rsidR="00C469FD" w:rsidRPr="008B275E" w:rsidRDefault="00C469FD" w:rsidP="00C469FD">
      <w:pPr>
        <w:pStyle w:val="NormalWeb"/>
        <w:jc w:val="both"/>
        <w:rPr>
          <w:rFonts w:ascii="Century Gothic" w:hAnsi="Century Gothic"/>
          <w:b/>
          <w:bCs/>
          <w:sz w:val="26"/>
          <w:szCs w:val="26"/>
        </w:rPr>
      </w:pPr>
      <w:r w:rsidRPr="008B275E">
        <w:rPr>
          <w:rStyle w:val="Textoennegrita"/>
          <w:rFonts w:ascii="Century Gothic" w:eastAsiaTheme="majorEastAsia" w:hAnsi="Century Gothic"/>
          <w:sz w:val="26"/>
          <w:szCs w:val="26"/>
        </w:rPr>
        <w:t>II.</w:t>
      </w:r>
      <w:r w:rsidRPr="008B275E">
        <w:rPr>
          <w:rFonts w:ascii="Century Gothic" w:hAnsi="Century Gothic"/>
          <w:b/>
          <w:bCs/>
          <w:sz w:val="26"/>
          <w:szCs w:val="26"/>
        </w:rPr>
        <w:t xml:space="preserve"> Realice actos u omisiones durante la atención del embarazo, parto o puerperio que impliquen maltrato verbal o psicológico, consistentes en la emisión de insultos, amenazas o expresiones denigrantes directamente dirigidas a la paciente.</w:t>
      </w:r>
    </w:p>
    <w:p w14:paraId="467C2CF6"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III. Altere el proceso natural del parto de bajo riesgo, mediante el uso de técnicas de aceleración, sin obtener el consentimiento voluntario, expreso e informado de la mujer;</w:t>
      </w:r>
    </w:p>
    <w:p w14:paraId="24D5AF29"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IV. No obstante existir condiciones, para el parto natural, practique el parto por vía cesárea, sin obtener el consentimiento voluntario, expreso e informado de la mujer;</w:t>
      </w:r>
    </w:p>
    <w:p w14:paraId="34AD90E9"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 xml:space="preserve">V. Acose o presione psicológica u ofensivamente a una mujer, con el fin de inhibir la libre decisión de su maternidad; </w:t>
      </w:r>
    </w:p>
    <w:p w14:paraId="019D0C65"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 xml:space="preserve">VI. Sin causa medica justificada, obstaculice el apego del niño o la niña con su madre, mediante la negación a ésta de la posibilidad de cargarle o de amamantarle inmediatamente después de nacer </w:t>
      </w:r>
    </w:p>
    <w:p w14:paraId="00F138B1"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VII. Realice o permita la realización de exploraciones, tocamientos o procedimientos íntimos de carácter gineco-obstétrico sobre el cuerpo de una mujer, sin contar con su consentimiento libre, previo, expreso, informado y específico, cuando dichos actos:</w:t>
      </w:r>
    </w:p>
    <w:p w14:paraId="4118820B" w14:textId="77777777" w:rsidR="00C469FD" w:rsidRPr="008B275E" w:rsidRDefault="00C469FD" w:rsidP="00C469FD">
      <w:pPr>
        <w:jc w:val="both"/>
        <w:rPr>
          <w:rFonts w:ascii="Century Gothic" w:hAnsi="Century Gothic"/>
          <w:b/>
          <w:bCs/>
          <w:sz w:val="26"/>
          <w:szCs w:val="26"/>
          <w:lang w:val="es-ES_tradnl"/>
        </w:rPr>
      </w:pPr>
    </w:p>
    <w:p w14:paraId="6441B79F"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lastRenderedPageBreak/>
        <w:t>a) Sean practicados por estudiantes, pasantes, internos, residentes o practicantes, o;</w:t>
      </w:r>
    </w:p>
    <w:p w14:paraId="482E3543"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b) No resulten estrictamente necesarios desde el punto de vista clínico, o;</w:t>
      </w:r>
    </w:p>
    <w:p w14:paraId="2FBE37C3"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c) Se realicen por más personas de las indispensables para la atención médica, o;</w:t>
      </w:r>
    </w:p>
    <w:p w14:paraId="2F6E0750"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d) Se lleven a cabo sin identificación clara del personal que los ejecuta, o;</w:t>
      </w:r>
    </w:p>
    <w:p w14:paraId="50C797C9" w14:textId="685C856D"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e)</w:t>
      </w:r>
      <w:r w:rsidRPr="008B275E">
        <w:rPr>
          <w:rFonts w:ascii="Century Gothic" w:hAnsi="Century Gothic"/>
          <w:b/>
          <w:bCs/>
          <w:sz w:val="26"/>
          <w:szCs w:val="26"/>
        </w:rPr>
        <w:t xml:space="preserve"> </w:t>
      </w:r>
      <w:r w:rsidRPr="008B275E">
        <w:rPr>
          <w:rFonts w:ascii="Century Gothic" w:hAnsi="Century Gothic"/>
          <w:b/>
          <w:bCs/>
          <w:sz w:val="26"/>
          <w:szCs w:val="26"/>
          <w:lang w:val="es-ES_tradnl"/>
        </w:rPr>
        <w:t>Se efectúen con fines de enseñanza, adiestramiento o práctica.</w:t>
      </w:r>
    </w:p>
    <w:p w14:paraId="1416CEC4"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VIII. Instalare, suministrare, aplicare o utilizare equipos, instrumentos, sustancias, dispositivos o procedimientos destinados a inhibir, impedir o alterar la capacidad reproductiva, el embarazo o la procreación familiar sin el consentimiento libre, previo, expreso e informado de la mujer;</w:t>
      </w:r>
    </w:p>
    <w:p w14:paraId="4A06F963"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IX. Realizare, ordenare, autorizare o consintiere la realización de cirugías, tratamientos médicos o procedimientos clínicos que impidan o anulen la maternidad, tales como el ligamiento de trompas, salpingoclasia, de manera enunciativa, pero no exclusiva   sin el consentimiento expreso, informado y voluntario de la mujer.</w:t>
      </w:r>
    </w:p>
    <w:p w14:paraId="089A300C"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 xml:space="preserve">X. Se niegue o busque negar la presencia de un intérprete o traductor en los casos que por pertinencia cultural sea necesario. </w:t>
      </w:r>
    </w:p>
    <w:p w14:paraId="1E31F11C" w14:textId="77777777" w:rsidR="00C469FD" w:rsidRPr="008B275E"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 xml:space="preserve">XI. Brinde información poco clara o incompleta a la mujer embarazada o a sus familiares, en cualquier etapa del embarazo. </w:t>
      </w:r>
    </w:p>
    <w:p w14:paraId="7CFB9436" w14:textId="77777777" w:rsidR="00C469FD" w:rsidRDefault="00C469FD" w:rsidP="00C469FD">
      <w:pPr>
        <w:jc w:val="both"/>
        <w:rPr>
          <w:rFonts w:ascii="Century Gothic" w:hAnsi="Century Gothic"/>
          <w:b/>
          <w:bCs/>
          <w:sz w:val="26"/>
          <w:szCs w:val="26"/>
          <w:lang w:val="es-ES_tradnl"/>
        </w:rPr>
      </w:pPr>
      <w:r w:rsidRPr="008B275E">
        <w:rPr>
          <w:rFonts w:ascii="Century Gothic" w:hAnsi="Century Gothic"/>
          <w:b/>
          <w:bCs/>
          <w:sz w:val="26"/>
          <w:szCs w:val="26"/>
          <w:lang w:val="es-ES_tradnl"/>
        </w:rPr>
        <w:t xml:space="preserve">XII. Acosare, presionare, intimidare, amenazare o ejerciere violencia psicológica u ofensiva contra una mujer, con el fin de inhibir, </w:t>
      </w:r>
      <w:r w:rsidRPr="008B275E">
        <w:rPr>
          <w:rFonts w:ascii="Century Gothic" w:hAnsi="Century Gothic"/>
          <w:b/>
          <w:bCs/>
          <w:sz w:val="26"/>
          <w:szCs w:val="26"/>
          <w:lang w:val="es-ES_tradnl"/>
        </w:rPr>
        <w:lastRenderedPageBreak/>
        <w:t>condicionar o anular su libre decisión respecto de la maternidad, el embarazo o la procreación;</w:t>
      </w:r>
    </w:p>
    <w:p w14:paraId="5A71E20A"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A quien cometa este delito se le impondrá</w:t>
      </w:r>
      <w:r>
        <w:rPr>
          <w:rFonts w:ascii="Century Gothic" w:hAnsi="Century Gothic"/>
          <w:b/>
          <w:bCs/>
          <w:sz w:val="26"/>
          <w:szCs w:val="26"/>
        </w:rPr>
        <w:t>n</w:t>
      </w:r>
      <w:r w:rsidRPr="008B275E">
        <w:rPr>
          <w:rFonts w:ascii="Century Gothic" w:hAnsi="Century Gothic"/>
          <w:b/>
          <w:bCs/>
          <w:sz w:val="26"/>
          <w:szCs w:val="26"/>
        </w:rPr>
        <w:t>:</w:t>
      </w:r>
    </w:p>
    <w:p w14:paraId="5DF96E3A" w14:textId="77777777" w:rsidR="00C469FD" w:rsidRDefault="00C469FD" w:rsidP="00C469FD">
      <w:pPr>
        <w:pStyle w:val="Prrafodelista"/>
        <w:numPr>
          <w:ilvl w:val="0"/>
          <w:numId w:val="6"/>
        </w:numPr>
        <w:spacing w:before="100" w:beforeAutospacing="1" w:after="100" w:afterAutospacing="1"/>
        <w:jc w:val="both"/>
        <w:rPr>
          <w:rFonts w:ascii="Century Gothic" w:hAnsi="Century Gothic"/>
          <w:b/>
          <w:bCs/>
          <w:sz w:val="26"/>
          <w:szCs w:val="26"/>
        </w:rPr>
      </w:pPr>
      <w:r w:rsidRPr="0094566E">
        <w:rPr>
          <w:rFonts w:ascii="Century Gothic" w:hAnsi="Century Gothic"/>
          <w:b/>
          <w:bCs/>
          <w:sz w:val="26"/>
          <w:szCs w:val="26"/>
        </w:rPr>
        <w:t xml:space="preserve">De dos a cinco años de prisión, </w:t>
      </w:r>
    </w:p>
    <w:p w14:paraId="450683AF" w14:textId="77777777" w:rsidR="00C469FD" w:rsidRPr="0094566E" w:rsidRDefault="00C469FD" w:rsidP="00C469FD">
      <w:pPr>
        <w:pStyle w:val="Prrafodelista"/>
        <w:numPr>
          <w:ilvl w:val="0"/>
          <w:numId w:val="6"/>
        </w:numPr>
        <w:spacing w:before="100" w:beforeAutospacing="1" w:after="100" w:afterAutospacing="1"/>
        <w:jc w:val="both"/>
        <w:rPr>
          <w:rFonts w:ascii="Century Gothic" w:hAnsi="Century Gothic"/>
          <w:b/>
          <w:bCs/>
          <w:sz w:val="26"/>
          <w:szCs w:val="26"/>
        </w:rPr>
      </w:pPr>
      <w:r w:rsidRPr="0094566E">
        <w:rPr>
          <w:rFonts w:ascii="Century Gothic" w:hAnsi="Century Gothic"/>
          <w:b/>
          <w:bCs/>
          <w:sz w:val="26"/>
          <w:szCs w:val="26"/>
        </w:rPr>
        <w:t xml:space="preserve">De cien a trescientos días multa, y </w:t>
      </w:r>
    </w:p>
    <w:p w14:paraId="25F69789" w14:textId="77777777" w:rsidR="00C469FD" w:rsidRPr="00D039EC"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 xml:space="preserve">Inhabilitación de dos a cinco años para ejercer profesión, cargo o actividad relacionada con la prestación de servicios de salud. </w:t>
      </w:r>
    </w:p>
    <w:p w14:paraId="002016C6"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Las penas se aumentarán hasta en una mitad cuando:</w:t>
      </w:r>
    </w:p>
    <w:p w14:paraId="6A165FA7" w14:textId="77777777" w:rsidR="00C469FD" w:rsidRPr="008B275E" w:rsidRDefault="00C469FD" w:rsidP="00C469FD">
      <w:pPr>
        <w:spacing w:before="100" w:beforeAutospacing="1" w:after="100" w:afterAutospacing="1"/>
        <w:jc w:val="both"/>
        <w:rPr>
          <w:rFonts w:ascii="Century Gothic" w:hAnsi="Century Gothic"/>
          <w:b/>
          <w:bCs/>
          <w:sz w:val="26"/>
          <w:szCs w:val="26"/>
        </w:rPr>
      </w:pPr>
      <w:r>
        <w:rPr>
          <w:rFonts w:ascii="Century Gothic" w:hAnsi="Century Gothic"/>
          <w:b/>
          <w:bCs/>
          <w:sz w:val="26"/>
          <w:szCs w:val="26"/>
        </w:rPr>
        <w:t xml:space="preserve">I. </w:t>
      </w:r>
      <w:r w:rsidRPr="008B275E">
        <w:rPr>
          <w:rFonts w:ascii="Century Gothic" w:hAnsi="Century Gothic"/>
          <w:b/>
          <w:bCs/>
          <w:sz w:val="26"/>
          <w:szCs w:val="26"/>
        </w:rPr>
        <w:t>La conducta se realice:</w:t>
      </w:r>
    </w:p>
    <w:p w14:paraId="77606C92"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 xml:space="preserve">a) Mediante abuso de poder, engaño o coerción, o </w:t>
      </w:r>
    </w:p>
    <w:p w14:paraId="493222A3"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 xml:space="preserve">b) Aprovechándose de una condición de vulnerabilidad de la víctima debidamente acreditada; </w:t>
      </w:r>
    </w:p>
    <w:p w14:paraId="23679BF6"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II. La víctima se encuentre en trabajo de parto activo, bajo efectos de sedación, analgesia o en cualquier condición que limite su capacidad real de decisión;</w:t>
      </w:r>
    </w:p>
    <w:p w14:paraId="58D6F08D"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III. El sujeto activo tenga una relación de confianza, parentesco, o posición de autoridad, jerarquía o supervisión respecto de la víctima o de otros integrantes del personal de salud;</w:t>
      </w:r>
    </w:p>
    <w:p w14:paraId="48D7364D"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IV. Los actos se realicen de manera reiterada o sistemática;</w:t>
      </w:r>
    </w:p>
    <w:p w14:paraId="034B0317"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V. Que como resultado de la conducta:</w:t>
      </w:r>
    </w:p>
    <w:p w14:paraId="6FC23809"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lastRenderedPageBreak/>
        <w:t xml:space="preserve">a) Se cause daño físico o psicológico, </w:t>
      </w:r>
    </w:p>
    <w:p w14:paraId="08EC9155"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 xml:space="preserve">b) Se produzca una afectación permanente o irreversible a la capacidad reproductiva, o </w:t>
      </w:r>
    </w:p>
    <w:p w14:paraId="76902F09" w14:textId="77777777" w:rsidR="00C469FD" w:rsidRPr="008B275E"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 xml:space="preserve">c) Se ponga en riesgo la vida de la mujer o del producto; </w:t>
      </w:r>
    </w:p>
    <w:p w14:paraId="14695F36" w14:textId="77777777" w:rsidR="00C469FD" w:rsidRDefault="00C469FD" w:rsidP="00C469FD">
      <w:pPr>
        <w:spacing w:before="100" w:beforeAutospacing="1" w:after="100" w:afterAutospacing="1"/>
        <w:jc w:val="both"/>
        <w:rPr>
          <w:rFonts w:ascii="Century Gothic" w:hAnsi="Century Gothic"/>
          <w:b/>
          <w:bCs/>
          <w:sz w:val="26"/>
          <w:szCs w:val="26"/>
        </w:rPr>
      </w:pPr>
      <w:r w:rsidRPr="008B275E">
        <w:rPr>
          <w:rFonts w:ascii="Century Gothic" w:hAnsi="Century Gothic"/>
          <w:b/>
          <w:bCs/>
          <w:sz w:val="26"/>
          <w:szCs w:val="26"/>
        </w:rPr>
        <w:t xml:space="preserve">VI. Los hechos deriven en la muerte materno-fetal. </w:t>
      </w:r>
    </w:p>
    <w:p w14:paraId="29766685" w14:textId="77777777" w:rsidR="00C469FD" w:rsidRPr="0094566E" w:rsidRDefault="00C469FD" w:rsidP="00C469FD">
      <w:pPr>
        <w:spacing w:before="100" w:beforeAutospacing="1" w:after="100" w:afterAutospacing="1"/>
        <w:jc w:val="both"/>
        <w:rPr>
          <w:rFonts w:ascii="Century Gothic" w:hAnsi="Century Gothic"/>
          <w:b/>
          <w:bCs/>
          <w:sz w:val="26"/>
          <w:szCs w:val="26"/>
        </w:rPr>
      </w:pPr>
    </w:p>
    <w:p w14:paraId="3E47D63B" w14:textId="77777777" w:rsidR="00C469FD" w:rsidRPr="00430480" w:rsidRDefault="00C469FD" w:rsidP="00C469FD">
      <w:pPr>
        <w:pStyle w:val="NormalWeb"/>
        <w:spacing w:line="360" w:lineRule="auto"/>
        <w:ind w:firstLine="708"/>
        <w:jc w:val="center"/>
        <w:rPr>
          <w:rFonts w:ascii="Century Gothic" w:hAnsi="Century Gothic" w:cs="Arial"/>
          <w:b/>
          <w:sz w:val="26"/>
          <w:szCs w:val="26"/>
        </w:rPr>
      </w:pPr>
      <w:r w:rsidRPr="00430480">
        <w:rPr>
          <w:rFonts w:ascii="Century Gothic" w:hAnsi="Century Gothic" w:cs="Arial"/>
          <w:b/>
          <w:sz w:val="26"/>
          <w:szCs w:val="26"/>
        </w:rPr>
        <w:t>TRANSITORIOS</w:t>
      </w:r>
    </w:p>
    <w:p w14:paraId="64F26E12" w14:textId="77777777" w:rsidR="00C469FD" w:rsidRPr="00430480" w:rsidRDefault="00C469FD" w:rsidP="00C469FD">
      <w:pPr>
        <w:pStyle w:val="NormalWeb"/>
        <w:spacing w:line="360" w:lineRule="auto"/>
        <w:ind w:firstLine="708"/>
        <w:jc w:val="both"/>
        <w:rPr>
          <w:rFonts w:ascii="Century Gothic" w:hAnsi="Century Gothic" w:cs="Arial"/>
          <w:sz w:val="26"/>
          <w:szCs w:val="26"/>
        </w:rPr>
      </w:pPr>
      <w:r w:rsidRPr="00430480">
        <w:rPr>
          <w:rFonts w:ascii="Century Gothic" w:hAnsi="Century Gothic" w:cs="Arial"/>
          <w:b/>
          <w:sz w:val="26"/>
          <w:szCs w:val="26"/>
        </w:rPr>
        <w:t xml:space="preserve">ÚNICO. - </w:t>
      </w:r>
      <w:r w:rsidRPr="00430480">
        <w:rPr>
          <w:rFonts w:ascii="Century Gothic" w:hAnsi="Century Gothic" w:cs="Arial"/>
          <w:sz w:val="26"/>
          <w:szCs w:val="26"/>
        </w:rPr>
        <w:t>El presente Decreto entrará en vigor al día siguiente de su publicación en el Periódico Oficial del Estado.</w:t>
      </w:r>
    </w:p>
    <w:p w14:paraId="4375A42C" w14:textId="2BEF8602" w:rsidR="00C469FD" w:rsidRPr="00430480" w:rsidRDefault="00C469FD" w:rsidP="00C469FD">
      <w:pPr>
        <w:pStyle w:val="NormalWeb"/>
        <w:spacing w:line="360" w:lineRule="auto"/>
        <w:ind w:firstLine="708"/>
        <w:jc w:val="both"/>
        <w:rPr>
          <w:rFonts w:ascii="Century Gothic" w:hAnsi="Century Gothic" w:cs="Arial"/>
          <w:b/>
          <w:sz w:val="26"/>
          <w:szCs w:val="26"/>
        </w:rPr>
      </w:pPr>
      <w:r w:rsidRPr="00430480">
        <w:rPr>
          <w:rFonts w:ascii="Century Gothic" w:hAnsi="Century Gothic" w:cs="Arial"/>
          <w:sz w:val="26"/>
          <w:szCs w:val="26"/>
        </w:rPr>
        <w:t xml:space="preserve">Dado en el H. Congreso del Estado de Chihuahua a los </w:t>
      </w:r>
      <w:r w:rsidR="003812F5">
        <w:rPr>
          <w:rFonts w:ascii="Century Gothic" w:hAnsi="Century Gothic" w:cs="Arial"/>
          <w:sz w:val="26"/>
          <w:szCs w:val="26"/>
        </w:rPr>
        <w:t>cinco</w:t>
      </w:r>
      <w:r w:rsidRPr="00430480">
        <w:rPr>
          <w:rFonts w:ascii="Century Gothic" w:hAnsi="Century Gothic" w:cs="Arial"/>
          <w:sz w:val="26"/>
          <w:szCs w:val="26"/>
        </w:rPr>
        <w:t xml:space="preserve"> dias del mes de </w:t>
      </w:r>
      <w:r>
        <w:rPr>
          <w:rFonts w:ascii="Century Gothic" w:hAnsi="Century Gothic" w:cs="Arial"/>
          <w:sz w:val="26"/>
          <w:szCs w:val="26"/>
        </w:rPr>
        <w:t xml:space="preserve">junio </w:t>
      </w:r>
      <w:r w:rsidRPr="00430480">
        <w:rPr>
          <w:rFonts w:ascii="Century Gothic" w:hAnsi="Century Gothic" w:cs="Arial"/>
          <w:sz w:val="26"/>
          <w:szCs w:val="26"/>
        </w:rPr>
        <w:t xml:space="preserve">del 2026. </w:t>
      </w:r>
    </w:p>
    <w:p w14:paraId="1327FA96" w14:textId="77777777" w:rsidR="00C469FD" w:rsidRPr="00CE32C4" w:rsidRDefault="00C469FD" w:rsidP="00C469FD">
      <w:pPr>
        <w:pStyle w:val="NormalWeb"/>
        <w:spacing w:after="0" w:afterAutospacing="0" w:line="360" w:lineRule="auto"/>
        <w:jc w:val="both"/>
        <w:rPr>
          <w:rFonts w:ascii="Arial" w:hAnsi="Arial" w:cs="Arial"/>
          <w:b/>
        </w:rPr>
      </w:pPr>
    </w:p>
    <w:p w14:paraId="46B8DAF1" w14:textId="5D98E778" w:rsidR="00C469FD" w:rsidRDefault="00C469FD" w:rsidP="00C469FD">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SUSCRIB</w:t>
      </w:r>
      <w:r>
        <w:rPr>
          <w:rFonts w:ascii="Century Gothic" w:eastAsia="Century Gothic" w:hAnsi="Century Gothic" w:cs="Century Gothic"/>
          <w:b/>
          <w:sz w:val="24"/>
          <w:szCs w:val="24"/>
        </w:rPr>
        <w:t>E</w:t>
      </w:r>
    </w:p>
    <w:p w14:paraId="40D7DBE3" w14:textId="77777777" w:rsidR="00C469FD" w:rsidRDefault="00C469FD" w:rsidP="00C469FD">
      <w:pPr>
        <w:spacing w:after="0" w:line="360" w:lineRule="auto"/>
        <w:jc w:val="center"/>
        <w:rPr>
          <w:rFonts w:ascii="Century Gothic" w:eastAsia="Century Gothic" w:hAnsi="Century Gothic" w:cs="Century Gothic"/>
          <w:b/>
          <w:sz w:val="24"/>
          <w:szCs w:val="24"/>
        </w:rPr>
      </w:pPr>
    </w:p>
    <w:p w14:paraId="18999967" w14:textId="77777777" w:rsidR="00C469FD" w:rsidRDefault="00C469FD" w:rsidP="00C469FD">
      <w:pPr>
        <w:spacing w:after="0" w:line="360" w:lineRule="auto"/>
        <w:jc w:val="center"/>
        <w:rPr>
          <w:rFonts w:ascii="Century Gothic" w:eastAsia="Century Gothic" w:hAnsi="Century Gothic" w:cs="Century Gothic"/>
          <w:b/>
          <w:sz w:val="24"/>
          <w:szCs w:val="24"/>
        </w:rPr>
      </w:pPr>
    </w:p>
    <w:p w14:paraId="3CB43262" w14:textId="77777777" w:rsidR="00C469FD" w:rsidRPr="00B02045" w:rsidRDefault="00C469FD" w:rsidP="00C469FD">
      <w:pPr>
        <w:spacing w:after="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JOCELINE VEGA VARGAS</w:t>
      </w:r>
    </w:p>
    <w:p w14:paraId="16731787" w14:textId="7789948D" w:rsidR="00DF0E6E" w:rsidRPr="00C469FD" w:rsidRDefault="00C469FD" w:rsidP="00C469FD">
      <w:pPr>
        <w:spacing w:line="360" w:lineRule="auto"/>
        <w:rPr>
          <w:rFonts w:ascii="Century Gothic" w:eastAsia="Century Gothic" w:hAnsi="Century Gothic" w:cs="Century Gothic"/>
          <w:b/>
          <w:sz w:val="26"/>
          <w:szCs w:val="26"/>
          <w:lang w:val="es-ES_tradnl"/>
        </w:rPr>
      </w:pPr>
      <w:r w:rsidRPr="00C935B8">
        <w:rPr>
          <w:rFonts w:ascii="Century Gothic" w:hAnsi="Century Gothic"/>
          <w:noProof/>
          <w:sz w:val="24"/>
          <w:szCs w:val="24"/>
          <w:lang w:val="en-US" w:eastAsia="en-US"/>
        </w:rPr>
        <mc:AlternateContent>
          <mc:Choice Requires="wps">
            <w:drawing>
              <wp:anchor distT="45720" distB="45720" distL="114300" distR="114300" simplePos="0" relativeHeight="251659264" behindDoc="1" locked="0" layoutInCell="1" hidden="0" allowOverlap="1" wp14:anchorId="7414E1AD" wp14:editId="55D3DF32">
                <wp:simplePos x="0" y="0"/>
                <wp:positionH relativeFrom="column">
                  <wp:posOffset>-122192</wp:posOffset>
                </wp:positionH>
                <wp:positionV relativeFrom="paragraph">
                  <wp:posOffset>321038</wp:posOffset>
                </wp:positionV>
                <wp:extent cx="6113780" cy="333828"/>
                <wp:effectExtent l="0" t="0" r="7620" b="9525"/>
                <wp:wrapNone/>
                <wp:docPr id="1060504539" name="Rectángulo 1060504539"/>
                <wp:cNvGraphicFramePr/>
                <a:graphic xmlns:a="http://schemas.openxmlformats.org/drawingml/2006/main">
                  <a:graphicData uri="http://schemas.microsoft.com/office/word/2010/wordprocessingShape">
                    <wps:wsp>
                      <wps:cNvSpPr/>
                      <wps:spPr>
                        <a:xfrm>
                          <a:off x="0" y="0"/>
                          <a:ext cx="6113780" cy="3338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3E7C5D" w14:textId="01674012" w:rsidR="00C469FD" w:rsidRPr="003A35C3" w:rsidRDefault="00C469FD" w:rsidP="00C469FD">
                            <w:pPr>
                              <w:spacing w:line="258" w:lineRule="auto"/>
                              <w:jc w:val="both"/>
                              <w:textDirection w:val="btLr"/>
                              <w:rPr>
                                <w:rFonts w:ascii="Century Gothic" w:hAnsi="Century Gothic"/>
                                <w:b/>
                                <w:bCs/>
                                <w:sz w:val="14"/>
                                <w:szCs w:val="14"/>
                              </w:rPr>
                            </w:pPr>
                            <w:r w:rsidRPr="003A35C3">
                              <w:rPr>
                                <w:rFonts w:ascii="Century Gothic" w:eastAsia="Century Gothic" w:hAnsi="Century Gothic" w:cs="Century Gothic"/>
                                <w:b/>
                                <w:color w:val="000000"/>
                                <w:sz w:val="14"/>
                                <w:szCs w:val="14"/>
                              </w:rPr>
                              <w:t xml:space="preserve">LA PRESENTE HOJA DE FIRMAS CORRESPONDE A LA INICIATIVA CON PROYECTO DE DECRETO MEDIANTE EL CUAL </w:t>
                            </w:r>
                            <w:r w:rsidRPr="003A35C3">
                              <w:rPr>
                                <w:rFonts w:ascii="Century Gothic" w:hAnsi="Century Gothic"/>
                                <w:b/>
                                <w:bCs/>
                                <w:sz w:val="14"/>
                                <w:szCs w:val="14"/>
                              </w:rPr>
                              <w:t xml:space="preserve">SE </w:t>
                            </w:r>
                            <w:r>
                              <w:rPr>
                                <w:rFonts w:ascii="Century Gothic" w:hAnsi="Century Gothic"/>
                                <w:b/>
                                <w:bCs/>
                                <w:sz w:val="14"/>
                                <w:szCs w:val="14"/>
                              </w:rPr>
                              <w:t xml:space="preserve">REFORMA EL ARTICULO 201 DEL CODIGO PENAL DEL ESTADO DE CHIHUAHUA PRESENTADA EL </w:t>
                            </w:r>
                            <w:r w:rsidR="003812F5">
                              <w:rPr>
                                <w:rFonts w:ascii="Century Gothic" w:hAnsi="Century Gothic"/>
                                <w:b/>
                                <w:bCs/>
                                <w:sz w:val="14"/>
                                <w:szCs w:val="14"/>
                              </w:rPr>
                              <w:t>CINCO</w:t>
                            </w:r>
                            <w:r>
                              <w:rPr>
                                <w:rFonts w:ascii="Century Gothic" w:hAnsi="Century Gothic"/>
                                <w:b/>
                                <w:bCs/>
                                <w:sz w:val="14"/>
                                <w:szCs w:val="14"/>
                              </w:rPr>
                              <w:t xml:space="preserve"> DE JUNIO DEL 2026. </w:t>
                            </w:r>
                          </w:p>
                          <w:p w14:paraId="7035D47F" w14:textId="77777777" w:rsidR="00C469FD" w:rsidRPr="003A35C3" w:rsidRDefault="00C469FD" w:rsidP="00C469FD">
                            <w:pPr>
                              <w:spacing w:line="258" w:lineRule="auto"/>
                              <w:jc w:val="both"/>
                              <w:textDirection w:val="btLr"/>
                              <w:rPr>
                                <w:rFonts w:ascii="Century Gothic" w:hAnsi="Century Gothic"/>
                                <w:b/>
                                <w:sz w:val="14"/>
                                <w:szCs w:val="14"/>
                              </w:rPr>
                            </w:pPr>
                          </w:p>
                          <w:p w14:paraId="5C260EBC" w14:textId="77777777" w:rsidR="00C469FD" w:rsidRPr="003A35C3" w:rsidRDefault="00C469FD" w:rsidP="00C469FD">
                            <w:pPr>
                              <w:spacing w:line="258" w:lineRule="auto"/>
                              <w:jc w:val="both"/>
                              <w:textDirection w:val="btLr"/>
                              <w:rPr>
                                <w:rFonts w:ascii="Century Gothic" w:hAnsi="Century Gothic"/>
                                <w:b/>
                                <w:sz w:val="14"/>
                                <w:szCs w:val="14"/>
                              </w:rPr>
                            </w:pPr>
                          </w:p>
                          <w:p w14:paraId="3B103337" w14:textId="77777777" w:rsidR="00C469FD" w:rsidRPr="003A35C3" w:rsidRDefault="00C469FD" w:rsidP="00C469FD">
                            <w:pPr>
                              <w:spacing w:line="258" w:lineRule="auto"/>
                              <w:jc w:val="both"/>
                              <w:textDirection w:val="btLr"/>
                              <w:rPr>
                                <w:rFonts w:ascii="Century Gothic" w:hAnsi="Century Gothic"/>
                                <w:b/>
                                <w:sz w:val="14"/>
                                <w:szCs w:val="1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14E1AD" id="Rectángulo 1060504539" o:spid="_x0000_s1026" style="position:absolute;margin-left:-9.6pt;margin-top:25.3pt;width:481.4pt;height:2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">
                <v:stroke startarrowwidth="narrow" startarrowlength="short" endarrowwidth="narrow" endarrowlength="short"/>
                <v:textbox inset="2.53958mm,1.2694mm,2.53958mm,1.2694mm">
                  <w:txbxContent>
                    <w:p w14:paraId="583E7C5D" w14:textId="01674012" w:rsidR="00C469FD" w:rsidRPr="003A35C3" w:rsidRDefault="00C469FD" w:rsidP="00C469FD">
                      <w:pPr>
                        <w:spacing w:line="258" w:lineRule="auto"/>
                        <w:jc w:val="both"/>
                        <w:textDirection w:val="btLr"/>
                        <w:rPr>
                          <w:rFonts w:ascii="Century Gothic" w:hAnsi="Century Gothic"/>
                          <w:b/>
                          <w:bCs/>
                          <w:sz w:val="14"/>
                          <w:szCs w:val="14"/>
                        </w:rPr>
                      </w:pPr>
                      <w:r w:rsidRPr="003A35C3">
                        <w:rPr>
                          <w:rFonts w:ascii="Century Gothic" w:eastAsia="Century Gothic" w:hAnsi="Century Gothic" w:cs="Century Gothic"/>
                          <w:b/>
                          <w:color w:val="000000"/>
                          <w:sz w:val="14"/>
                          <w:szCs w:val="14"/>
                        </w:rPr>
                        <w:t xml:space="preserve">LA PRESENTE HOJA DE FIRMAS CORRESPONDE A LA INICIATIVA CON PROYECTO DE DECRETO MEDIANTE EL CUAL </w:t>
                      </w:r>
                      <w:r w:rsidRPr="003A35C3">
                        <w:rPr>
                          <w:rFonts w:ascii="Century Gothic" w:hAnsi="Century Gothic"/>
                          <w:b/>
                          <w:bCs/>
                          <w:sz w:val="14"/>
                          <w:szCs w:val="14"/>
                        </w:rPr>
                        <w:t xml:space="preserve">SE </w:t>
                      </w:r>
                      <w:r>
                        <w:rPr>
                          <w:rFonts w:ascii="Century Gothic" w:hAnsi="Century Gothic"/>
                          <w:b/>
                          <w:bCs/>
                          <w:sz w:val="14"/>
                          <w:szCs w:val="14"/>
                        </w:rPr>
                        <w:t xml:space="preserve">REFORMA EL ARTICULO 201 DEL CODIGO PENAL DEL ESTADO DE CHIHUAHUA PRESENTADA EL </w:t>
                      </w:r>
                      <w:r w:rsidR="003812F5">
                        <w:rPr>
                          <w:rFonts w:ascii="Century Gothic" w:hAnsi="Century Gothic"/>
                          <w:b/>
                          <w:bCs/>
                          <w:sz w:val="14"/>
                          <w:szCs w:val="14"/>
                        </w:rPr>
                        <w:t>CINCO</w:t>
                      </w:r>
                      <w:r>
                        <w:rPr>
                          <w:rFonts w:ascii="Century Gothic" w:hAnsi="Century Gothic"/>
                          <w:b/>
                          <w:bCs/>
                          <w:sz w:val="14"/>
                          <w:szCs w:val="14"/>
                        </w:rPr>
                        <w:t xml:space="preserve"> DE JUNIO DEL 2026. </w:t>
                      </w:r>
                    </w:p>
                    <w:p w14:paraId="7035D47F" w14:textId="77777777" w:rsidR="00C469FD" w:rsidRPr="003A35C3" w:rsidRDefault="00C469FD" w:rsidP="00C469FD">
                      <w:pPr>
                        <w:spacing w:line="258" w:lineRule="auto"/>
                        <w:jc w:val="both"/>
                        <w:textDirection w:val="btLr"/>
                        <w:rPr>
                          <w:rFonts w:ascii="Century Gothic" w:hAnsi="Century Gothic"/>
                          <w:b/>
                          <w:sz w:val="14"/>
                          <w:szCs w:val="14"/>
                        </w:rPr>
                      </w:pPr>
                    </w:p>
                    <w:p w14:paraId="5C260EBC" w14:textId="77777777" w:rsidR="00C469FD" w:rsidRPr="003A35C3" w:rsidRDefault="00C469FD" w:rsidP="00C469FD">
                      <w:pPr>
                        <w:spacing w:line="258" w:lineRule="auto"/>
                        <w:jc w:val="both"/>
                        <w:textDirection w:val="btLr"/>
                        <w:rPr>
                          <w:rFonts w:ascii="Century Gothic" w:hAnsi="Century Gothic"/>
                          <w:b/>
                          <w:sz w:val="14"/>
                          <w:szCs w:val="14"/>
                        </w:rPr>
                      </w:pPr>
                    </w:p>
                    <w:p w14:paraId="3B103337" w14:textId="77777777" w:rsidR="00C469FD" w:rsidRPr="003A35C3" w:rsidRDefault="00C469FD" w:rsidP="00C469FD">
                      <w:pPr>
                        <w:spacing w:line="258" w:lineRule="auto"/>
                        <w:jc w:val="both"/>
                        <w:textDirection w:val="btLr"/>
                        <w:rPr>
                          <w:rFonts w:ascii="Century Gothic" w:hAnsi="Century Gothic"/>
                          <w:b/>
                          <w:sz w:val="14"/>
                          <w:szCs w:val="14"/>
                        </w:rPr>
                      </w:pPr>
                    </w:p>
                  </w:txbxContent>
                </v:textbox>
              </v:rect>
            </w:pict>
          </mc:Fallback>
        </mc:AlternateContent>
      </w:r>
    </w:p>
    <w:sectPr w:rsidR="00DF0E6E" w:rsidRPr="00C469FD" w:rsidSect="007145D7">
      <w:headerReference w:type="default" r:id="rId8"/>
      <w:footerReference w:type="even" r:id="rId9"/>
      <w:footerReference w:type="default" r:id="rId10"/>
      <w:pgSz w:w="12240" w:h="15840"/>
      <w:pgMar w:top="3969"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F3DD" w14:textId="77777777" w:rsidR="00AB332D" w:rsidRDefault="00AB332D">
      <w:pPr>
        <w:spacing w:after="0" w:line="240" w:lineRule="auto"/>
      </w:pPr>
      <w:r>
        <w:separator/>
      </w:r>
    </w:p>
  </w:endnote>
  <w:endnote w:type="continuationSeparator" w:id="0">
    <w:p w14:paraId="59525E0A" w14:textId="77777777" w:rsidR="00AB332D" w:rsidRDefault="00AB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87691684"/>
      <w:docPartObj>
        <w:docPartGallery w:val="Page Numbers (Bottom of Page)"/>
        <w:docPartUnique/>
      </w:docPartObj>
    </w:sdtPr>
    <w:sdtEndPr>
      <w:rPr>
        <w:rStyle w:val="Nmerodepgina"/>
      </w:rPr>
    </w:sdtEndPr>
    <w:sdtContent>
      <w:p w14:paraId="1DFE9CAB" w14:textId="151CC3BC" w:rsidR="00DF0E6E" w:rsidRDefault="00DF0E6E" w:rsidP="00A1143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1137E9">
          <w:rPr>
            <w:rStyle w:val="Nmerodepgina"/>
          </w:rPr>
          <w:fldChar w:fldCharType="separate"/>
        </w:r>
        <w:r>
          <w:rPr>
            <w:rStyle w:val="Nmerodepgina"/>
          </w:rPr>
          <w:fldChar w:fldCharType="end"/>
        </w:r>
      </w:p>
    </w:sdtContent>
  </w:sdt>
  <w:p w14:paraId="4077065A" w14:textId="77777777" w:rsidR="00DF0E6E" w:rsidRDefault="00DF0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2833958"/>
      <w:docPartObj>
        <w:docPartGallery w:val="Page Numbers (Bottom of Page)"/>
        <w:docPartUnique/>
      </w:docPartObj>
    </w:sdtPr>
    <w:sdtEndPr>
      <w:rPr>
        <w:rStyle w:val="Nmerodepgina"/>
      </w:rPr>
    </w:sdtEndPr>
    <w:sdtContent>
      <w:p w14:paraId="671C9F91" w14:textId="4F84690A" w:rsidR="00DF0E6E" w:rsidRDefault="00DF0E6E" w:rsidP="00A1143B">
        <w:pPr>
          <w:pStyle w:val="Piedepgina"/>
          <w:framePr w:wrap="none" w:vAnchor="text" w:hAnchor="margin" w:xAlign="center" w:y="1"/>
          <w:rPr>
            <w:rStyle w:val="Nmerodepgina"/>
          </w:rPr>
        </w:pPr>
        <w:r w:rsidRPr="00DF0E6E">
          <w:rPr>
            <w:rStyle w:val="Nmerodepgina"/>
            <w:rFonts w:ascii="Century Gothic" w:hAnsi="Century Gothic"/>
            <w:sz w:val="26"/>
            <w:szCs w:val="26"/>
          </w:rPr>
          <w:fldChar w:fldCharType="begin"/>
        </w:r>
        <w:r w:rsidRPr="00DF0E6E">
          <w:rPr>
            <w:rStyle w:val="Nmerodepgina"/>
            <w:rFonts w:ascii="Century Gothic" w:hAnsi="Century Gothic"/>
            <w:sz w:val="26"/>
            <w:szCs w:val="26"/>
          </w:rPr>
          <w:instrText xml:space="preserve"> PAGE </w:instrText>
        </w:r>
        <w:r w:rsidRPr="00DF0E6E">
          <w:rPr>
            <w:rStyle w:val="Nmerodepgina"/>
            <w:rFonts w:ascii="Century Gothic" w:hAnsi="Century Gothic"/>
            <w:sz w:val="26"/>
            <w:szCs w:val="26"/>
          </w:rPr>
          <w:fldChar w:fldCharType="separate"/>
        </w:r>
        <w:r w:rsidRPr="00DF0E6E">
          <w:rPr>
            <w:rStyle w:val="Nmerodepgina"/>
            <w:rFonts w:ascii="Century Gothic" w:hAnsi="Century Gothic"/>
            <w:noProof/>
            <w:sz w:val="26"/>
            <w:szCs w:val="26"/>
          </w:rPr>
          <w:t>5</w:t>
        </w:r>
        <w:r w:rsidRPr="00DF0E6E">
          <w:rPr>
            <w:rStyle w:val="Nmerodepgina"/>
            <w:rFonts w:ascii="Century Gothic" w:hAnsi="Century Gothic"/>
            <w:sz w:val="26"/>
            <w:szCs w:val="26"/>
          </w:rPr>
          <w:fldChar w:fldCharType="end"/>
        </w:r>
      </w:p>
    </w:sdtContent>
  </w:sdt>
  <w:p w14:paraId="5224B366" w14:textId="316E14B1" w:rsidR="000F3F13" w:rsidRDefault="000F3F13">
    <w:pPr>
      <w:pBdr>
        <w:top w:val="nil"/>
        <w:left w:val="nil"/>
        <w:bottom w:val="nil"/>
        <w:right w:val="nil"/>
        <w:between w:val="nil"/>
      </w:pBdr>
      <w:tabs>
        <w:tab w:val="center" w:pos="4419"/>
        <w:tab w:val="right" w:pos="8838"/>
      </w:tabs>
      <w:spacing w:after="0" w:line="240" w:lineRule="auto"/>
      <w:jc w:val="right"/>
      <w:rPr>
        <w:color w:val="000000"/>
      </w:rPr>
    </w:pPr>
  </w:p>
  <w:p w14:paraId="6503422B" w14:textId="77777777" w:rsidR="000F3F13" w:rsidRDefault="000F3F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9E01" w14:textId="77777777" w:rsidR="00AB332D" w:rsidRDefault="00AB332D">
      <w:pPr>
        <w:spacing w:after="0" w:line="240" w:lineRule="auto"/>
      </w:pPr>
      <w:r>
        <w:separator/>
      </w:r>
    </w:p>
  </w:footnote>
  <w:footnote w:type="continuationSeparator" w:id="0">
    <w:p w14:paraId="1C1277F2" w14:textId="77777777" w:rsidR="00AB332D" w:rsidRDefault="00AB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D91" w14:textId="77777777" w:rsidR="000F3F13" w:rsidRDefault="00073484">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14:anchorId="384C76C5" wp14:editId="68753935">
          <wp:simplePos x="0" y="0"/>
          <wp:positionH relativeFrom="column">
            <wp:posOffset>3315640</wp:posOffset>
          </wp:positionH>
          <wp:positionV relativeFrom="paragraph">
            <wp:posOffset>788670</wp:posOffset>
          </wp:positionV>
          <wp:extent cx="2296490" cy="1012190"/>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742097B1" wp14:editId="216861A8">
          <wp:simplePos x="0" y="0"/>
          <wp:positionH relativeFrom="column">
            <wp:posOffset>-333374</wp:posOffset>
          </wp:positionH>
          <wp:positionV relativeFrom="paragraph">
            <wp:posOffset>-116204</wp:posOffset>
          </wp:positionV>
          <wp:extent cx="1790700" cy="1790700"/>
          <wp:effectExtent l="0" t="0" r="0" b="0"/>
          <wp:wrapNone/>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lang w:val="en-US" w:eastAsia="en-US"/>
      </w:rPr>
      <mc:AlternateContent>
        <mc:Choice Requires="wps">
          <w:drawing>
            <wp:anchor distT="0" distB="0" distL="0" distR="0" simplePos="0" relativeHeight="251660288" behindDoc="1" locked="0" layoutInCell="1" hidden="0" allowOverlap="1" wp14:anchorId="3C77235A" wp14:editId="41940BD0">
              <wp:simplePos x="0" y="0"/>
              <wp:positionH relativeFrom="column">
                <wp:posOffset>1351779</wp:posOffset>
              </wp:positionH>
              <wp:positionV relativeFrom="paragraph">
                <wp:posOffset>-155761</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77235A" id="Rectángulo 218" o:spid="_x0000_s1027" style="position:absolute;margin-left:106.45pt;margin-top:-12.25pt;width:335.85pt;height: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" stroked="f">
              <v:textbox inset="2.53958mm,1.2694mm,2.53958mm,1.2694mm">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v:textbox>
            </v:rect>
          </w:pict>
        </mc:Fallback>
      </mc:AlternateContent>
    </w:r>
    <w:r>
      <w:rPr>
        <w:noProof/>
        <w:lang w:val="en-US" w:eastAsia="en-US"/>
      </w:rPr>
      <w:drawing>
        <wp:anchor distT="0" distB="0" distL="0" distR="0" simplePos="0" relativeHeight="251661312" behindDoc="1" locked="0" layoutInCell="1" hidden="0" allowOverlap="1" wp14:anchorId="6795F56A" wp14:editId="7EF4CEF4">
          <wp:simplePos x="0" y="0"/>
          <wp:positionH relativeFrom="column">
            <wp:posOffset>1265555</wp:posOffset>
          </wp:positionH>
          <wp:positionV relativeFrom="paragraph">
            <wp:posOffset>550545</wp:posOffset>
          </wp:positionV>
          <wp:extent cx="4346575" cy="368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EFD"/>
    <w:multiLevelType w:val="hybridMultilevel"/>
    <w:tmpl w:val="E1B4752C"/>
    <w:lvl w:ilvl="0" w:tplc="AD3E9C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B05D39"/>
    <w:multiLevelType w:val="multilevel"/>
    <w:tmpl w:val="5EF07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B438EA"/>
    <w:multiLevelType w:val="hybridMultilevel"/>
    <w:tmpl w:val="A60CB11C"/>
    <w:lvl w:ilvl="0" w:tplc="653419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3D1EE2"/>
    <w:multiLevelType w:val="hybridMultilevel"/>
    <w:tmpl w:val="9C06FE14"/>
    <w:lvl w:ilvl="0" w:tplc="A558D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3A4F47"/>
    <w:multiLevelType w:val="hybridMultilevel"/>
    <w:tmpl w:val="C50AB2B8"/>
    <w:lvl w:ilvl="0" w:tplc="41C6AF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1871CD"/>
    <w:multiLevelType w:val="hybridMultilevel"/>
    <w:tmpl w:val="AC502DA4"/>
    <w:lvl w:ilvl="0" w:tplc="1A744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13"/>
    <w:rsid w:val="00005643"/>
    <w:rsid w:val="00005C60"/>
    <w:rsid w:val="00034EFD"/>
    <w:rsid w:val="0007197F"/>
    <w:rsid w:val="00073484"/>
    <w:rsid w:val="0009052A"/>
    <w:rsid w:val="000979BA"/>
    <w:rsid w:val="000C0F63"/>
    <w:rsid w:val="000F3F13"/>
    <w:rsid w:val="001137E9"/>
    <w:rsid w:val="0012516E"/>
    <w:rsid w:val="00163670"/>
    <w:rsid w:val="001B1570"/>
    <w:rsid w:val="002B18F0"/>
    <w:rsid w:val="002C51AE"/>
    <w:rsid w:val="003042C5"/>
    <w:rsid w:val="003073A1"/>
    <w:rsid w:val="003379F1"/>
    <w:rsid w:val="00352669"/>
    <w:rsid w:val="003812F5"/>
    <w:rsid w:val="003A35C3"/>
    <w:rsid w:val="003D2BD3"/>
    <w:rsid w:val="005130A1"/>
    <w:rsid w:val="005133E8"/>
    <w:rsid w:val="0059236F"/>
    <w:rsid w:val="005A2843"/>
    <w:rsid w:val="005A2C6A"/>
    <w:rsid w:val="00612CE2"/>
    <w:rsid w:val="00654369"/>
    <w:rsid w:val="006609D3"/>
    <w:rsid w:val="006C246E"/>
    <w:rsid w:val="007145D7"/>
    <w:rsid w:val="007428F3"/>
    <w:rsid w:val="007705E5"/>
    <w:rsid w:val="00830957"/>
    <w:rsid w:val="00897048"/>
    <w:rsid w:val="008A1EA3"/>
    <w:rsid w:val="008F6173"/>
    <w:rsid w:val="009936B5"/>
    <w:rsid w:val="009E4B51"/>
    <w:rsid w:val="00A1297E"/>
    <w:rsid w:val="00A21C2C"/>
    <w:rsid w:val="00A704AF"/>
    <w:rsid w:val="00AB332D"/>
    <w:rsid w:val="00AB6EDA"/>
    <w:rsid w:val="00AC41E3"/>
    <w:rsid w:val="00AC5B6F"/>
    <w:rsid w:val="00B078CA"/>
    <w:rsid w:val="00B113E0"/>
    <w:rsid w:val="00B37A8B"/>
    <w:rsid w:val="00B71A5A"/>
    <w:rsid w:val="00C30E02"/>
    <w:rsid w:val="00C469FD"/>
    <w:rsid w:val="00C935B8"/>
    <w:rsid w:val="00C976FB"/>
    <w:rsid w:val="00CE2519"/>
    <w:rsid w:val="00D108B2"/>
    <w:rsid w:val="00D256AD"/>
    <w:rsid w:val="00DA657E"/>
    <w:rsid w:val="00DE54C4"/>
    <w:rsid w:val="00DF0E6E"/>
    <w:rsid w:val="00E24D15"/>
    <w:rsid w:val="00EA3006"/>
    <w:rsid w:val="00ED20C8"/>
    <w:rsid w:val="00F11172"/>
    <w:rsid w:val="00F82F43"/>
    <w:rsid w:val="00FB15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9B851"/>
  <w15:docId w15:val="{100C0800-0C8C-4C52-8F65-F69E528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34"/>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Gothic" w:eastAsia="Century Gothic" w:hAnsi="Century Gothic" w:cs="Century Gothic"/>
      <w:sz w:val="24"/>
      <w:szCs w:val="24"/>
    </w:rPr>
    <w:tblPr>
      <w:tblStyleRowBandSize w:val="1"/>
      <w:tblStyleColBandSize w:val="1"/>
      <w:tblCellMar>
        <w:top w:w="0" w:type="dxa"/>
        <w:left w:w="108" w:type="dxa"/>
        <w:bottom w:w="0" w:type="dxa"/>
        <w:right w:w="108" w:type="dxa"/>
      </w:tblCellMar>
    </w:tblPr>
  </w:style>
  <w:style w:type="character" w:customStyle="1" w:styleId="s2">
    <w:name w:val="s2"/>
    <w:basedOn w:val="Fuentedeprrafopredeter"/>
    <w:rsid w:val="009936B5"/>
  </w:style>
  <w:style w:type="paragraph" w:styleId="NormalWeb">
    <w:name w:val="Normal (Web)"/>
    <w:basedOn w:val="Normal"/>
    <w:uiPriority w:val="99"/>
    <w:unhideWhenUsed/>
    <w:rsid w:val="00DF0E6E"/>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F0E6E"/>
    <w:rPr>
      <w:b/>
      <w:bCs/>
    </w:rPr>
  </w:style>
  <w:style w:type="character" w:styleId="Nmerodepgina">
    <w:name w:val="page number"/>
    <w:basedOn w:val="Fuentedeprrafopredeter"/>
    <w:uiPriority w:val="99"/>
    <w:semiHidden/>
    <w:unhideWhenUsed/>
    <w:rsid w:val="00DF0E6E"/>
  </w:style>
  <w:style w:type="character" w:customStyle="1" w:styleId="whitespace-normal">
    <w:name w:val="whitespace-normal"/>
    <w:basedOn w:val="Fuentedeprrafopredeter"/>
    <w:rsid w:val="00A7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qZ+j3qCJTMJvUzf3h8ydbPUQ==">CgMxLjAyDmguZTNiejhkdzR2dnUzMg5oLnEwNXl1a3F2eWM0dTgAciExUjdoRDVWMU1jZG54Z1NHT0RDMDdvc0tsOTF1OVc5ZEo=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cp:lastPrinted>2026-06-03T19:11:00Z</cp:lastPrinted>
  <dcterms:created xsi:type="dcterms:W3CDTF">2026-06-05T18:56:00Z</dcterms:created>
  <dcterms:modified xsi:type="dcterms:W3CDTF">2026-06-05T18:56:00Z</dcterms:modified>
</cp:coreProperties>
</file>