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794E" w14:textId="2D08B1BA" w:rsidR="000D1D5F" w:rsidRDefault="000D1D5F" w:rsidP="000D1D5F">
      <w:pPr>
        <w:tabs>
          <w:tab w:val="left" w:pos="540"/>
        </w:tabs>
        <w:jc w:val="both"/>
        <w:rPr>
          <w:rFonts w:ascii="10.5" w:hAnsi="10.5"/>
          <w:b/>
          <w:sz w:val="26"/>
          <w:szCs w:val="26"/>
        </w:rPr>
      </w:pPr>
    </w:p>
    <w:p w14:paraId="6EA3183A" w14:textId="12C9B63D" w:rsidR="00996B61" w:rsidRDefault="00996B61" w:rsidP="00996B61">
      <w:pPr>
        <w:spacing w:line="360" w:lineRule="auto"/>
        <w:jc w:val="right"/>
        <w:rPr>
          <w:rFonts w:ascii="Avenir Next LT Pro" w:eastAsia="Calibri" w:hAnsi="Avenir Next LT Pro" w:cs="Arial"/>
        </w:rPr>
      </w:pPr>
    </w:p>
    <w:p w14:paraId="55EDF7AA" w14:textId="77777777" w:rsidR="00996B61" w:rsidRDefault="00996B61" w:rsidP="00996B61">
      <w:pPr>
        <w:spacing w:line="360" w:lineRule="auto"/>
        <w:jc w:val="right"/>
        <w:rPr>
          <w:rFonts w:ascii="Avenir Next LT Pro" w:eastAsia="Calibri" w:hAnsi="Avenir Next LT Pro" w:cs="Arial"/>
        </w:rPr>
      </w:pPr>
    </w:p>
    <w:p w14:paraId="51EA628B" w14:textId="77777777" w:rsidR="00071870" w:rsidRDefault="00071870" w:rsidP="00996B61">
      <w:pPr>
        <w:spacing w:line="360" w:lineRule="auto"/>
        <w:jc w:val="right"/>
        <w:rPr>
          <w:rFonts w:ascii="Avenir Next LT Pro" w:eastAsia="Calibri" w:hAnsi="Avenir Next LT Pro" w:cs="Arial"/>
        </w:rPr>
      </w:pPr>
    </w:p>
    <w:p w14:paraId="254322E8"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H. CONGRESO DEL ESTADO</w:t>
      </w:r>
    </w:p>
    <w:p w14:paraId="1B9EE936" w14:textId="77777777" w:rsidR="00996B61"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 xml:space="preserve">P R E S E N T E.- </w:t>
      </w:r>
    </w:p>
    <w:p w14:paraId="2A5CD222" w14:textId="77777777" w:rsidR="00071870" w:rsidRDefault="00071870" w:rsidP="00996B61">
      <w:pPr>
        <w:spacing w:line="360" w:lineRule="auto"/>
        <w:jc w:val="both"/>
        <w:rPr>
          <w:rFonts w:ascii="Avenir Next LT Pro" w:eastAsia="Calibri" w:hAnsi="Avenir Next LT Pro" w:cs="Arial"/>
          <w:b/>
          <w:bCs/>
        </w:rPr>
      </w:pPr>
    </w:p>
    <w:p w14:paraId="6438EFF8" w14:textId="165F3FAF" w:rsidR="00996B61" w:rsidRPr="001B0BE4" w:rsidRDefault="00996B61" w:rsidP="00996B61">
      <w:pPr>
        <w:spacing w:line="360" w:lineRule="auto"/>
        <w:jc w:val="both"/>
        <w:rPr>
          <w:rFonts w:ascii="Avenir Next LT Pro" w:eastAsia="Calibri" w:hAnsi="Avenir Next LT Pro" w:cs="Arial"/>
          <w:b/>
          <w:bCs/>
        </w:rPr>
      </w:pPr>
      <w:r>
        <w:rPr>
          <w:rFonts w:ascii="Avenir Next LT Pro" w:eastAsia="Calibri" w:hAnsi="Avenir Next LT Pro" w:cs="Arial"/>
          <w:b/>
          <w:bCs/>
        </w:rPr>
        <w:t>JOSÉ LUIS VILLALOBOS GARCÍA</w:t>
      </w:r>
      <w:r>
        <w:rPr>
          <w:rFonts w:ascii="Avenir Next LT Pro" w:eastAsia="Calibri" w:hAnsi="Avenir Next LT Pro" w:cs="Arial"/>
        </w:rPr>
        <w:t>, Diputado de la Sexagésima Octava Legislatura del Honorable Congreso del Estado, integrante del Grupo Parlamentario del Partido Revolucionario Institucional con fundamento en lo que dispone los artículos 68, fracción I de la Constitución Política del Estado Libre y Soberano de Chihuahua 167, fracción I, 168, 168 BIS y 170 de la Ley Orgánica del Poder Legislativo, 2, fracción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rPr>
        <w:t xml:space="preserve">; </w:t>
      </w:r>
      <w:r w:rsidR="001B0BE4" w:rsidRPr="001B0BE4">
        <w:rPr>
          <w:rFonts w:ascii="Avenir Next LT Pro" w:eastAsia="Calibri" w:hAnsi="Avenir Next LT Pro" w:cs="Arial"/>
          <w:b/>
          <w:bCs/>
        </w:rPr>
        <w:t>INICIATIVA CON CARÁCTER DE DECRETO POR EL QUE SE REFORMAN Y ADICIONAN DIVERSAS DISPOSICIONES DE LA LEY DE VIALIDAD Y TRÁNSITO PARA EL ESTADO DE CHIHUAHUA, EN MATERIA DE MOVILIDAD ELÉCTRICA Y MICROMOVILIDAD.</w:t>
      </w:r>
      <w:r w:rsidR="001B0BE4">
        <w:rPr>
          <w:rFonts w:ascii="Avenir Next LT Pro" w:eastAsia="Calibri" w:hAnsi="Avenir Next LT Pro" w:cs="Arial"/>
          <w:b/>
          <w:bCs/>
        </w:rPr>
        <w:t xml:space="preserve"> </w:t>
      </w:r>
      <w:r>
        <w:rPr>
          <w:rFonts w:ascii="Avenir Next LT Pro" w:eastAsia="Calibri" w:hAnsi="Avenir Next LT Pro" w:cs="Arial"/>
        </w:rPr>
        <w:t xml:space="preserve">Lo anterior </w:t>
      </w:r>
      <w:r>
        <w:rPr>
          <w:rFonts w:ascii="Avenir Next LT Pro" w:eastAsia="Verdana" w:hAnsi="Avenir Next LT Pro" w:cs="Arial"/>
          <w:color w:val="000000"/>
        </w:rPr>
        <w:t>por los motivos y fundamentos que a continuación se expresan:</w:t>
      </w:r>
    </w:p>
    <w:p w14:paraId="6DD310B3" w14:textId="77777777" w:rsidR="00071870" w:rsidRPr="00C11B99" w:rsidRDefault="00071870" w:rsidP="00996B61">
      <w:pPr>
        <w:spacing w:line="360" w:lineRule="auto"/>
        <w:jc w:val="both"/>
        <w:rPr>
          <w:rFonts w:ascii="Avenir Next LT Pro" w:eastAsia="Calibri" w:hAnsi="Avenir Next LT Pro" w:cs="Arial"/>
          <w:b/>
          <w:bCs/>
        </w:rPr>
      </w:pPr>
    </w:p>
    <w:p w14:paraId="624D89C8" w14:textId="77777777" w:rsidR="00C16D6B" w:rsidRPr="0063570B" w:rsidRDefault="00C16D6B" w:rsidP="00C16D6B">
      <w:pPr>
        <w:jc w:val="center"/>
        <w:rPr>
          <w:rFonts w:ascii="Avenir Next LT Pro" w:eastAsia="Calibri" w:hAnsi="Avenir Next LT Pro" w:cs="Arial"/>
          <w:b/>
          <w:bCs/>
        </w:rPr>
      </w:pPr>
      <w:r w:rsidRPr="0063570B">
        <w:rPr>
          <w:rFonts w:ascii="Avenir Next LT Pro" w:eastAsia="Calibri" w:hAnsi="Avenir Next LT Pro" w:cs="Arial"/>
          <w:b/>
          <w:bCs/>
        </w:rPr>
        <w:t>EXPOSICIÓN DE MOTIVOS</w:t>
      </w:r>
    </w:p>
    <w:p w14:paraId="5C16E641" w14:textId="77777777" w:rsidR="00071870" w:rsidRPr="0063570B" w:rsidRDefault="00071870" w:rsidP="00C16D6B">
      <w:pPr>
        <w:jc w:val="center"/>
        <w:rPr>
          <w:rFonts w:ascii="Avenir Next LT Pro" w:eastAsia="Calibri" w:hAnsi="Avenir Next LT Pro" w:cs="Arial"/>
          <w:b/>
          <w:bCs/>
        </w:rPr>
      </w:pPr>
    </w:p>
    <w:p w14:paraId="65813517"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Las ciudades de nuestro país atraviesan un punto de inflexión en la forma en que las personas se desplazan, impulsado por el acelerado desarrollo tecnológico y la necesidad urgente de contar con alternativas de transporte eficientes y accesibles. </w:t>
      </w:r>
    </w:p>
    <w:p w14:paraId="28DEB343"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lastRenderedPageBreak/>
        <w:t>Esta profunda transformación urbana exige que las instituciones actualicen sus normativas para garantizar el derecho humano a la movilidad en condiciones de seguridad vial, sostenibilidad e inclusión, un principio que se encuentra plenamente consagrado en el artículo 4 de la Constitución Política de los Estados Unidos Mexicanos. En estricta concordancia con este mandato federal, la Constitución Política del Estado de Chihuahua, mediante su artículo 64, otorga al Congreso local la responsabilidad irrenunciable de adecuar el marco jurídico para salvaguardar el orden público y la seguridad de sus habitantes.</w:t>
      </w:r>
    </w:p>
    <w:p w14:paraId="028FC724" w14:textId="041E9281"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En el Estado de Chihuahua, la realidad en las calles refleja claramente este cambio mediante la introducción de vehículos impulsados por motores eléctricos. A nivel nacional, este sector va ganando kilómetros; según datos de la Asociación Mexicana de Fabricantes e Importadores de Motocicletas (AMFIM), en 2022 los vehículos de dos ruedas de nuevos segmentos representaron el 1 por ciento de las 1.2 millones de unidades comercializadas, una tendencia en claro aumento.</w:t>
      </w:r>
      <w:r w:rsidR="0026570F">
        <w:rPr>
          <w:rStyle w:val="Refdenotaalpie"/>
          <w:rFonts w:ascii="Avenir Next LT Pro" w:eastAsia="Calibri" w:hAnsi="Avenir Next LT Pro" w:cs="Arial"/>
        </w:rPr>
        <w:footnoteReference w:id="1"/>
      </w:r>
    </w:p>
    <w:p w14:paraId="447A3496" w14:textId="1834A574"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Sin embargo, el marco normativo de la Ley de Vialidad y Tránsito fue diseñado antes de la llegada de estas opciones. Existen vehículos eléctricos que, por su diseño y potencia, desarrollan velocidades superiores a los 25 kilómetros por hora, equiparándose a las motocicletas de combustión interna. Al no estar definidos en la ley, circulan en la informalidad: sin registro vehicular, sin placas, sin acreditar conocimientos mediante una licencia y sin la obligatoriedad de usar equipo de seguridad. Esta situación genera una profunda desprotección legal, pues las personas usuarias enfrentan indefensión ante incidentes de tránsito al no existir un marco que regule su responsabilidad y sus derechos.</w:t>
      </w:r>
    </w:p>
    <w:p w14:paraId="1F4028F9"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lastRenderedPageBreak/>
        <w:t xml:space="preserve">Esta omisión legislativa representa un factor de riesgo vial y detona un conflicto constante en el espacio público. De acuerdo con el crecimiento del parque vehicular documentado por el Instituto Nacional de Estadística y Geografía, una proporción cada vez mayor corresponde a unidades eléctricas veloces que no figuran en las estadísticas formales. </w:t>
      </w:r>
    </w:p>
    <w:p w14:paraId="7B70A10F"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Aunado a la inseguridad vial, la falta de regulación compromete la seguridad patrimonial de los propietarios y la integridad física de los conductores. Al no contar con registro oficial, estos vehículos se vuelven un objetivo altamente atractivo para el robo, dificultando a las autoridades de seguridad pública su rastreo y recuperación. Físicamente, transitar de forma desordenada y sin sistemas de iluminación adecuados reduce su visibilidad ante automóviles de mayor tamaño, propiciando accidentes que, ante la falta de uso de casco protector, pueden derivar en lesiones severas o la pérdida total del patrimonio.</w:t>
      </w:r>
    </w:p>
    <w:p w14:paraId="646383B1"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Para abordar esta realidad, es fundamental comprender que los sistemas de transporte combinan tres componentes esenciales: vehículo, infraestructura y usuario. En este contexto, surge la necesidad de definir técnicamente la </w:t>
      </w:r>
      <w:proofErr w:type="spellStart"/>
      <w:r w:rsidRPr="0063570B">
        <w:rPr>
          <w:rFonts w:ascii="Avenir Next LT Pro" w:eastAsia="Calibri" w:hAnsi="Avenir Next LT Pro" w:cs="Arial"/>
        </w:rPr>
        <w:t>micromovilidad</w:t>
      </w:r>
      <w:proofErr w:type="spellEnd"/>
      <w:r w:rsidRPr="0063570B">
        <w:rPr>
          <w:rFonts w:ascii="Avenir Next LT Pro" w:eastAsia="Calibri" w:hAnsi="Avenir Next LT Pro" w:cs="Arial"/>
        </w:rPr>
        <w:t xml:space="preserve">. </w:t>
      </w:r>
    </w:p>
    <w:p w14:paraId="58C00872" w14:textId="158BA28F"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La </w:t>
      </w:r>
      <w:proofErr w:type="spellStart"/>
      <w:r w:rsidRPr="0063570B">
        <w:rPr>
          <w:rFonts w:ascii="Avenir Next LT Pro" w:eastAsia="Calibri" w:hAnsi="Avenir Next LT Pro" w:cs="Arial"/>
        </w:rPr>
        <w:t>micromovilidad</w:t>
      </w:r>
      <w:proofErr w:type="spellEnd"/>
      <w:r w:rsidRPr="0063570B">
        <w:rPr>
          <w:rFonts w:ascii="Avenir Next LT Pro" w:eastAsia="Calibri" w:hAnsi="Avenir Next LT Pro" w:cs="Arial"/>
        </w:rPr>
        <w:t xml:space="preserve"> es una modalidad de transporte que usa vehículos ligeros personales como patines, patinetas, bicicletas, monopatines, entre otros, tanto en sus versiones mecánicas como eléctricas. Entre estas modalidades de transporte, la más común a nivel mundial sigue siendo la bicicleta, cuyos orígenes se remontan al siglo XIX, algunos años antes de la invención de los vehículos de motor.</w:t>
      </w:r>
      <w:r w:rsidR="0019181D">
        <w:rPr>
          <w:rStyle w:val="Refdenotaalpie"/>
          <w:rFonts w:ascii="Avenir Next LT Pro" w:eastAsia="Calibri" w:hAnsi="Avenir Next LT Pro" w:cs="Arial"/>
        </w:rPr>
        <w:footnoteReference w:id="2"/>
      </w:r>
    </w:p>
    <w:p w14:paraId="5A10F3E0"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lastRenderedPageBreak/>
        <w:t xml:space="preserve">Según datos del Foro de Transporte Internacional, se propone clasificar los </w:t>
      </w:r>
      <w:proofErr w:type="spellStart"/>
      <w:r w:rsidRPr="0063570B">
        <w:rPr>
          <w:rFonts w:ascii="Avenir Next LT Pro" w:eastAsia="Calibri" w:hAnsi="Avenir Next LT Pro" w:cs="Arial"/>
        </w:rPr>
        <w:t>microvehículos</w:t>
      </w:r>
      <w:proofErr w:type="spellEnd"/>
      <w:r w:rsidRPr="0063570B">
        <w:rPr>
          <w:rFonts w:ascii="Avenir Next LT Pro" w:eastAsia="Calibri" w:hAnsi="Avenir Next LT Pro" w:cs="Arial"/>
        </w:rPr>
        <w:t xml:space="preserve"> según su energía cinética (velocidad por masa). Esta agrupación, basada además en experiencias de diversos países, fija límites: en la Unión Europea, 25 km/h para bicicletas; 25 a 45 km/h para motonetas (Reg. 168/2013) y, en Estados Unidos, entre 20 y 32 km/h para monopatines, según cada estado. </w:t>
      </w:r>
    </w:p>
    <w:p w14:paraId="5768B8E2"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La alianza Nueva Movilidad Urbana (NUMO) sugiere además evaluar cinco atributos —velocidad máxima, peso, espacio requerido, emisiones y aportación al sedentarismo— mediante gráficos de radar: a mayor área de impacto, más regulaciones.</w:t>
      </w:r>
    </w:p>
    <w:p w14:paraId="67898E24"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Para solucionar esta problemática y dotar de certeza jurídica a la ciudadanía, es indispensable homologar los criterios locales con el marco legal y el derecho comparado. Por ello, esta propuesta materializa lo establecido por la Ley General de Movilidad y Seguridad Vial, la cual define de manera técnica que un vehículo motorizado es todo aquel que supera los 25 kilómetros por hora, sin importar el tipo de motor que lo impulse. </w:t>
      </w:r>
    </w:p>
    <w:p w14:paraId="231EE554"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Asimismo, la iniciativa atiende el Objetivo 4.3 de la Estrategia Nacional de Movilidad y Seguridad Vial, que promueve activamente la homologación de los reglamentos locales para incorporar criterios específicos de regulación aplicables a la </w:t>
      </w:r>
      <w:proofErr w:type="spellStart"/>
      <w:r w:rsidRPr="0063570B">
        <w:rPr>
          <w:rFonts w:ascii="Avenir Next LT Pro" w:eastAsia="Calibri" w:hAnsi="Avenir Next LT Pro" w:cs="Arial"/>
        </w:rPr>
        <w:t>micromovilidad</w:t>
      </w:r>
      <w:proofErr w:type="spellEnd"/>
      <w:r w:rsidRPr="0063570B">
        <w:rPr>
          <w:rFonts w:ascii="Avenir Next LT Pro" w:eastAsia="Calibri" w:hAnsi="Avenir Next LT Pro" w:cs="Arial"/>
        </w:rPr>
        <w:t xml:space="preserve">. </w:t>
      </w:r>
    </w:p>
    <w:p w14:paraId="735090B8"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En la esfera internacional, la Agenda 2030 cuenta con Objetivos de Desarrollo Sostenible (ODS) de la ONU que se vinculan directamente con la regulación de bicicletas, </w:t>
      </w:r>
      <w:proofErr w:type="spellStart"/>
      <w:r w:rsidRPr="0063570B">
        <w:rPr>
          <w:rFonts w:ascii="Avenir Next LT Pro" w:eastAsia="Calibri" w:hAnsi="Avenir Next LT Pro" w:cs="Arial"/>
        </w:rPr>
        <w:t>scooters</w:t>
      </w:r>
      <w:proofErr w:type="spellEnd"/>
      <w:r w:rsidRPr="0063570B">
        <w:rPr>
          <w:rFonts w:ascii="Avenir Next LT Pro" w:eastAsia="Calibri" w:hAnsi="Avenir Next LT Pro" w:cs="Arial"/>
        </w:rPr>
        <w:t xml:space="preserve"> y motocicletas eléctricas para garantizar una movilidad segura y sostenible. Puntualmente, incide en el ODS 3 sobre Salud y Bienestar (meta 3.6), cuyo fin es reducir a la mitad el número de muertes y lesiones globales por accidentes de tránsito para 2030, un propósito que se fortalece con la regulación </w:t>
      </w:r>
      <w:r w:rsidRPr="0063570B">
        <w:rPr>
          <w:rFonts w:ascii="Avenir Next LT Pro" w:eastAsia="Calibri" w:hAnsi="Avenir Next LT Pro" w:cs="Arial"/>
        </w:rPr>
        <w:lastRenderedPageBreak/>
        <w:t xml:space="preserve">de vehículos de </w:t>
      </w:r>
      <w:proofErr w:type="spellStart"/>
      <w:r w:rsidRPr="0063570B">
        <w:rPr>
          <w:rFonts w:ascii="Avenir Next LT Pro" w:eastAsia="Calibri" w:hAnsi="Avenir Next LT Pro" w:cs="Arial"/>
        </w:rPr>
        <w:t>micromovilidad</w:t>
      </w:r>
      <w:proofErr w:type="spellEnd"/>
      <w:r w:rsidRPr="0063570B">
        <w:rPr>
          <w:rFonts w:ascii="Avenir Next LT Pro" w:eastAsia="Calibri" w:hAnsi="Avenir Next LT Pro" w:cs="Arial"/>
        </w:rPr>
        <w:t xml:space="preserve"> eléctrica mediante el casco obligatorio, límites de velocidad, zonas de circulación diferenciadas y formación de usuarios para bajar la siniestralidad vial. </w:t>
      </w:r>
    </w:p>
    <w:p w14:paraId="74CCCE70"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De igual forma, aporta al ODS 7 de Energía Asequible y No Contaminante (meta 7.2) al buscar aumentar la proporción de energía renovable, ya que el fomento de vehículos eléctricos para transporte urbano impulsa el uso de electricidad de este origen en lugar de combustibles fósiles.</w:t>
      </w:r>
    </w:p>
    <w:p w14:paraId="70189898"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 Adicionalmente, atiende el ODS 9 sobre Industria, Innovación e Infraestructura (meta 9.1) al plantear el desarrollo de infraestructuras sostenibles, resilientes e inclusivas, donde la adecuación de carriles seguros, áreas de estacionamiento regulado y puntos de recarga eléctrica forma parte integral de esta visión. Todo esto complementa y refuerza el Objetivo 11, fomentando el desarrollo de ciudades inclusivas equipadas con sistemas de transporte eficientes. Bajo estos lineamientos, entidades como la Ciudad de México aplican ya este límite técnico para diferenciar la </w:t>
      </w:r>
      <w:proofErr w:type="spellStart"/>
      <w:r w:rsidRPr="0063570B">
        <w:rPr>
          <w:rFonts w:ascii="Avenir Next LT Pro" w:eastAsia="Calibri" w:hAnsi="Avenir Next LT Pro" w:cs="Arial"/>
        </w:rPr>
        <w:t>micromovilidad</w:t>
      </w:r>
      <w:proofErr w:type="spellEnd"/>
      <w:r w:rsidRPr="0063570B">
        <w:rPr>
          <w:rFonts w:ascii="Avenir Next LT Pro" w:eastAsia="Calibri" w:hAnsi="Avenir Next LT Pro" w:cs="Arial"/>
        </w:rPr>
        <w:t xml:space="preserve"> de los vehículos motorizados.</w:t>
      </w:r>
    </w:p>
    <w:p w14:paraId="7AA2ED6F"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t xml:space="preserve">La presente iniciativa integra los conceptos de "Vehículo de </w:t>
      </w:r>
      <w:proofErr w:type="spellStart"/>
      <w:r w:rsidRPr="0063570B">
        <w:rPr>
          <w:rFonts w:ascii="Avenir Next LT Pro" w:eastAsia="Calibri" w:hAnsi="Avenir Next LT Pro" w:cs="Arial"/>
        </w:rPr>
        <w:t>Micromovilidad</w:t>
      </w:r>
      <w:proofErr w:type="spellEnd"/>
      <w:r w:rsidRPr="0063570B">
        <w:rPr>
          <w:rFonts w:ascii="Avenir Next LT Pro" w:eastAsia="Calibri" w:hAnsi="Avenir Next LT Pro" w:cs="Arial"/>
        </w:rPr>
        <w:t xml:space="preserve">" y "Vehículo Eléctrico Ligero" para establecer este mismo parámetro en Chihuahua. Con esta reforma, todo vehículo eléctrico que lo supere asumirá responsabilidades equivalentes a las de una motocicleta convencional. Esta modificación anticipa un futuro urbano sostenible, donde la </w:t>
      </w:r>
      <w:proofErr w:type="spellStart"/>
      <w:r w:rsidRPr="0063570B">
        <w:rPr>
          <w:rFonts w:ascii="Avenir Next LT Pro" w:eastAsia="Calibri" w:hAnsi="Avenir Next LT Pro" w:cs="Arial"/>
        </w:rPr>
        <w:t>micromovilidad</w:t>
      </w:r>
      <w:proofErr w:type="spellEnd"/>
      <w:r w:rsidRPr="0063570B">
        <w:rPr>
          <w:rFonts w:ascii="Avenir Next LT Pro" w:eastAsia="Calibri" w:hAnsi="Avenir Next LT Pro" w:cs="Arial"/>
        </w:rPr>
        <w:t xml:space="preserve"> eléctrica será pieza clave en la intermodalidad y conectividad con el transporte público. Reconocer su existencia legal es el primer paso para regular su uso responsable, prevenir externalidades negativas y aprovechar sus virtudes en términos de eficiencia, equidad y medio ambiente, dotando a las autoridades de las herramientas necesarias para salvaguardar la vida de todos los usuarios de la vía.</w:t>
      </w:r>
    </w:p>
    <w:p w14:paraId="577BC305" w14:textId="77777777" w:rsidR="00EE0352" w:rsidRPr="0063570B" w:rsidRDefault="00EE0352" w:rsidP="00F36A63">
      <w:pPr>
        <w:spacing w:after="160" w:line="360" w:lineRule="auto"/>
        <w:jc w:val="both"/>
        <w:rPr>
          <w:rFonts w:ascii="Avenir Next LT Pro" w:eastAsia="Calibri" w:hAnsi="Avenir Next LT Pro" w:cs="Arial"/>
        </w:rPr>
      </w:pPr>
      <w:r w:rsidRPr="0063570B">
        <w:rPr>
          <w:rFonts w:ascii="Avenir Next LT Pro" w:eastAsia="Calibri" w:hAnsi="Avenir Next LT Pro" w:cs="Arial"/>
        </w:rPr>
        <w:lastRenderedPageBreak/>
        <w:t>Por lo anteriormente expuesto, me permito someter a consideración de esta soberanía, el presente proyecto con carácter de:</w:t>
      </w:r>
    </w:p>
    <w:p w14:paraId="41F56EDB" w14:textId="77777777" w:rsidR="00EE0352" w:rsidRPr="00E54A1F" w:rsidRDefault="00EE0352" w:rsidP="00F36A63">
      <w:pPr>
        <w:spacing w:after="160" w:line="360" w:lineRule="auto"/>
        <w:jc w:val="center"/>
        <w:rPr>
          <w:rFonts w:ascii="Avenir Next LT Pro" w:eastAsia="Calibri" w:hAnsi="Avenir Next LT Pro" w:cs="Arial"/>
          <w:b/>
          <w:bCs/>
        </w:rPr>
      </w:pPr>
      <w:r w:rsidRPr="00E54A1F">
        <w:rPr>
          <w:rFonts w:ascii="Avenir Next LT Pro" w:eastAsia="Calibri" w:hAnsi="Avenir Next LT Pro" w:cs="Arial"/>
          <w:b/>
          <w:bCs/>
        </w:rPr>
        <w:t>DECRETO</w:t>
      </w:r>
    </w:p>
    <w:p w14:paraId="52741B67" w14:textId="4D10BE4B" w:rsidR="00EE0352" w:rsidRPr="0063570B" w:rsidRDefault="00EE0352" w:rsidP="00F36A63">
      <w:pPr>
        <w:spacing w:after="160" w:line="360" w:lineRule="auto"/>
        <w:jc w:val="both"/>
        <w:rPr>
          <w:rFonts w:ascii="Avenir Next LT Pro" w:eastAsia="Calibri" w:hAnsi="Avenir Next LT Pro" w:cs="Arial"/>
        </w:rPr>
      </w:pPr>
      <w:r w:rsidRPr="00E54A1F">
        <w:rPr>
          <w:rFonts w:ascii="Avenir Next LT Pro" w:eastAsia="Calibri" w:hAnsi="Avenir Next LT Pro" w:cs="Arial"/>
          <w:b/>
          <w:bCs/>
        </w:rPr>
        <w:t xml:space="preserve">ARTÍCULO </w:t>
      </w:r>
      <w:proofErr w:type="gramStart"/>
      <w:r w:rsidRPr="00E54A1F">
        <w:rPr>
          <w:rFonts w:ascii="Avenir Next LT Pro" w:eastAsia="Calibri" w:hAnsi="Avenir Next LT Pro" w:cs="Arial"/>
          <w:b/>
          <w:bCs/>
        </w:rPr>
        <w:t>ÚNICO.-</w:t>
      </w:r>
      <w:proofErr w:type="gramEnd"/>
      <w:r w:rsidRPr="0063570B">
        <w:rPr>
          <w:rFonts w:ascii="Avenir Next LT Pro" w:eastAsia="Calibri" w:hAnsi="Avenir Next LT Pro" w:cs="Arial"/>
        </w:rPr>
        <w:t xml:space="preserve"> Se </w:t>
      </w:r>
      <w:r w:rsidRPr="00E54A1F">
        <w:rPr>
          <w:rFonts w:ascii="Avenir Next LT Pro" w:eastAsia="Calibri" w:hAnsi="Avenir Next LT Pro" w:cs="Arial"/>
          <w:b/>
          <w:bCs/>
        </w:rPr>
        <w:t>REFORMAN</w:t>
      </w:r>
      <w:r w:rsidRPr="0063570B">
        <w:rPr>
          <w:rFonts w:ascii="Avenir Next LT Pro" w:eastAsia="Calibri" w:hAnsi="Avenir Next LT Pro" w:cs="Arial"/>
        </w:rPr>
        <w:t xml:space="preserve"> las fracciones I y II del artículo 36; la fracción V del artículo 44; la fracción XI del artículo 50; la fracción I del apartado de Servicio Particular del artículo 54; y se </w:t>
      </w:r>
      <w:r w:rsidR="00DB7DA5" w:rsidRPr="00F30B35">
        <w:rPr>
          <w:rFonts w:ascii="Avenir Next LT Pro" w:eastAsia="Calibri" w:hAnsi="Avenir Next LT Pro" w:cs="Arial"/>
          <w:b/>
          <w:bCs/>
        </w:rPr>
        <w:t>ADICIONAN</w:t>
      </w:r>
      <w:r w:rsidR="00DB7DA5" w:rsidRPr="0063570B">
        <w:rPr>
          <w:rFonts w:ascii="Avenir Next LT Pro" w:eastAsia="Calibri" w:hAnsi="Avenir Next LT Pro" w:cs="Arial"/>
        </w:rPr>
        <w:t xml:space="preserve"> </w:t>
      </w:r>
      <w:r w:rsidRPr="0063570B">
        <w:rPr>
          <w:rFonts w:ascii="Avenir Next LT Pro" w:eastAsia="Calibri" w:hAnsi="Avenir Next LT Pro" w:cs="Arial"/>
        </w:rPr>
        <w:t>las fracciones X, XI y XII al artículo 2</w:t>
      </w:r>
      <w:r w:rsidR="00464419">
        <w:rPr>
          <w:rFonts w:ascii="Avenir Next LT Pro" w:eastAsia="Calibri" w:hAnsi="Avenir Next LT Pro" w:cs="Arial"/>
        </w:rPr>
        <w:t xml:space="preserve">, así como </w:t>
      </w:r>
      <w:r w:rsidR="00464419" w:rsidRPr="00464419">
        <w:rPr>
          <w:rFonts w:ascii="Avenir Next LT Pro" w:eastAsia="Calibri" w:hAnsi="Avenir Next LT Pro" w:cs="Arial"/>
        </w:rPr>
        <w:t>un tercer párrafo al artículo 64</w:t>
      </w:r>
      <w:r w:rsidR="00F30B35">
        <w:rPr>
          <w:rFonts w:ascii="Avenir Next LT Pro" w:eastAsia="Calibri" w:hAnsi="Avenir Next LT Pro" w:cs="Arial"/>
        </w:rPr>
        <w:t xml:space="preserve">, </w:t>
      </w:r>
      <w:r w:rsidRPr="0063570B">
        <w:rPr>
          <w:rFonts w:ascii="Avenir Next LT Pro" w:eastAsia="Calibri" w:hAnsi="Avenir Next LT Pro" w:cs="Arial"/>
        </w:rPr>
        <w:t>todos de la Ley de Vialidad y Tránsito para el Estado de Chihuahua, para quedar redactados de la siguiente manera:</w:t>
      </w:r>
    </w:p>
    <w:p w14:paraId="4B4C2A17" w14:textId="77777777" w:rsidR="00EE0352" w:rsidRPr="0063570B" w:rsidRDefault="00EE0352" w:rsidP="00F36A63">
      <w:pPr>
        <w:spacing w:after="160" w:line="360" w:lineRule="auto"/>
        <w:ind w:left="567"/>
        <w:jc w:val="both"/>
        <w:rPr>
          <w:rFonts w:ascii="Avenir Next LT Pro" w:eastAsia="Calibri" w:hAnsi="Avenir Next LT Pro" w:cs="Arial"/>
        </w:rPr>
      </w:pPr>
      <w:r w:rsidRPr="00F30B35">
        <w:rPr>
          <w:rFonts w:ascii="Avenir Next LT Pro" w:eastAsia="Calibri" w:hAnsi="Avenir Next LT Pro" w:cs="Arial"/>
          <w:b/>
          <w:bCs/>
        </w:rPr>
        <w:t>ARTÍCULO 2.</w:t>
      </w:r>
      <w:r w:rsidRPr="0063570B">
        <w:rPr>
          <w:rFonts w:ascii="Avenir Next LT Pro" w:eastAsia="Calibri" w:hAnsi="Avenir Next LT Pro" w:cs="Arial"/>
        </w:rPr>
        <w:t xml:space="preserve"> Para los efectos de la presente Ley, se entiende por: </w:t>
      </w:r>
    </w:p>
    <w:p w14:paraId="43F78EDE" w14:textId="3549E02A"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I. a IX. ... </w:t>
      </w:r>
    </w:p>
    <w:p w14:paraId="0B30C4AD" w14:textId="77777777" w:rsidR="00EE0352" w:rsidRPr="00F30B35" w:rsidRDefault="00EE0352" w:rsidP="00F36A63">
      <w:pPr>
        <w:spacing w:after="160" w:line="360" w:lineRule="auto"/>
        <w:ind w:left="567"/>
        <w:jc w:val="both"/>
        <w:rPr>
          <w:rFonts w:ascii="Avenir Next LT Pro" w:eastAsia="Calibri" w:hAnsi="Avenir Next LT Pro" w:cs="Arial"/>
          <w:b/>
          <w:bCs/>
        </w:rPr>
      </w:pPr>
      <w:r w:rsidRPr="00F30B35">
        <w:rPr>
          <w:rFonts w:ascii="Avenir Next LT Pro" w:eastAsia="Calibri" w:hAnsi="Avenir Next LT Pro" w:cs="Arial"/>
          <w:b/>
          <w:bCs/>
        </w:rPr>
        <w:t xml:space="preserve">X. Vehículo de </w:t>
      </w:r>
      <w:proofErr w:type="spellStart"/>
      <w:r w:rsidRPr="00F30B35">
        <w:rPr>
          <w:rFonts w:ascii="Avenir Next LT Pro" w:eastAsia="Calibri" w:hAnsi="Avenir Next LT Pro" w:cs="Arial"/>
          <w:b/>
          <w:bCs/>
        </w:rPr>
        <w:t>Micromovilidad</w:t>
      </w:r>
      <w:proofErr w:type="spellEnd"/>
      <w:r w:rsidRPr="00F30B35">
        <w:rPr>
          <w:rFonts w:ascii="Avenir Next LT Pro" w:eastAsia="Calibri" w:hAnsi="Avenir Next LT Pro" w:cs="Arial"/>
          <w:b/>
          <w:bCs/>
        </w:rPr>
        <w:t>: Todo medio de transporte de dos o más ruedas, de tracción humana, pedaleo asistido o propulsión eléctrica, cuya velocidad máxima de fábrica no supere los veinticinco kilómetros por hora.</w:t>
      </w:r>
    </w:p>
    <w:p w14:paraId="68F5D525" w14:textId="77777777" w:rsidR="00EE0352" w:rsidRPr="00F30B35" w:rsidRDefault="00EE0352" w:rsidP="00F36A63">
      <w:pPr>
        <w:spacing w:after="160" w:line="360" w:lineRule="auto"/>
        <w:ind w:left="567"/>
        <w:jc w:val="both"/>
        <w:rPr>
          <w:rFonts w:ascii="Avenir Next LT Pro" w:eastAsia="Calibri" w:hAnsi="Avenir Next LT Pro" w:cs="Arial"/>
          <w:b/>
          <w:bCs/>
        </w:rPr>
      </w:pPr>
      <w:r w:rsidRPr="00F30B35">
        <w:rPr>
          <w:rFonts w:ascii="Avenir Next LT Pro" w:eastAsia="Calibri" w:hAnsi="Avenir Next LT Pro" w:cs="Arial"/>
          <w:b/>
          <w:bCs/>
        </w:rPr>
        <w:t>XI. Vehículo Eléctrico Ligero: Medio de transporte de dos o más ruedas provisto de un motor eléctrico con potencia nominal superior a doscientos cincuenta vatios y hasta un kilovatio, o que por sus características de diseño desarrolla una velocidad superior a los veinticinco kilómetros por hora.</w:t>
      </w:r>
    </w:p>
    <w:p w14:paraId="39FEE467" w14:textId="77777777" w:rsidR="00EE0352" w:rsidRPr="00F30B35" w:rsidRDefault="00EE0352" w:rsidP="00F36A63">
      <w:pPr>
        <w:spacing w:after="160" w:line="360" w:lineRule="auto"/>
        <w:ind w:left="567"/>
        <w:jc w:val="both"/>
        <w:rPr>
          <w:rFonts w:ascii="Avenir Next LT Pro" w:eastAsia="Calibri" w:hAnsi="Avenir Next LT Pro" w:cs="Arial"/>
          <w:b/>
          <w:bCs/>
        </w:rPr>
      </w:pPr>
      <w:r w:rsidRPr="00F30B35">
        <w:rPr>
          <w:rFonts w:ascii="Avenir Next LT Pro" w:eastAsia="Calibri" w:hAnsi="Avenir Next LT Pro" w:cs="Arial"/>
          <w:b/>
          <w:bCs/>
        </w:rPr>
        <w:t>XII. Motocicleta: Vehículo motorizado de dos o más ruedas, propulsado por un motor de combustión interna con cilindraje a partir de cuarenta y nueve centímetros cúbicos, o por un motor eléctrico con potencia nominal superior a un kilovatio.</w:t>
      </w:r>
    </w:p>
    <w:p w14:paraId="351665A1" w14:textId="77777777" w:rsidR="0021523D" w:rsidRPr="0063570B" w:rsidRDefault="0021523D" w:rsidP="00F36A63">
      <w:pPr>
        <w:spacing w:after="160" w:line="360" w:lineRule="auto"/>
        <w:ind w:left="567"/>
        <w:jc w:val="both"/>
        <w:rPr>
          <w:rFonts w:ascii="Avenir Next LT Pro" w:eastAsia="Calibri" w:hAnsi="Avenir Next LT Pro" w:cs="Arial"/>
        </w:rPr>
      </w:pPr>
    </w:p>
    <w:p w14:paraId="028D15D8" w14:textId="77777777" w:rsidR="00EE0352" w:rsidRPr="0063570B" w:rsidRDefault="00EE0352" w:rsidP="00F36A63">
      <w:pPr>
        <w:spacing w:after="160" w:line="360" w:lineRule="auto"/>
        <w:ind w:left="567"/>
        <w:jc w:val="both"/>
        <w:rPr>
          <w:rFonts w:ascii="Avenir Next LT Pro" w:eastAsia="Calibri" w:hAnsi="Avenir Next LT Pro" w:cs="Arial"/>
        </w:rPr>
      </w:pPr>
      <w:r w:rsidRPr="00F30B35">
        <w:rPr>
          <w:rFonts w:ascii="Avenir Next LT Pro" w:eastAsia="Calibri" w:hAnsi="Avenir Next LT Pro" w:cs="Arial"/>
          <w:b/>
          <w:bCs/>
        </w:rPr>
        <w:lastRenderedPageBreak/>
        <w:t>ARTÍCULO 36.</w:t>
      </w:r>
      <w:r w:rsidRPr="0063570B">
        <w:rPr>
          <w:rFonts w:ascii="Avenir Next LT Pro" w:eastAsia="Calibri" w:hAnsi="Avenir Next LT Pro" w:cs="Arial"/>
        </w:rPr>
        <w:t xml:space="preserve"> Sin perjuicio de lo dispuesto en las demás disposiciones contenidas en esta Ley y en sus reglamentos, los vehículos que transiten por las vías públicas por lo menos deberán poseer en correcto funcionamiento los siguientes sistemas, dispositivos, equipo y accesorios de seguridad: </w:t>
      </w:r>
    </w:p>
    <w:p w14:paraId="798BAB73" w14:textId="77777777" w:rsidR="00EE0352" w:rsidRPr="0063570B" w:rsidRDefault="00EE0352" w:rsidP="00F36A63">
      <w:pPr>
        <w:numPr>
          <w:ilvl w:val="0"/>
          <w:numId w:val="4"/>
        </w:numPr>
        <w:spacing w:after="160" w:line="360" w:lineRule="auto"/>
        <w:ind w:left="567" w:firstLine="0"/>
        <w:contextualSpacing/>
        <w:jc w:val="both"/>
        <w:rPr>
          <w:rFonts w:ascii="Avenir Next LT Pro" w:eastAsia="Calibri" w:hAnsi="Avenir Next LT Pro" w:cs="Arial"/>
        </w:rPr>
      </w:pPr>
      <w:r w:rsidRPr="0063570B">
        <w:rPr>
          <w:rFonts w:ascii="Avenir Next LT Pro" w:eastAsia="Calibri" w:hAnsi="Avenir Next LT Pro" w:cs="Arial"/>
        </w:rPr>
        <w:t xml:space="preserve">Dos faros frontales que proyecten luz blanca, o uno tratándose de motocicletas </w:t>
      </w:r>
      <w:r w:rsidRPr="001D48D2">
        <w:rPr>
          <w:rFonts w:ascii="Avenir Next LT Pro" w:eastAsia="Calibri" w:hAnsi="Avenir Next LT Pro" w:cs="Arial"/>
          <w:b/>
          <w:bCs/>
        </w:rPr>
        <w:t>y vehículos eléctricos ligeros</w:t>
      </w:r>
      <w:r w:rsidRPr="0063570B">
        <w:rPr>
          <w:rFonts w:ascii="Avenir Next LT Pro" w:eastAsia="Calibri" w:hAnsi="Avenir Next LT Pro" w:cs="Arial"/>
        </w:rPr>
        <w:t xml:space="preserve">; </w:t>
      </w:r>
    </w:p>
    <w:p w14:paraId="7E3D4C84" w14:textId="77777777" w:rsidR="00EE0352" w:rsidRPr="0063570B" w:rsidRDefault="00EE0352" w:rsidP="00F36A63">
      <w:pPr>
        <w:numPr>
          <w:ilvl w:val="0"/>
          <w:numId w:val="4"/>
        </w:numPr>
        <w:spacing w:after="160" w:line="360" w:lineRule="auto"/>
        <w:ind w:left="567" w:firstLine="0"/>
        <w:contextualSpacing/>
        <w:jc w:val="both"/>
        <w:rPr>
          <w:rFonts w:ascii="Avenir Next LT Pro" w:eastAsia="Calibri" w:hAnsi="Avenir Next LT Pro" w:cs="Arial"/>
        </w:rPr>
      </w:pPr>
      <w:r w:rsidRPr="0063570B">
        <w:rPr>
          <w:rFonts w:ascii="Avenir Next LT Pro" w:eastAsia="Calibri" w:hAnsi="Avenir Next LT Pro" w:cs="Arial"/>
        </w:rPr>
        <w:t xml:space="preserve">Dos luces traseras cubiertas con micas de color rojo, o una tratándose de motocicletas </w:t>
      </w:r>
      <w:r w:rsidRPr="001D48D2">
        <w:rPr>
          <w:rFonts w:ascii="Avenir Next LT Pro" w:eastAsia="Calibri" w:hAnsi="Avenir Next LT Pro" w:cs="Arial"/>
          <w:b/>
          <w:bCs/>
        </w:rPr>
        <w:t>y vehículos eléctricos ligeros</w:t>
      </w:r>
      <w:r w:rsidRPr="0063570B">
        <w:rPr>
          <w:rFonts w:ascii="Avenir Next LT Pro" w:eastAsia="Calibri" w:hAnsi="Avenir Next LT Pro" w:cs="Arial"/>
        </w:rPr>
        <w:t xml:space="preserve">, para efecto de ser visualizadas durante la noche; </w:t>
      </w:r>
    </w:p>
    <w:p w14:paraId="10AD70E5"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III a VIII. ... </w:t>
      </w:r>
    </w:p>
    <w:p w14:paraId="08151852" w14:textId="77777777" w:rsidR="0021523D" w:rsidRPr="0063570B" w:rsidRDefault="0021523D" w:rsidP="00F36A63">
      <w:pPr>
        <w:spacing w:after="160" w:line="360" w:lineRule="auto"/>
        <w:ind w:left="567"/>
        <w:jc w:val="both"/>
        <w:rPr>
          <w:rFonts w:ascii="Avenir Next LT Pro" w:eastAsia="Calibri" w:hAnsi="Avenir Next LT Pro" w:cs="Arial"/>
        </w:rPr>
      </w:pPr>
    </w:p>
    <w:p w14:paraId="68D0CE4A" w14:textId="77777777" w:rsidR="00EE0352" w:rsidRPr="0063570B" w:rsidRDefault="00EE0352" w:rsidP="00F36A63">
      <w:pPr>
        <w:spacing w:after="160" w:line="360" w:lineRule="auto"/>
        <w:ind w:left="567"/>
        <w:jc w:val="both"/>
        <w:rPr>
          <w:rFonts w:ascii="Avenir Next LT Pro" w:eastAsia="Calibri" w:hAnsi="Avenir Next LT Pro" w:cs="Arial"/>
        </w:rPr>
      </w:pPr>
      <w:r w:rsidRPr="001D48D2">
        <w:rPr>
          <w:rFonts w:ascii="Avenir Next LT Pro" w:eastAsia="Calibri" w:hAnsi="Avenir Next LT Pro" w:cs="Arial"/>
          <w:b/>
          <w:bCs/>
        </w:rPr>
        <w:t>ARTÍCULO 44.</w:t>
      </w:r>
      <w:r w:rsidRPr="0063570B">
        <w:rPr>
          <w:rFonts w:ascii="Avenir Next LT Pro" w:eastAsia="Calibri" w:hAnsi="Avenir Next LT Pro" w:cs="Arial"/>
        </w:rPr>
        <w:t xml:space="preserve"> La Secretaría de Hacienda expedirá las placas de circulación que correspondan de acuerdo al tipo de vehículo de que se trate, de conformidad a las disposiciones de esta Ley y reglamento correspondiente. Estas se clasifican en: </w:t>
      </w:r>
    </w:p>
    <w:p w14:paraId="2D86E991"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I. a IV. ... </w:t>
      </w:r>
    </w:p>
    <w:p w14:paraId="2BBB1CBE"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V. Para motocicletas </w:t>
      </w:r>
      <w:r w:rsidRPr="001D48D2">
        <w:rPr>
          <w:rFonts w:ascii="Avenir Next LT Pro" w:eastAsia="Calibri" w:hAnsi="Avenir Next LT Pro" w:cs="Arial"/>
          <w:b/>
          <w:bCs/>
        </w:rPr>
        <w:t>y vehículos eléctricos ligeros.</w:t>
      </w:r>
    </w:p>
    <w:p w14:paraId="444A8049" w14:textId="77777777" w:rsidR="00EE0352" w:rsidRPr="0063570B" w:rsidRDefault="00EE0352" w:rsidP="00F36A63">
      <w:pPr>
        <w:spacing w:after="160" w:line="360" w:lineRule="auto"/>
        <w:ind w:left="567"/>
        <w:jc w:val="both"/>
        <w:rPr>
          <w:rFonts w:ascii="Avenir Next LT Pro" w:eastAsia="Calibri" w:hAnsi="Avenir Next LT Pro" w:cs="Arial"/>
        </w:rPr>
      </w:pPr>
      <w:r w:rsidRPr="00445843">
        <w:rPr>
          <w:rFonts w:ascii="Avenir Next LT Pro" w:eastAsia="Calibri" w:hAnsi="Avenir Next LT Pro" w:cs="Arial"/>
          <w:b/>
          <w:bCs/>
        </w:rPr>
        <w:t>ARTÍCULO 50.</w:t>
      </w:r>
      <w:r w:rsidRPr="0063570B">
        <w:rPr>
          <w:rFonts w:ascii="Avenir Next LT Pro" w:eastAsia="Calibri" w:hAnsi="Avenir Next LT Pro" w:cs="Arial"/>
        </w:rPr>
        <w:t xml:space="preserve"> Son obligaciones de los conductores: </w:t>
      </w:r>
    </w:p>
    <w:p w14:paraId="7928537F" w14:textId="75632184"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I. a X. ... </w:t>
      </w:r>
    </w:p>
    <w:p w14:paraId="1B182D52"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XI. Utilizar casco protector, tanto los conductores como sus acompañantes, en el caso de que los vehículos fuesen motocicletas </w:t>
      </w:r>
      <w:r w:rsidRPr="00445843">
        <w:rPr>
          <w:rFonts w:ascii="Avenir Next LT Pro" w:eastAsia="Calibri" w:hAnsi="Avenir Next LT Pro" w:cs="Arial"/>
          <w:b/>
          <w:bCs/>
        </w:rPr>
        <w:t>o vehículos eléctricos ligeros</w:t>
      </w:r>
      <w:r w:rsidRPr="0063570B">
        <w:rPr>
          <w:rFonts w:ascii="Avenir Next LT Pro" w:eastAsia="Calibri" w:hAnsi="Avenir Next LT Pro" w:cs="Arial"/>
        </w:rPr>
        <w:t xml:space="preserve">; y </w:t>
      </w:r>
    </w:p>
    <w:p w14:paraId="098F51C6"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XII. ... </w:t>
      </w:r>
    </w:p>
    <w:p w14:paraId="79E73B8E" w14:textId="77777777" w:rsidR="0021523D" w:rsidRPr="0063570B" w:rsidRDefault="0021523D" w:rsidP="00F36A63">
      <w:pPr>
        <w:spacing w:after="160" w:line="360" w:lineRule="auto"/>
        <w:ind w:left="567"/>
        <w:jc w:val="both"/>
        <w:rPr>
          <w:rFonts w:ascii="Avenir Next LT Pro" w:eastAsia="Calibri" w:hAnsi="Avenir Next LT Pro" w:cs="Arial"/>
        </w:rPr>
      </w:pPr>
    </w:p>
    <w:p w14:paraId="5A40C822" w14:textId="77777777" w:rsidR="00EE0352" w:rsidRPr="0063570B" w:rsidRDefault="00EE0352" w:rsidP="00F36A63">
      <w:pPr>
        <w:spacing w:after="160" w:line="360" w:lineRule="auto"/>
        <w:ind w:left="567"/>
        <w:jc w:val="both"/>
        <w:rPr>
          <w:rFonts w:ascii="Avenir Next LT Pro" w:eastAsia="Calibri" w:hAnsi="Avenir Next LT Pro" w:cs="Arial"/>
        </w:rPr>
      </w:pPr>
      <w:r w:rsidRPr="00445843">
        <w:rPr>
          <w:rFonts w:ascii="Avenir Next LT Pro" w:eastAsia="Calibri" w:hAnsi="Avenir Next LT Pro" w:cs="Arial"/>
          <w:b/>
          <w:bCs/>
        </w:rPr>
        <w:t>ARTÍCULO 54.</w:t>
      </w:r>
      <w:r w:rsidRPr="0063570B">
        <w:rPr>
          <w:rFonts w:ascii="Avenir Next LT Pro" w:eastAsia="Calibri" w:hAnsi="Avenir Next LT Pro" w:cs="Arial"/>
        </w:rPr>
        <w:t xml:space="preserve"> Las licencias de conducir se clasifican en: De servicio particular y de chofer de servicio público, teniendo a su vez las siguientes subclasificaciones:</w:t>
      </w:r>
    </w:p>
    <w:p w14:paraId="024AAAD4" w14:textId="77777777" w:rsidR="00EE0352" w:rsidRPr="00B129B9" w:rsidRDefault="00EE0352" w:rsidP="00F36A63">
      <w:pPr>
        <w:spacing w:after="160" w:line="360" w:lineRule="auto"/>
        <w:ind w:left="567"/>
        <w:jc w:val="both"/>
        <w:rPr>
          <w:rFonts w:ascii="Avenir Next LT Pro" w:eastAsia="Calibri" w:hAnsi="Avenir Next LT Pro" w:cs="Arial"/>
          <w:b/>
          <w:bCs/>
        </w:rPr>
      </w:pPr>
      <w:r w:rsidRPr="00B129B9">
        <w:rPr>
          <w:rFonts w:ascii="Avenir Next LT Pro" w:eastAsia="Calibri" w:hAnsi="Avenir Next LT Pro" w:cs="Arial"/>
          <w:b/>
          <w:bCs/>
        </w:rPr>
        <w:t xml:space="preserve">De Servicio Particular: </w:t>
      </w:r>
    </w:p>
    <w:p w14:paraId="05883EC4" w14:textId="77777777" w:rsidR="00EE0352" w:rsidRPr="0063570B" w:rsidRDefault="00EE0352" w:rsidP="00F36A63">
      <w:pPr>
        <w:numPr>
          <w:ilvl w:val="0"/>
          <w:numId w:val="5"/>
        </w:numPr>
        <w:spacing w:after="160" w:line="360" w:lineRule="auto"/>
        <w:ind w:left="567" w:firstLine="0"/>
        <w:contextualSpacing/>
        <w:jc w:val="both"/>
        <w:rPr>
          <w:rFonts w:ascii="Avenir Next LT Pro" w:eastAsia="Calibri" w:hAnsi="Avenir Next LT Pro" w:cs="Arial"/>
        </w:rPr>
      </w:pPr>
      <w:r w:rsidRPr="0063570B">
        <w:rPr>
          <w:rFonts w:ascii="Avenir Next LT Pro" w:eastAsia="Calibri" w:hAnsi="Avenir Next LT Pro" w:cs="Arial"/>
        </w:rPr>
        <w:t xml:space="preserve">De motociclista, que autoriza al interesado a manejar cualquier tipo de motocicleta </w:t>
      </w:r>
      <w:r w:rsidRPr="00445843">
        <w:rPr>
          <w:rFonts w:ascii="Avenir Next LT Pro" w:eastAsia="Calibri" w:hAnsi="Avenir Next LT Pro" w:cs="Arial"/>
          <w:b/>
          <w:bCs/>
        </w:rPr>
        <w:t>y vehículo eléctrico ligero</w:t>
      </w:r>
      <w:r w:rsidRPr="0063570B">
        <w:rPr>
          <w:rFonts w:ascii="Avenir Next LT Pro" w:eastAsia="Calibri" w:hAnsi="Avenir Next LT Pro" w:cs="Arial"/>
        </w:rPr>
        <w:t xml:space="preserve">; </w:t>
      </w:r>
    </w:p>
    <w:p w14:paraId="56DC9E13"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 xml:space="preserve">II. a III. ... </w:t>
      </w:r>
    </w:p>
    <w:p w14:paraId="68A92A90" w14:textId="77777777" w:rsidR="00EE0352" w:rsidRPr="0063570B" w:rsidRDefault="00EE0352" w:rsidP="00F36A63">
      <w:pPr>
        <w:spacing w:after="160" w:line="360" w:lineRule="auto"/>
        <w:ind w:left="567"/>
        <w:jc w:val="both"/>
        <w:rPr>
          <w:rFonts w:ascii="Avenir Next LT Pro" w:eastAsia="Calibri" w:hAnsi="Avenir Next LT Pro" w:cs="Arial"/>
        </w:rPr>
      </w:pPr>
      <w:r w:rsidRPr="00445843">
        <w:rPr>
          <w:rFonts w:ascii="Avenir Next LT Pro" w:eastAsia="Calibri" w:hAnsi="Avenir Next LT Pro" w:cs="Arial"/>
          <w:b/>
          <w:bCs/>
        </w:rPr>
        <w:t>ARTÍCULO 64</w:t>
      </w:r>
      <w:r w:rsidRPr="0063570B">
        <w:rPr>
          <w:rFonts w:ascii="Avenir Next LT Pro" w:eastAsia="Calibri" w:hAnsi="Avenir Next LT Pro" w:cs="Arial"/>
        </w:rPr>
        <w:t xml:space="preserve">. … </w:t>
      </w:r>
    </w:p>
    <w:p w14:paraId="3CD2C7E8"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w:t>
      </w:r>
    </w:p>
    <w:p w14:paraId="7D4BD0D7" w14:textId="77777777" w:rsidR="00EE0352" w:rsidRPr="0063570B" w:rsidRDefault="00EE0352" w:rsidP="00F36A63">
      <w:pPr>
        <w:spacing w:after="160" w:line="360" w:lineRule="auto"/>
        <w:ind w:left="567"/>
        <w:jc w:val="both"/>
        <w:rPr>
          <w:rFonts w:ascii="Avenir Next LT Pro" w:eastAsia="Calibri" w:hAnsi="Avenir Next LT Pro" w:cs="Arial"/>
        </w:rPr>
      </w:pPr>
      <w:r w:rsidRPr="0063570B">
        <w:rPr>
          <w:rFonts w:ascii="Avenir Next LT Pro" w:eastAsia="Calibri" w:hAnsi="Avenir Next LT Pro" w:cs="Arial"/>
        </w:rPr>
        <w:t>…</w:t>
      </w:r>
    </w:p>
    <w:p w14:paraId="6097C5D5" w14:textId="77777777" w:rsidR="00EE0352" w:rsidRPr="0063570B" w:rsidRDefault="00EE0352" w:rsidP="00F36A63">
      <w:pPr>
        <w:spacing w:after="160" w:line="360" w:lineRule="auto"/>
        <w:ind w:left="567"/>
        <w:jc w:val="both"/>
        <w:rPr>
          <w:rFonts w:ascii="Avenir Next LT Pro" w:eastAsia="Calibri" w:hAnsi="Avenir Next LT Pro" w:cs="Arial"/>
        </w:rPr>
      </w:pPr>
      <w:r w:rsidRPr="00445843">
        <w:rPr>
          <w:rFonts w:ascii="Avenir Next LT Pro" w:eastAsia="Calibri" w:hAnsi="Avenir Next LT Pro" w:cs="Arial"/>
          <w:b/>
          <w:bCs/>
        </w:rPr>
        <w:t xml:space="preserve">Queda estrictamente prohibida la circulación de motocicletas y vehículos eléctricos ligeros sobre las ciclovías, aceras, andadores y zonas de uso exclusivo peatonal. El uso de la infraestructura ciclista queda reservado exclusivamente para bicicletas y vehículos de </w:t>
      </w:r>
      <w:proofErr w:type="spellStart"/>
      <w:r w:rsidRPr="00445843">
        <w:rPr>
          <w:rFonts w:ascii="Avenir Next LT Pro" w:eastAsia="Calibri" w:hAnsi="Avenir Next LT Pro" w:cs="Arial"/>
          <w:b/>
          <w:bCs/>
        </w:rPr>
        <w:t>micromovilidad</w:t>
      </w:r>
      <w:proofErr w:type="spellEnd"/>
      <w:r w:rsidRPr="0063570B">
        <w:rPr>
          <w:rFonts w:ascii="Avenir Next LT Pro" w:eastAsia="Calibri" w:hAnsi="Avenir Next LT Pro" w:cs="Arial"/>
        </w:rPr>
        <w:t>.</w:t>
      </w:r>
    </w:p>
    <w:p w14:paraId="7FB55028" w14:textId="77777777" w:rsidR="0021523D" w:rsidRPr="0063570B" w:rsidRDefault="0021523D" w:rsidP="00F36A63">
      <w:pPr>
        <w:spacing w:after="160" w:line="360" w:lineRule="auto"/>
        <w:ind w:left="567"/>
        <w:jc w:val="both"/>
        <w:rPr>
          <w:rFonts w:ascii="Avenir Next LT Pro" w:eastAsia="Calibri" w:hAnsi="Avenir Next LT Pro" w:cs="Arial"/>
        </w:rPr>
      </w:pPr>
    </w:p>
    <w:p w14:paraId="4DE72A09" w14:textId="02B66551" w:rsidR="00C16D6B" w:rsidRPr="00574860" w:rsidRDefault="00C16D6B" w:rsidP="00F36A63">
      <w:pPr>
        <w:spacing w:line="360" w:lineRule="auto"/>
        <w:jc w:val="center"/>
        <w:rPr>
          <w:rFonts w:ascii="Avenir Next LT Pro" w:eastAsia="Calibri" w:hAnsi="Avenir Next LT Pro" w:cs="Arial"/>
          <w:b/>
          <w:bCs/>
          <w:lang w:val="en-US"/>
        </w:rPr>
      </w:pPr>
      <w:r w:rsidRPr="00574860">
        <w:rPr>
          <w:rFonts w:ascii="Avenir Next LT Pro" w:eastAsia="Calibri" w:hAnsi="Avenir Next LT Pro" w:cs="Arial"/>
          <w:b/>
          <w:bCs/>
          <w:lang w:val="en-US"/>
        </w:rPr>
        <w:t>T R A N S I T O R I O</w:t>
      </w:r>
      <w:r w:rsidR="00A5356C">
        <w:rPr>
          <w:rFonts w:ascii="Avenir Next LT Pro" w:eastAsia="Calibri" w:hAnsi="Avenir Next LT Pro" w:cs="Arial"/>
          <w:b/>
          <w:bCs/>
          <w:lang w:val="en-US"/>
        </w:rPr>
        <w:t xml:space="preserve"> S</w:t>
      </w:r>
    </w:p>
    <w:p w14:paraId="5BFDCA6D" w14:textId="77777777" w:rsidR="0046489A" w:rsidRPr="00574860" w:rsidRDefault="0046489A" w:rsidP="00F36A63">
      <w:pPr>
        <w:spacing w:line="360" w:lineRule="auto"/>
        <w:jc w:val="center"/>
        <w:rPr>
          <w:rFonts w:ascii="Avenir Next LT Pro" w:eastAsia="Calibri" w:hAnsi="Avenir Next LT Pro" w:cs="Arial"/>
          <w:lang w:val="en-US"/>
        </w:rPr>
      </w:pPr>
    </w:p>
    <w:p w14:paraId="38448631" w14:textId="6AEA6A0F" w:rsidR="00C16D6B" w:rsidRDefault="00F84B68" w:rsidP="00F36A63">
      <w:pPr>
        <w:spacing w:line="360" w:lineRule="auto"/>
        <w:jc w:val="both"/>
        <w:rPr>
          <w:rFonts w:ascii="Avenir Next LT Pro" w:eastAsia="Calibri" w:hAnsi="Avenir Next LT Pro" w:cs="Arial"/>
        </w:rPr>
      </w:pPr>
      <w:r w:rsidRPr="00445843">
        <w:rPr>
          <w:rFonts w:ascii="Avenir Next LT Pro" w:eastAsia="Calibri" w:hAnsi="Avenir Next LT Pro" w:cs="Arial"/>
          <w:b/>
          <w:bCs/>
        </w:rPr>
        <w:t>PRIMERO</w:t>
      </w:r>
      <w:r w:rsidR="00C16D6B" w:rsidRPr="0063570B">
        <w:rPr>
          <w:rFonts w:ascii="Avenir Next LT Pro" w:eastAsia="Calibri" w:hAnsi="Avenir Next LT Pro" w:cs="Arial"/>
        </w:rPr>
        <w:t>.</w:t>
      </w:r>
      <w:r w:rsidR="00C16D6B" w:rsidRPr="0046489A">
        <w:rPr>
          <w:rFonts w:ascii="Avenir Next LT Pro" w:eastAsia="Calibri" w:hAnsi="Avenir Next LT Pro" w:cs="Arial"/>
        </w:rPr>
        <w:t xml:space="preserve"> - El presente Decreto entrará en vigor al día siguiente de su publicación en el Periódico Oficial del Estado.</w:t>
      </w:r>
    </w:p>
    <w:p w14:paraId="49F1A5A8" w14:textId="77777777" w:rsidR="00F84B68" w:rsidRDefault="00F84B68" w:rsidP="00F36A63">
      <w:pPr>
        <w:spacing w:line="360" w:lineRule="auto"/>
        <w:jc w:val="both"/>
        <w:rPr>
          <w:rFonts w:ascii="Avenir Next LT Pro" w:eastAsia="Calibri" w:hAnsi="Avenir Next LT Pro" w:cs="Arial"/>
        </w:rPr>
      </w:pPr>
    </w:p>
    <w:p w14:paraId="5C050A39" w14:textId="77777777" w:rsidR="00AC41AF" w:rsidRDefault="00AC41AF" w:rsidP="00F36A63">
      <w:pPr>
        <w:spacing w:line="360" w:lineRule="auto"/>
        <w:jc w:val="both"/>
        <w:rPr>
          <w:rFonts w:ascii="Avenir Next LT Pro" w:eastAsia="Calibri" w:hAnsi="Avenir Next LT Pro" w:cs="Arial"/>
          <w:b/>
          <w:bCs/>
        </w:rPr>
      </w:pPr>
    </w:p>
    <w:p w14:paraId="119F4649" w14:textId="77777777" w:rsidR="00AC41AF" w:rsidRDefault="00AC41AF" w:rsidP="00F36A63">
      <w:pPr>
        <w:spacing w:line="360" w:lineRule="auto"/>
        <w:jc w:val="both"/>
        <w:rPr>
          <w:rFonts w:ascii="Avenir Next LT Pro" w:eastAsia="Calibri" w:hAnsi="Avenir Next LT Pro" w:cs="Arial"/>
          <w:b/>
          <w:bCs/>
        </w:rPr>
      </w:pPr>
    </w:p>
    <w:p w14:paraId="2C29264D" w14:textId="486624D1" w:rsidR="00F84B68" w:rsidRDefault="00F84B68" w:rsidP="00F36A63">
      <w:pPr>
        <w:spacing w:line="360" w:lineRule="auto"/>
        <w:jc w:val="both"/>
        <w:rPr>
          <w:rFonts w:ascii="Avenir Next LT Pro" w:eastAsia="Calibri" w:hAnsi="Avenir Next LT Pro" w:cs="Arial"/>
        </w:rPr>
      </w:pPr>
      <w:proofErr w:type="gramStart"/>
      <w:r w:rsidRPr="00445843">
        <w:rPr>
          <w:rFonts w:ascii="Avenir Next LT Pro" w:eastAsia="Calibri" w:hAnsi="Avenir Next LT Pro" w:cs="Arial"/>
          <w:b/>
          <w:bCs/>
        </w:rPr>
        <w:t>SEGUNDO.</w:t>
      </w:r>
      <w:r w:rsidRPr="0063570B">
        <w:rPr>
          <w:rFonts w:ascii="Avenir Next LT Pro" w:eastAsia="Calibri" w:hAnsi="Avenir Next LT Pro" w:cs="Arial"/>
        </w:rPr>
        <w:t>-</w:t>
      </w:r>
      <w:proofErr w:type="gramEnd"/>
      <w:r>
        <w:rPr>
          <w:rFonts w:ascii="Avenir Next LT Pro" w:eastAsia="Calibri" w:hAnsi="Avenir Next LT Pro" w:cs="Arial"/>
        </w:rPr>
        <w:t xml:space="preserve"> </w:t>
      </w:r>
      <w:r w:rsidR="00AF3AA7" w:rsidRPr="00AF3AA7">
        <w:rPr>
          <w:rFonts w:ascii="Avenir Next LT Pro" w:eastAsia="Calibri" w:hAnsi="Avenir Next LT Pro" w:cs="Arial"/>
        </w:rPr>
        <w:t xml:space="preserve">El Ejecutivo del Estado contará con </w:t>
      </w:r>
      <w:r w:rsidR="00AF3AA7">
        <w:rPr>
          <w:rFonts w:ascii="Avenir Next LT Pro" w:eastAsia="Calibri" w:hAnsi="Avenir Next LT Pro" w:cs="Arial"/>
        </w:rPr>
        <w:t>180</w:t>
      </w:r>
      <w:r w:rsidR="00AF3AA7" w:rsidRPr="00AF3AA7">
        <w:rPr>
          <w:rFonts w:ascii="Avenir Next LT Pro" w:eastAsia="Calibri" w:hAnsi="Avenir Next LT Pro" w:cs="Arial"/>
        </w:rPr>
        <w:t xml:space="preserve"> días naturales, contados a partir de la entrada en vigor del presente Decreto, para realizar las adecuaciones necesarias al Reglamento de la Ley de Vialidad y Tránsito para el Estado de Chihuahua y demás disposiciones normativas aplicables.</w:t>
      </w:r>
    </w:p>
    <w:p w14:paraId="18620400" w14:textId="77777777" w:rsidR="0046489A" w:rsidRPr="0046489A" w:rsidRDefault="0046489A" w:rsidP="00F36A63">
      <w:pPr>
        <w:spacing w:line="360" w:lineRule="auto"/>
        <w:jc w:val="both"/>
        <w:rPr>
          <w:rFonts w:ascii="Avenir Next LT Pro" w:eastAsia="Calibri" w:hAnsi="Avenir Next LT Pro" w:cs="Arial"/>
        </w:rPr>
      </w:pPr>
    </w:p>
    <w:p w14:paraId="37DCE75C" w14:textId="77777777" w:rsidR="00C16D6B" w:rsidRDefault="00C16D6B" w:rsidP="00F36A63">
      <w:pPr>
        <w:spacing w:line="360" w:lineRule="auto"/>
        <w:jc w:val="both"/>
        <w:rPr>
          <w:rFonts w:ascii="Avenir Next LT Pro" w:eastAsia="Calibri" w:hAnsi="Avenir Next LT Pro" w:cs="Arial"/>
        </w:rPr>
      </w:pPr>
      <w:r w:rsidRPr="00445843">
        <w:rPr>
          <w:rFonts w:ascii="Avenir Next LT Pro" w:eastAsia="Calibri" w:hAnsi="Avenir Next LT Pro" w:cs="Arial"/>
          <w:b/>
          <w:bCs/>
        </w:rPr>
        <w:t>ECONÓMICO</w:t>
      </w:r>
      <w:r w:rsidRPr="0063570B">
        <w:rPr>
          <w:rFonts w:ascii="Avenir Next LT Pro" w:eastAsia="Calibri" w:hAnsi="Avenir Next LT Pro" w:cs="Arial"/>
        </w:rPr>
        <w:t>.</w:t>
      </w:r>
      <w:r w:rsidRPr="0046489A">
        <w:rPr>
          <w:rFonts w:ascii="Avenir Next LT Pro" w:eastAsia="Calibri" w:hAnsi="Avenir Next LT Pro" w:cs="Arial"/>
        </w:rPr>
        <w:t xml:space="preserve"> Aprobado que sea, túrnese a la Secretaría para que elabore la minuta de Decreto, en los términos en que deba publicarse.</w:t>
      </w:r>
    </w:p>
    <w:p w14:paraId="3E8DC35B" w14:textId="77777777" w:rsidR="00AC41AF" w:rsidRDefault="00AC41AF" w:rsidP="00AC41AF">
      <w:pPr>
        <w:jc w:val="both"/>
        <w:rPr>
          <w:rFonts w:ascii="Avenir Next LT Pro" w:eastAsia="Calibri" w:hAnsi="Avenir Next LT Pro" w:cs="Arial"/>
        </w:rPr>
      </w:pPr>
    </w:p>
    <w:p w14:paraId="6A118539" w14:textId="1B1E1553" w:rsidR="00AC41AF" w:rsidRDefault="00C16D6B" w:rsidP="00AC41AF">
      <w:pPr>
        <w:jc w:val="both"/>
        <w:rPr>
          <w:rFonts w:ascii="Avenir Next LT Pro" w:eastAsia="Calibri" w:hAnsi="Avenir Next LT Pro" w:cs="Arial"/>
        </w:rPr>
      </w:pPr>
      <w:r w:rsidRPr="0046489A">
        <w:rPr>
          <w:rFonts w:ascii="Avenir Next LT Pro" w:eastAsia="Calibri" w:hAnsi="Avenir Next LT Pro" w:cs="Arial"/>
        </w:rPr>
        <w:t xml:space="preserve">  </w:t>
      </w:r>
      <w:r w:rsidR="00AC41AF">
        <w:rPr>
          <w:rFonts w:ascii="Avenir Next LT Pro" w:eastAsia="Calibri" w:hAnsi="Avenir Next LT Pro" w:cs="Arial"/>
          <w:b/>
          <w:bCs/>
        </w:rPr>
        <w:t xml:space="preserve">D A D </w:t>
      </w:r>
      <w:proofErr w:type="gramStart"/>
      <w:r w:rsidR="00AC41AF">
        <w:rPr>
          <w:rFonts w:ascii="Avenir Next LT Pro" w:eastAsia="Calibri" w:hAnsi="Avenir Next LT Pro" w:cs="Arial"/>
          <w:b/>
          <w:bCs/>
        </w:rPr>
        <w:t>O</w:t>
      </w:r>
      <w:r w:rsidR="00AC41AF">
        <w:rPr>
          <w:rFonts w:ascii="Avenir Next LT Pro" w:eastAsia="Calibri" w:hAnsi="Avenir Next LT Pro" w:cs="Arial"/>
        </w:rPr>
        <w:t xml:space="preserve">  en</w:t>
      </w:r>
      <w:proofErr w:type="gramEnd"/>
      <w:r w:rsidR="00AC41AF">
        <w:rPr>
          <w:rFonts w:ascii="Avenir Next LT Pro" w:eastAsia="Calibri" w:hAnsi="Avenir Next LT Pro" w:cs="Arial"/>
        </w:rPr>
        <w:t xml:space="preserve"> la sede del Poder Legislativo del Estado de Chihuahua, a los 28 días  del mes de mayo de 2026.</w:t>
      </w:r>
    </w:p>
    <w:p w14:paraId="209F5436" w14:textId="3D30C2BC" w:rsidR="00C93177" w:rsidRPr="0063570B" w:rsidRDefault="00C93177" w:rsidP="00F36A63">
      <w:pPr>
        <w:spacing w:line="360" w:lineRule="auto"/>
        <w:jc w:val="both"/>
        <w:rPr>
          <w:rFonts w:ascii="Avenir Next LT Pro" w:eastAsia="Calibri" w:hAnsi="Avenir Next LT Pro" w:cs="Arial"/>
        </w:rPr>
      </w:pPr>
    </w:p>
    <w:p w14:paraId="423EA585" w14:textId="77777777" w:rsidR="0012729B" w:rsidRPr="0063570B" w:rsidRDefault="0012729B" w:rsidP="00F36A63">
      <w:pPr>
        <w:tabs>
          <w:tab w:val="left" w:pos="540"/>
        </w:tabs>
        <w:spacing w:line="360" w:lineRule="auto"/>
        <w:rPr>
          <w:rFonts w:ascii="Avenir Next LT Pro" w:eastAsia="Calibri" w:hAnsi="Avenir Next LT Pro" w:cs="Arial"/>
        </w:rPr>
      </w:pPr>
    </w:p>
    <w:p w14:paraId="6990CA96" w14:textId="68094283" w:rsidR="0017726C" w:rsidRPr="00F36A63" w:rsidRDefault="0017726C" w:rsidP="00F36A63">
      <w:pPr>
        <w:tabs>
          <w:tab w:val="left" w:pos="540"/>
        </w:tabs>
        <w:spacing w:line="360" w:lineRule="auto"/>
        <w:jc w:val="center"/>
        <w:rPr>
          <w:rFonts w:ascii="Avenir Next LT Pro" w:eastAsia="Calibri" w:hAnsi="Avenir Next LT Pro" w:cs="Arial"/>
          <w:b/>
          <w:bCs/>
        </w:rPr>
      </w:pPr>
      <w:r w:rsidRPr="00F36A63">
        <w:rPr>
          <w:rFonts w:ascii="Avenir Next LT Pro" w:eastAsia="Calibri" w:hAnsi="Avenir Next LT Pro" w:cs="Arial"/>
          <w:b/>
          <w:bCs/>
        </w:rPr>
        <w:t>ATENTAMENTE</w:t>
      </w:r>
    </w:p>
    <w:p w14:paraId="32473E38" w14:textId="77777777" w:rsidR="0012729B" w:rsidRDefault="0012729B" w:rsidP="00F36A63">
      <w:pPr>
        <w:tabs>
          <w:tab w:val="left" w:pos="540"/>
        </w:tabs>
        <w:spacing w:line="360" w:lineRule="auto"/>
        <w:jc w:val="center"/>
        <w:rPr>
          <w:rFonts w:ascii="Avenir Next LT Pro" w:eastAsia="Calibri" w:hAnsi="Avenir Next LT Pro" w:cs="Arial"/>
          <w:b/>
          <w:bCs/>
        </w:rPr>
      </w:pPr>
    </w:p>
    <w:p w14:paraId="5BBD07DE" w14:textId="77777777" w:rsidR="00F36A63" w:rsidRPr="00F36A63" w:rsidRDefault="00F36A63" w:rsidP="00F36A63">
      <w:pPr>
        <w:tabs>
          <w:tab w:val="left" w:pos="540"/>
        </w:tabs>
        <w:spacing w:line="360" w:lineRule="auto"/>
        <w:jc w:val="center"/>
        <w:rPr>
          <w:rFonts w:ascii="Avenir Next LT Pro" w:eastAsia="Calibri" w:hAnsi="Avenir Next LT Pro" w:cs="Arial"/>
          <w:b/>
          <w:bCs/>
        </w:rPr>
      </w:pPr>
    </w:p>
    <w:p w14:paraId="7DBAEF05" w14:textId="0B023007" w:rsidR="0017726C" w:rsidRDefault="0017726C" w:rsidP="00F36A63">
      <w:pPr>
        <w:tabs>
          <w:tab w:val="left" w:pos="540"/>
        </w:tabs>
        <w:spacing w:line="360" w:lineRule="auto"/>
        <w:jc w:val="center"/>
        <w:rPr>
          <w:rFonts w:ascii="Avenir Next LT Pro" w:eastAsia="Calibri" w:hAnsi="Avenir Next LT Pro" w:cs="Arial"/>
          <w:b/>
          <w:bCs/>
        </w:rPr>
      </w:pPr>
      <w:r w:rsidRPr="00F36A63">
        <w:rPr>
          <w:rFonts w:ascii="Avenir Next LT Pro" w:eastAsia="Calibri" w:hAnsi="Avenir Next LT Pro" w:cs="Arial"/>
          <w:b/>
          <w:bCs/>
        </w:rPr>
        <w:t>DIP. JOSÉ LUIS VILLALOBOS GARCÍA.</w:t>
      </w:r>
    </w:p>
    <w:p w14:paraId="0EB55FE4" w14:textId="16B45B07" w:rsidR="009274A6" w:rsidRPr="009274A6" w:rsidRDefault="009274A6" w:rsidP="009274A6">
      <w:pPr>
        <w:tabs>
          <w:tab w:val="left" w:pos="540"/>
        </w:tabs>
        <w:spacing w:line="360" w:lineRule="auto"/>
        <w:jc w:val="both"/>
        <w:rPr>
          <w:rFonts w:ascii="Avenir Next LT Pro" w:eastAsia="Calibri" w:hAnsi="Avenir Next LT Pro" w:cs="Arial"/>
          <w:sz w:val="18"/>
          <w:szCs w:val="18"/>
          <w:lang w:val="es-MX"/>
        </w:rPr>
      </w:pPr>
      <w:r w:rsidRPr="009274A6">
        <w:rPr>
          <w:rFonts w:ascii="Avenir Next LT Pro" w:eastAsia="Calibri" w:hAnsi="Avenir Next LT Pro" w:cs="Arial"/>
          <w:sz w:val="18"/>
          <w:szCs w:val="18"/>
          <w:lang w:val="es-MX"/>
        </w:rPr>
        <w:t xml:space="preserve">La presente hoja de firmas corresponde a iniciativa con carácter de decreto, a efecto de REFORMAR Y </w:t>
      </w:r>
      <w:proofErr w:type="gramStart"/>
      <w:r w:rsidRPr="009274A6">
        <w:rPr>
          <w:rFonts w:ascii="Avenir Next LT Pro" w:eastAsia="Calibri" w:hAnsi="Avenir Next LT Pro" w:cs="Arial"/>
          <w:sz w:val="18"/>
          <w:szCs w:val="18"/>
          <w:lang w:val="es-MX"/>
        </w:rPr>
        <w:t>ADICIONAR  la</w:t>
      </w:r>
      <w:proofErr w:type="gramEnd"/>
      <w:r w:rsidRPr="009274A6">
        <w:rPr>
          <w:rFonts w:ascii="Avenir Next LT Pro" w:eastAsia="Calibri" w:hAnsi="Avenir Next LT Pro" w:cs="Arial"/>
          <w:sz w:val="18"/>
          <w:szCs w:val="18"/>
          <w:lang w:val="es-MX"/>
        </w:rPr>
        <w:t xml:space="preserve"> Ley de </w:t>
      </w:r>
      <w:r>
        <w:rPr>
          <w:rFonts w:ascii="Avenir Next LT Pro" w:eastAsia="Calibri" w:hAnsi="Avenir Next LT Pro" w:cs="Arial"/>
          <w:sz w:val="18"/>
          <w:szCs w:val="18"/>
          <w:lang w:val="es-MX"/>
        </w:rPr>
        <w:t xml:space="preserve">Vialidad y </w:t>
      </w:r>
      <w:r w:rsidR="00AD3FE3">
        <w:rPr>
          <w:rFonts w:ascii="Avenir Next LT Pro" w:eastAsia="Calibri" w:hAnsi="Avenir Next LT Pro" w:cs="Arial"/>
          <w:sz w:val="18"/>
          <w:szCs w:val="18"/>
          <w:lang w:val="es-MX"/>
        </w:rPr>
        <w:t>Tránsito para el Estado de  Chihuahua</w:t>
      </w:r>
      <w:r w:rsidRPr="009274A6">
        <w:rPr>
          <w:rFonts w:ascii="Avenir Next LT Pro" w:eastAsia="Calibri" w:hAnsi="Avenir Next LT Pro" w:cs="Arial"/>
          <w:sz w:val="18"/>
          <w:szCs w:val="18"/>
          <w:lang w:val="es-MX"/>
        </w:rPr>
        <w:t xml:space="preserve"> en materia de </w:t>
      </w:r>
      <w:r w:rsidR="00AD3FE3">
        <w:rPr>
          <w:rFonts w:ascii="Avenir Next LT Pro" w:eastAsia="Calibri" w:hAnsi="Avenir Next LT Pro" w:cs="Arial"/>
          <w:sz w:val="18"/>
          <w:szCs w:val="18"/>
          <w:lang w:val="es-MX"/>
        </w:rPr>
        <w:t>movilidad eléctrica</w:t>
      </w:r>
      <w:r w:rsidRPr="009274A6">
        <w:rPr>
          <w:rFonts w:ascii="Avenir Next LT Pro" w:eastAsia="Calibri" w:hAnsi="Avenir Next LT Pro" w:cs="Arial"/>
          <w:sz w:val="18"/>
          <w:szCs w:val="18"/>
          <w:lang w:val="es-MX"/>
        </w:rPr>
        <w:t>.</w:t>
      </w:r>
    </w:p>
    <w:p w14:paraId="702C174E" w14:textId="77777777" w:rsidR="00FC35E7" w:rsidRPr="009274A6" w:rsidRDefault="00FC35E7" w:rsidP="00F36A63">
      <w:pPr>
        <w:tabs>
          <w:tab w:val="left" w:pos="540"/>
        </w:tabs>
        <w:spacing w:line="360" w:lineRule="auto"/>
        <w:jc w:val="center"/>
        <w:rPr>
          <w:rFonts w:ascii="Avenir Next LT Pro" w:eastAsia="Calibri" w:hAnsi="Avenir Next LT Pro" w:cs="Arial"/>
          <w:b/>
          <w:bCs/>
          <w:lang w:val="es-MX"/>
        </w:rPr>
      </w:pPr>
    </w:p>
    <w:sectPr w:rsidR="00FC35E7" w:rsidRPr="009274A6" w:rsidSect="005F5A1C">
      <w:headerReference w:type="even" r:id="rId8"/>
      <w:headerReference w:type="default" r:id="rId9"/>
      <w:footerReference w:type="even" r:id="rId10"/>
      <w:footerReference w:type="default" r:id="rId11"/>
      <w:headerReference w:type="first" r:id="rId12"/>
      <w:footerReference w:type="first" r:id="rId13"/>
      <w:pgSz w:w="12240" w:h="15840"/>
      <w:pgMar w:top="2836"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C561" w14:textId="77777777" w:rsidR="00B72BDF" w:rsidRDefault="00B72BDF" w:rsidP="0045616C">
      <w:r>
        <w:separator/>
      </w:r>
    </w:p>
  </w:endnote>
  <w:endnote w:type="continuationSeparator" w:id="0">
    <w:p w14:paraId="6CA60E57" w14:textId="77777777" w:rsidR="00B72BDF" w:rsidRDefault="00B72BDF" w:rsidP="0045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0.5">
    <w:altName w:val="Cambria"/>
    <w:panose1 w:val="00000000000000000000"/>
    <w:charset w:val="00"/>
    <w:family w:val="roman"/>
    <w:notTrueType/>
    <w:pitch w:val="default"/>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D364" w14:textId="77777777" w:rsidR="00BE3F18" w:rsidRDefault="00BE3F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667334"/>
      <w:docPartObj>
        <w:docPartGallery w:val="Page Numbers (Bottom of Page)"/>
        <w:docPartUnique/>
      </w:docPartObj>
    </w:sdtPr>
    <w:sdtEndPr/>
    <w:sdtContent>
      <w:p w14:paraId="6C3612CF" w14:textId="4087B0AD" w:rsidR="001804C1" w:rsidRDefault="001804C1">
        <w:pPr>
          <w:pStyle w:val="Piedepgina"/>
          <w:jc w:val="right"/>
        </w:pPr>
        <w:r>
          <w:fldChar w:fldCharType="begin"/>
        </w:r>
        <w:r>
          <w:instrText>PAGE   \* MERGEFORMAT</w:instrText>
        </w:r>
        <w:r>
          <w:fldChar w:fldCharType="separate"/>
        </w:r>
        <w:r>
          <w:rPr>
            <w:lang w:val="es-ES"/>
          </w:rPr>
          <w:t>2</w:t>
        </w:r>
        <w:r>
          <w:fldChar w:fldCharType="end"/>
        </w:r>
      </w:p>
    </w:sdtContent>
  </w:sdt>
  <w:p w14:paraId="0B41A2EE" w14:textId="748D4FAA" w:rsidR="0045616C" w:rsidRDefault="0045616C" w:rsidP="00E70F29">
    <w:pPr>
      <w:pStyle w:val="Piedepgina"/>
      <w:tabs>
        <w:tab w:val="clear" w:pos="4419"/>
        <w:tab w:val="clear" w:pos="8838"/>
        <w:tab w:val="left" w:pos="787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8AFDC" w14:textId="77777777" w:rsidR="00BE3F18" w:rsidRDefault="00BE3F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4CBA" w14:textId="77777777" w:rsidR="00B72BDF" w:rsidRDefault="00B72BDF" w:rsidP="0045616C">
      <w:r>
        <w:separator/>
      </w:r>
    </w:p>
  </w:footnote>
  <w:footnote w:type="continuationSeparator" w:id="0">
    <w:p w14:paraId="6416761D" w14:textId="77777777" w:rsidR="00B72BDF" w:rsidRDefault="00B72BDF" w:rsidP="0045616C">
      <w:r>
        <w:continuationSeparator/>
      </w:r>
    </w:p>
  </w:footnote>
  <w:footnote w:id="1">
    <w:p w14:paraId="591DCFFB" w14:textId="6DCA4BEC" w:rsidR="0026570F" w:rsidRDefault="0026570F">
      <w:pPr>
        <w:pStyle w:val="Textonotapie"/>
      </w:pPr>
      <w:r>
        <w:rPr>
          <w:rStyle w:val="Refdenotaalpie"/>
        </w:rPr>
        <w:footnoteRef/>
      </w:r>
      <w:r>
        <w:t xml:space="preserve"> </w:t>
      </w:r>
      <w:r w:rsidRPr="00A82F8C">
        <w:t>https://oem.com.mx/la-prensa/marcador/crece-mercado-de-motos-hibridas-y-electricas-en-mexico-15133983</w:t>
      </w:r>
    </w:p>
  </w:footnote>
  <w:footnote w:id="2">
    <w:p w14:paraId="70DD2305" w14:textId="55A9346E" w:rsidR="0019181D" w:rsidRDefault="0019181D">
      <w:pPr>
        <w:pStyle w:val="Textonotapie"/>
      </w:pPr>
      <w:r>
        <w:rPr>
          <w:rStyle w:val="Refdenotaalpie"/>
        </w:rPr>
        <w:footnoteRef/>
      </w:r>
      <w:r>
        <w:t xml:space="preserve"> </w:t>
      </w:r>
      <w:r w:rsidRPr="00273CB7">
        <w:t>https://imt.mx/resumen-boletines.html?IdArticulo=516&amp;IdBoletin=187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D223" w14:textId="77777777" w:rsidR="00BE3F18" w:rsidRDefault="00BE3F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B217" w14:textId="3A70A5B5" w:rsidR="0045616C" w:rsidRDefault="00BE3F18" w:rsidP="0045616C">
    <w:pPr>
      <w:tabs>
        <w:tab w:val="left" w:pos="1275"/>
        <w:tab w:val="right" w:pos="8838"/>
      </w:tabs>
    </w:pPr>
    <w:r>
      <w:rPr>
        <w:noProof/>
      </w:rPr>
      <w:drawing>
        <wp:anchor distT="0" distB="0" distL="114300" distR="114300" simplePos="0" relativeHeight="251655168" behindDoc="1" locked="0" layoutInCell="1" allowOverlap="1" wp14:anchorId="3582179B" wp14:editId="6D6B2DDB">
          <wp:simplePos x="0" y="0"/>
          <wp:positionH relativeFrom="column">
            <wp:posOffset>-437197</wp:posOffset>
          </wp:positionH>
          <wp:positionV relativeFrom="paragraph">
            <wp:posOffset>-273367</wp:posOffset>
          </wp:positionV>
          <wp:extent cx="1000125" cy="1181100"/>
          <wp:effectExtent l="0" t="0" r="9525" b="0"/>
          <wp:wrapNone/>
          <wp:docPr id="77688660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881EDE">
      <w:rPr>
        <w:noProof/>
      </w:rPr>
      <mc:AlternateContent>
        <mc:Choice Requires="wps">
          <w:drawing>
            <wp:anchor distT="0" distB="0" distL="114300" distR="114300" simplePos="0" relativeHeight="251665408" behindDoc="0" locked="0" layoutInCell="1" allowOverlap="1" wp14:anchorId="5DF496AC" wp14:editId="57AF8E9C">
              <wp:simplePos x="0" y="0"/>
              <wp:positionH relativeFrom="column">
                <wp:posOffset>1005840</wp:posOffset>
              </wp:positionH>
              <wp:positionV relativeFrom="paragraph">
                <wp:posOffset>-273367</wp:posOffset>
              </wp:positionV>
              <wp:extent cx="5543550" cy="2857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543550" cy="285750"/>
                      </a:xfrm>
                      <a:prstGeom prst="rect">
                        <a:avLst/>
                      </a:prstGeom>
                      <a:solidFill>
                        <a:sysClr val="window" lastClr="FFFFFF"/>
                      </a:solidFill>
                      <a:ln w="6350">
                        <a:noFill/>
                      </a:ln>
                    </wps:spPr>
                    <wps:txb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DF496AC" id="_x0000_t202" coordsize="21600,21600" o:spt="202" path="m,l,21600r21600,l21600,xe">
              <v:stroke joinstyle="miter"/>
              <v:path gradientshapeok="t" o:connecttype="rect"/>
            </v:shapetype>
            <v:shape id="Cuadro de texto 4" o:spid="_x0000_s1026" type="#_x0000_t202" style="position:absolute;margin-left:79.2pt;margin-top:-21.5pt;width:436.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" fillcolor="window" stroked="f" strokeweight=".5pt">
              <v:textbox>
                <w:txbxContent>
                  <w:p w14:paraId="69E64C28" w14:textId="06410F21" w:rsidR="0045616C" w:rsidRPr="00881EDE" w:rsidRDefault="00881EDE" w:rsidP="00881EDE">
                    <w:pPr>
                      <w:rPr>
                        <w:sz w:val="22"/>
                        <w:szCs w:val="22"/>
                      </w:rPr>
                    </w:pPr>
                    <w:r w:rsidRPr="00881EDE">
                      <w:rPr>
                        <w:sz w:val="22"/>
                        <w:szCs w:val="22"/>
                      </w:rPr>
                      <w:t>"2026, Año del Bicentenario de la Abolición de la Esclavitud en el Estado de Chihuahua"</w:t>
                    </w:r>
                  </w:p>
                  <w:p w14:paraId="43048514" w14:textId="77777777" w:rsidR="0045616C" w:rsidRDefault="0045616C" w:rsidP="0045616C"/>
                </w:txbxContent>
              </v:textbox>
            </v:shape>
          </w:pict>
        </mc:Fallback>
      </mc:AlternateContent>
    </w:r>
    <w:r w:rsidR="0045616C">
      <w:rPr>
        <w:noProof/>
      </w:rPr>
      <mc:AlternateContent>
        <mc:Choice Requires="wps">
          <w:drawing>
            <wp:anchor distT="0" distB="0" distL="114300" distR="114300" simplePos="0" relativeHeight="251660288" behindDoc="1" locked="0" layoutInCell="1" allowOverlap="1" wp14:anchorId="02F98992" wp14:editId="1D16E62A">
              <wp:simplePos x="0" y="0"/>
              <wp:positionH relativeFrom="margin">
                <wp:posOffset>1202055</wp:posOffset>
              </wp:positionH>
              <wp:positionV relativeFrom="paragraph">
                <wp:posOffset>179705</wp:posOffset>
              </wp:positionV>
              <wp:extent cx="5511165" cy="1270"/>
              <wp:effectExtent l="0" t="19050" r="13335" b="1778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165" cy="1270"/>
                      </a:xfrm>
                      <a:custGeom>
                        <a:avLst/>
                        <a:gdLst/>
                        <a:ahLst/>
                        <a:cxnLst/>
                        <a:rect l="l" t="t" r="r" b="b"/>
                        <a:pathLst>
                          <a:path w="5511165">
                            <a:moveTo>
                              <a:pt x="0" y="0"/>
                            </a:moveTo>
                            <a:lnTo>
                              <a:pt x="5510980" y="0"/>
                            </a:lnTo>
                          </a:path>
                        </a:pathLst>
                      </a:custGeom>
                      <a:ln w="30493">
                        <a:solidFill>
                          <a:srgbClr val="802442"/>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08538A0" id="Graphic 2" o:spid="_x0000_s1026" style="position:absolute;margin-left:94.65pt;margin-top:14.15pt;width:433.95pt;height:.1pt;z-index:-251656192;visibility:visible;mso-wrap-style:square;mso-wrap-distance-left:9pt;mso-wrap-distance-top:0;mso-wrap-distance-right:9pt;mso-wrap-distance-bottom:0;mso-position-horizontal:absolute;mso-position-horizontal-relative:margin;mso-position-vertical:absolute;mso-position-vertical-relative:text;v-text-anchor:top" coordsize="5511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" path="m,l5510980,e" filled="f" strokecolor="#802442" strokeweight=".84703mm">
              <v:path arrowok="t"/>
              <w10:wrap anchorx="margin"/>
            </v:shape>
          </w:pict>
        </mc:Fallback>
      </mc:AlternateContent>
    </w:r>
    <w:r w:rsidR="0045616C">
      <w:tab/>
    </w:r>
  </w:p>
  <w:p w14:paraId="119B6EAC" w14:textId="6CC624B0" w:rsidR="0045616C" w:rsidRDefault="0045616C" w:rsidP="0045616C">
    <w:pPr>
      <w:tabs>
        <w:tab w:val="left" w:pos="1275"/>
        <w:tab w:val="right" w:pos="8838"/>
      </w:tabs>
    </w:pPr>
  </w:p>
  <w:p w14:paraId="6400C013" w14:textId="05AE8DF4" w:rsidR="00421DA3" w:rsidRDefault="0045616C" w:rsidP="00421DA3">
    <w:pPr>
      <w:pStyle w:val="Encabezado"/>
      <w:jc w:val="right"/>
    </w:pPr>
    <w:r>
      <w:tab/>
    </w:r>
    <w:r w:rsidR="00421DA3">
      <w:rPr>
        <w:rFonts w:ascii="Edwardian Script ITC" w:hAnsi="Edwardian Script ITC"/>
        <w:b/>
        <w:sz w:val="44"/>
      </w:rPr>
      <w:t xml:space="preserve">Diputado José Luis </w:t>
    </w:r>
    <w:proofErr w:type="gramStart"/>
    <w:r w:rsidR="00421DA3">
      <w:rPr>
        <w:rFonts w:ascii="Edwardian Script ITC" w:hAnsi="Edwardian Script ITC"/>
        <w:b/>
        <w:sz w:val="44"/>
      </w:rPr>
      <w:t>Villalobos  García</w:t>
    </w:r>
    <w:proofErr w:type="gramEnd"/>
  </w:p>
  <w:p w14:paraId="368855CB" w14:textId="7F7388BE" w:rsidR="0045616C" w:rsidRDefault="0045616C" w:rsidP="00421DA3">
    <w:pPr>
      <w:tabs>
        <w:tab w:val="left" w:pos="1275"/>
        <w:tab w:val="right" w:pos="8838"/>
      </w:tabs>
      <w:jc w:val="right"/>
    </w:pPr>
  </w:p>
  <w:p w14:paraId="238F320C" w14:textId="0E51D098" w:rsidR="0045616C" w:rsidRDefault="00800023">
    <w:pPr>
      <w:pStyle w:val="Encabezado"/>
    </w:pPr>
    <w:r>
      <w:rPr>
        <w:noProof/>
      </w:rPr>
      <mc:AlternateContent>
        <mc:Choice Requires="wps">
          <w:drawing>
            <wp:anchor distT="0" distB="0" distL="114300" distR="114300" simplePos="0" relativeHeight="251651072" behindDoc="0" locked="0" layoutInCell="1" allowOverlap="1" wp14:anchorId="790C3EA9" wp14:editId="03553332">
              <wp:simplePos x="0" y="0"/>
              <wp:positionH relativeFrom="margin">
                <wp:posOffset>-889635</wp:posOffset>
              </wp:positionH>
              <wp:positionV relativeFrom="paragraph">
                <wp:posOffset>112395</wp:posOffset>
              </wp:positionV>
              <wp:extent cx="2114550" cy="4476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2114550" cy="447675"/>
                      </a:xfrm>
                      <a:prstGeom prst="rect">
                        <a:avLst/>
                      </a:prstGeom>
                      <a:solidFill>
                        <a:sysClr val="window" lastClr="FFFFFF"/>
                      </a:solidFill>
                      <a:ln w="6350">
                        <a:noFill/>
                      </a:ln>
                    </wps:spPr>
                    <wps:txb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0C3EA9" id="Cuadro de texto 5" o:spid="_x0000_s1027" type="#_x0000_t202" style="position:absolute;margin-left:-70.05pt;margin-top:8.85pt;width:166.5pt;height:3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" fillcolor="window" stroked="f" strokeweight=".5pt">
              <v:textbox>
                <w:txbxContent>
                  <w:p w14:paraId="2F1E8531" w14:textId="0541777F" w:rsidR="0045616C" w:rsidRPr="007762C5" w:rsidRDefault="0045616C" w:rsidP="0045616C">
                    <w:pPr>
                      <w:jc w:val="center"/>
                      <w:rPr>
                        <w:rFonts w:ascii="Bell MT" w:hAnsi="Bell MT"/>
                        <w:b/>
                        <w:bCs/>
                        <w:sz w:val="20"/>
                        <w:szCs w:val="20"/>
                      </w:rPr>
                    </w:pPr>
                    <w:r w:rsidRPr="007762C5">
                      <w:rPr>
                        <w:rFonts w:ascii="Bell MT" w:hAnsi="Bell MT"/>
                        <w:b/>
                        <w:bCs/>
                        <w:sz w:val="20"/>
                        <w:szCs w:val="20"/>
                      </w:rPr>
                      <w:t>H.</w:t>
                    </w:r>
                    <w:r w:rsidR="007762C5" w:rsidRPr="007762C5">
                      <w:rPr>
                        <w:rFonts w:ascii="Bell MT" w:hAnsi="Bell MT"/>
                        <w:b/>
                        <w:bCs/>
                        <w:sz w:val="20"/>
                        <w:szCs w:val="20"/>
                      </w:rPr>
                      <w:t xml:space="preserve"> </w:t>
                    </w:r>
                    <w:r w:rsidRPr="007762C5">
                      <w:rPr>
                        <w:rFonts w:ascii="Bell MT" w:hAnsi="Bell MT"/>
                        <w:b/>
                        <w:bCs/>
                        <w:sz w:val="20"/>
                        <w:szCs w:val="20"/>
                      </w:rPr>
                      <w:t>CONGRESO DEL ESTADO DE CHIHUAHUA</w:t>
                    </w:r>
                  </w:p>
                  <w:p w14:paraId="40E87EE5" w14:textId="77777777" w:rsidR="0045616C" w:rsidRPr="0045616C" w:rsidRDefault="0045616C" w:rsidP="0045616C"/>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C82C" w14:textId="77777777" w:rsidR="00BE3F18" w:rsidRDefault="00BE3F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294E"/>
    <w:multiLevelType w:val="multilevel"/>
    <w:tmpl w:val="90F46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00ACD"/>
    <w:multiLevelType w:val="hybridMultilevel"/>
    <w:tmpl w:val="228826F8"/>
    <w:lvl w:ilvl="0" w:tplc="083682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D5A58"/>
    <w:multiLevelType w:val="multilevel"/>
    <w:tmpl w:val="6E54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56DC6"/>
    <w:multiLevelType w:val="hybridMultilevel"/>
    <w:tmpl w:val="8A80C75C"/>
    <w:lvl w:ilvl="0" w:tplc="63342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6C"/>
    <w:rsid w:val="0001215B"/>
    <w:rsid w:val="000130C8"/>
    <w:rsid w:val="00015D63"/>
    <w:rsid w:val="00016588"/>
    <w:rsid w:val="00020588"/>
    <w:rsid w:val="00067947"/>
    <w:rsid w:val="00071870"/>
    <w:rsid w:val="0007480E"/>
    <w:rsid w:val="00080C12"/>
    <w:rsid w:val="000900F8"/>
    <w:rsid w:val="000A7F74"/>
    <w:rsid w:val="000D1D5F"/>
    <w:rsid w:val="000E0A39"/>
    <w:rsid w:val="00104C42"/>
    <w:rsid w:val="0012729B"/>
    <w:rsid w:val="001518D0"/>
    <w:rsid w:val="001531D8"/>
    <w:rsid w:val="0015759C"/>
    <w:rsid w:val="0017726C"/>
    <w:rsid w:val="001804C1"/>
    <w:rsid w:val="0019181D"/>
    <w:rsid w:val="001B0BE4"/>
    <w:rsid w:val="001D0C1B"/>
    <w:rsid w:val="001D3A2F"/>
    <w:rsid w:val="001D48D2"/>
    <w:rsid w:val="001E4036"/>
    <w:rsid w:val="0021523D"/>
    <w:rsid w:val="002160E9"/>
    <w:rsid w:val="002240C5"/>
    <w:rsid w:val="002260E7"/>
    <w:rsid w:val="002410B0"/>
    <w:rsid w:val="002505F6"/>
    <w:rsid w:val="00252EC7"/>
    <w:rsid w:val="0026570F"/>
    <w:rsid w:val="00267B72"/>
    <w:rsid w:val="00275351"/>
    <w:rsid w:val="002822BA"/>
    <w:rsid w:val="00285928"/>
    <w:rsid w:val="002866EC"/>
    <w:rsid w:val="00287650"/>
    <w:rsid w:val="002A1E84"/>
    <w:rsid w:val="002C1212"/>
    <w:rsid w:val="002E24B2"/>
    <w:rsid w:val="0030641A"/>
    <w:rsid w:val="00307A74"/>
    <w:rsid w:val="00313F94"/>
    <w:rsid w:val="00317B41"/>
    <w:rsid w:val="0032581A"/>
    <w:rsid w:val="00327F5A"/>
    <w:rsid w:val="00346C4B"/>
    <w:rsid w:val="00347016"/>
    <w:rsid w:val="00354767"/>
    <w:rsid w:val="003B7948"/>
    <w:rsid w:val="003C3981"/>
    <w:rsid w:val="003D7EB4"/>
    <w:rsid w:val="003E156C"/>
    <w:rsid w:val="004003AB"/>
    <w:rsid w:val="00402637"/>
    <w:rsid w:val="004076A4"/>
    <w:rsid w:val="00411B0A"/>
    <w:rsid w:val="00413F2D"/>
    <w:rsid w:val="00421DA3"/>
    <w:rsid w:val="00445843"/>
    <w:rsid w:val="0045616C"/>
    <w:rsid w:val="00464419"/>
    <w:rsid w:val="0046489A"/>
    <w:rsid w:val="00482CB3"/>
    <w:rsid w:val="00483040"/>
    <w:rsid w:val="004835FF"/>
    <w:rsid w:val="00483771"/>
    <w:rsid w:val="00486EBF"/>
    <w:rsid w:val="00491FFC"/>
    <w:rsid w:val="00493631"/>
    <w:rsid w:val="004C657E"/>
    <w:rsid w:val="004F0750"/>
    <w:rsid w:val="004F5752"/>
    <w:rsid w:val="00505101"/>
    <w:rsid w:val="00551B02"/>
    <w:rsid w:val="0056432C"/>
    <w:rsid w:val="00574860"/>
    <w:rsid w:val="005A40C9"/>
    <w:rsid w:val="005B6042"/>
    <w:rsid w:val="005C76D0"/>
    <w:rsid w:val="005D4187"/>
    <w:rsid w:val="005E6C64"/>
    <w:rsid w:val="005F5A1C"/>
    <w:rsid w:val="00627814"/>
    <w:rsid w:val="0063570B"/>
    <w:rsid w:val="006359AC"/>
    <w:rsid w:val="00646DDB"/>
    <w:rsid w:val="00663232"/>
    <w:rsid w:val="006679FB"/>
    <w:rsid w:val="00670AF6"/>
    <w:rsid w:val="006717BA"/>
    <w:rsid w:val="006A6711"/>
    <w:rsid w:val="006B583D"/>
    <w:rsid w:val="006D7058"/>
    <w:rsid w:val="006D7FD9"/>
    <w:rsid w:val="006E6085"/>
    <w:rsid w:val="006F0B98"/>
    <w:rsid w:val="006F6A6B"/>
    <w:rsid w:val="0070170A"/>
    <w:rsid w:val="00735AFC"/>
    <w:rsid w:val="007671DC"/>
    <w:rsid w:val="007762C5"/>
    <w:rsid w:val="00784F44"/>
    <w:rsid w:val="00791D14"/>
    <w:rsid w:val="00794EBE"/>
    <w:rsid w:val="007A7B43"/>
    <w:rsid w:val="007D0159"/>
    <w:rsid w:val="007E1D87"/>
    <w:rsid w:val="007E385B"/>
    <w:rsid w:val="007E55A8"/>
    <w:rsid w:val="00800023"/>
    <w:rsid w:val="008022E7"/>
    <w:rsid w:val="00821F66"/>
    <w:rsid w:val="00823772"/>
    <w:rsid w:val="00827B26"/>
    <w:rsid w:val="0084214B"/>
    <w:rsid w:val="00853F70"/>
    <w:rsid w:val="008660D1"/>
    <w:rsid w:val="00881EDE"/>
    <w:rsid w:val="00882223"/>
    <w:rsid w:val="00885432"/>
    <w:rsid w:val="008A57BA"/>
    <w:rsid w:val="008B3FDB"/>
    <w:rsid w:val="008E164D"/>
    <w:rsid w:val="008E66A3"/>
    <w:rsid w:val="008F0CAA"/>
    <w:rsid w:val="008F6A60"/>
    <w:rsid w:val="009011FF"/>
    <w:rsid w:val="009170EA"/>
    <w:rsid w:val="009274A6"/>
    <w:rsid w:val="009326C8"/>
    <w:rsid w:val="009645D3"/>
    <w:rsid w:val="00964FAC"/>
    <w:rsid w:val="00996B61"/>
    <w:rsid w:val="00997D71"/>
    <w:rsid w:val="009B7D19"/>
    <w:rsid w:val="009D7009"/>
    <w:rsid w:val="009F75D5"/>
    <w:rsid w:val="00A04DF7"/>
    <w:rsid w:val="00A2527B"/>
    <w:rsid w:val="00A31CA5"/>
    <w:rsid w:val="00A50220"/>
    <w:rsid w:val="00A5356C"/>
    <w:rsid w:val="00A5585F"/>
    <w:rsid w:val="00A724AC"/>
    <w:rsid w:val="00A96F2D"/>
    <w:rsid w:val="00AA098F"/>
    <w:rsid w:val="00AB52DF"/>
    <w:rsid w:val="00AB655F"/>
    <w:rsid w:val="00AC41AF"/>
    <w:rsid w:val="00AD3FE3"/>
    <w:rsid w:val="00AE1B28"/>
    <w:rsid w:val="00AF0C12"/>
    <w:rsid w:val="00AF3AA7"/>
    <w:rsid w:val="00B03C44"/>
    <w:rsid w:val="00B04B9E"/>
    <w:rsid w:val="00B10B0A"/>
    <w:rsid w:val="00B129B9"/>
    <w:rsid w:val="00B13625"/>
    <w:rsid w:val="00B22A34"/>
    <w:rsid w:val="00B236F4"/>
    <w:rsid w:val="00B343BC"/>
    <w:rsid w:val="00B35205"/>
    <w:rsid w:val="00B62D7C"/>
    <w:rsid w:val="00B72BDF"/>
    <w:rsid w:val="00B95569"/>
    <w:rsid w:val="00BC623B"/>
    <w:rsid w:val="00BD05B2"/>
    <w:rsid w:val="00BE3417"/>
    <w:rsid w:val="00BE3F18"/>
    <w:rsid w:val="00BF6C86"/>
    <w:rsid w:val="00C02625"/>
    <w:rsid w:val="00C07100"/>
    <w:rsid w:val="00C14F97"/>
    <w:rsid w:val="00C16D6B"/>
    <w:rsid w:val="00C17DBC"/>
    <w:rsid w:val="00C2560C"/>
    <w:rsid w:val="00C40885"/>
    <w:rsid w:val="00C42079"/>
    <w:rsid w:val="00C4450C"/>
    <w:rsid w:val="00C47620"/>
    <w:rsid w:val="00C7114F"/>
    <w:rsid w:val="00C93177"/>
    <w:rsid w:val="00C97168"/>
    <w:rsid w:val="00CA2804"/>
    <w:rsid w:val="00CC2E8F"/>
    <w:rsid w:val="00CC6B48"/>
    <w:rsid w:val="00CE2CD5"/>
    <w:rsid w:val="00CF443C"/>
    <w:rsid w:val="00D01CC3"/>
    <w:rsid w:val="00D04734"/>
    <w:rsid w:val="00D10274"/>
    <w:rsid w:val="00D16BC8"/>
    <w:rsid w:val="00D24255"/>
    <w:rsid w:val="00D345D3"/>
    <w:rsid w:val="00D4367E"/>
    <w:rsid w:val="00D6067E"/>
    <w:rsid w:val="00DA4BDC"/>
    <w:rsid w:val="00DA5BE9"/>
    <w:rsid w:val="00DB34B5"/>
    <w:rsid w:val="00DB7DA5"/>
    <w:rsid w:val="00DC4F1F"/>
    <w:rsid w:val="00DE6171"/>
    <w:rsid w:val="00DE62E1"/>
    <w:rsid w:val="00DE6C9A"/>
    <w:rsid w:val="00DF3620"/>
    <w:rsid w:val="00DF70DA"/>
    <w:rsid w:val="00E42031"/>
    <w:rsid w:val="00E54A1F"/>
    <w:rsid w:val="00E558A2"/>
    <w:rsid w:val="00E56182"/>
    <w:rsid w:val="00E70F29"/>
    <w:rsid w:val="00E92861"/>
    <w:rsid w:val="00EA18C1"/>
    <w:rsid w:val="00EA6BBD"/>
    <w:rsid w:val="00EB065A"/>
    <w:rsid w:val="00EB7247"/>
    <w:rsid w:val="00EC16D9"/>
    <w:rsid w:val="00EE0352"/>
    <w:rsid w:val="00EF0FC6"/>
    <w:rsid w:val="00EF3D22"/>
    <w:rsid w:val="00F1231C"/>
    <w:rsid w:val="00F30B35"/>
    <w:rsid w:val="00F32617"/>
    <w:rsid w:val="00F36A63"/>
    <w:rsid w:val="00F45048"/>
    <w:rsid w:val="00F83088"/>
    <w:rsid w:val="00F84B68"/>
    <w:rsid w:val="00F87A83"/>
    <w:rsid w:val="00F94529"/>
    <w:rsid w:val="00F9789D"/>
    <w:rsid w:val="00FA36BB"/>
    <w:rsid w:val="00FB4059"/>
    <w:rsid w:val="00FB75FB"/>
    <w:rsid w:val="00FC35E7"/>
    <w:rsid w:val="00FD3F27"/>
    <w:rsid w:val="00FF25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1D5F"/>
  <w15:chartTrackingRefBased/>
  <w15:docId w15:val="{723F1255-3DEC-44B8-8C92-C03BFD25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qFormat/>
    <w:rsid w:val="0045616C"/>
  </w:style>
  <w:style w:type="paragraph" w:styleId="Piedepgina">
    <w:name w:val="footer"/>
    <w:basedOn w:val="Normal"/>
    <w:link w:val="PiedepginaCar"/>
    <w:uiPriority w:val="99"/>
    <w:unhideWhenUsed/>
    <w:rsid w:val="0045616C"/>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5616C"/>
  </w:style>
  <w:style w:type="paragraph" w:styleId="Ttulo">
    <w:name w:val="Title"/>
    <w:basedOn w:val="Normal"/>
    <w:link w:val="TtuloCar"/>
    <w:uiPriority w:val="10"/>
    <w:qFormat/>
    <w:rsid w:val="0045616C"/>
    <w:pPr>
      <w:widowControl w:val="0"/>
      <w:autoSpaceDE w:val="0"/>
      <w:autoSpaceDN w:val="0"/>
      <w:spacing w:before="13"/>
      <w:ind w:left="20" w:hanging="507"/>
    </w:pPr>
    <w:rPr>
      <w:rFonts w:ascii="Arial" w:eastAsia="Arial" w:hAnsi="Arial" w:cs="Arial"/>
      <w:sz w:val="22"/>
      <w:szCs w:val="22"/>
      <w:lang w:eastAsia="en-US"/>
    </w:rPr>
  </w:style>
  <w:style w:type="character" w:customStyle="1" w:styleId="TtuloCar">
    <w:name w:val="Título Car"/>
    <w:basedOn w:val="Fuentedeprrafopredeter"/>
    <w:link w:val="Ttulo"/>
    <w:uiPriority w:val="10"/>
    <w:rsid w:val="0045616C"/>
    <w:rPr>
      <w:rFonts w:ascii="Arial" w:eastAsia="Arial" w:hAnsi="Arial" w:cs="Arial"/>
      <w:lang w:val="es-ES"/>
    </w:rPr>
  </w:style>
  <w:style w:type="table" w:styleId="Tablaconcuadrcula">
    <w:name w:val="Table Grid"/>
    <w:basedOn w:val="Tablanormal"/>
    <w:uiPriority w:val="39"/>
    <w:rsid w:val="00C02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617"/>
    <w:pPr>
      <w:spacing w:before="100" w:beforeAutospacing="1" w:after="100" w:afterAutospacing="1"/>
    </w:pPr>
    <w:rPr>
      <w:lang w:val="es-MX" w:eastAsia="es-MX"/>
    </w:rPr>
  </w:style>
  <w:style w:type="character" w:styleId="Textoennegrita">
    <w:name w:val="Strong"/>
    <w:basedOn w:val="Fuentedeprrafopredeter"/>
    <w:uiPriority w:val="22"/>
    <w:qFormat/>
    <w:rsid w:val="00F32617"/>
    <w:rPr>
      <w:b/>
      <w:bCs/>
    </w:rPr>
  </w:style>
  <w:style w:type="character" w:styleId="nfasis">
    <w:name w:val="Emphasis"/>
    <w:basedOn w:val="Fuentedeprrafopredeter"/>
    <w:uiPriority w:val="20"/>
    <w:qFormat/>
    <w:rsid w:val="00F32617"/>
    <w:rPr>
      <w:i/>
      <w:iCs/>
    </w:rPr>
  </w:style>
  <w:style w:type="character" w:styleId="Refdenotaalpie">
    <w:name w:val="footnote reference"/>
    <w:basedOn w:val="Fuentedeprrafopredeter"/>
    <w:uiPriority w:val="99"/>
    <w:semiHidden/>
    <w:unhideWhenUsed/>
    <w:qFormat/>
    <w:rsid w:val="005F5A1C"/>
    <w:rPr>
      <w:vertAlign w:val="superscript"/>
    </w:rPr>
  </w:style>
  <w:style w:type="paragraph" w:styleId="Textonotapie">
    <w:name w:val="footnote text"/>
    <w:basedOn w:val="Normal"/>
    <w:link w:val="TextonotapieCar"/>
    <w:uiPriority w:val="99"/>
    <w:semiHidden/>
    <w:unhideWhenUsed/>
    <w:qFormat/>
    <w:rsid w:val="005F5A1C"/>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5F5A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6228-E009-4D89-BEC5-27C4D77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1896</Words>
  <Characters>10433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Araly Loera Chaparro</dc:creator>
  <cp:keywords/>
  <dc:description/>
  <cp:lastModifiedBy>Andrea Daniela Flores Chacon</cp:lastModifiedBy>
  <cp:revision>2</cp:revision>
  <cp:lastPrinted>2026-05-28T18:32:00Z</cp:lastPrinted>
  <dcterms:created xsi:type="dcterms:W3CDTF">2026-05-28T21:03:00Z</dcterms:created>
  <dcterms:modified xsi:type="dcterms:W3CDTF">2026-05-28T21:03:00Z</dcterms:modified>
</cp:coreProperties>
</file>