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794E" w14:textId="2D08B1BA" w:rsidR="000D1D5F" w:rsidRDefault="000D1D5F" w:rsidP="000D1D5F">
      <w:pPr>
        <w:tabs>
          <w:tab w:val="left" w:pos="540"/>
        </w:tabs>
        <w:jc w:val="both"/>
        <w:rPr>
          <w:rFonts w:ascii="10.5" w:hAnsi="10.5"/>
          <w:b/>
          <w:sz w:val="26"/>
          <w:szCs w:val="26"/>
        </w:rPr>
      </w:pPr>
    </w:p>
    <w:p w14:paraId="278EF293" w14:textId="77777777" w:rsidR="00747E0E" w:rsidRDefault="00747E0E" w:rsidP="000D1D5F">
      <w:pPr>
        <w:tabs>
          <w:tab w:val="left" w:pos="540"/>
        </w:tabs>
        <w:jc w:val="both"/>
        <w:rPr>
          <w:rFonts w:ascii="10.5" w:hAnsi="10.5"/>
          <w:b/>
          <w:sz w:val="26"/>
          <w:szCs w:val="26"/>
        </w:rPr>
      </w:pPr>
    </w:p>
    <w:p w14:paraId="6EA3183A" w14:textId="7646840C" w:rsidR="00996B61" w:rsidRDefault="00996B61" w:rsidP="00996B61">
      <w:pPr>
        <w:spacing w:line="360" w:lineRule="auto"/>
        <w:jc w:val="right"/>
        <w:rPr>
          <w:rFonts w:ascii="Avenir Next LT Pro" w:eastAsia="Calibri" w:hAnsi="Avenir Next LT Pro" w:cs="Arial"/>
        </w:rPr>
      </w:pPr>
      <w:r>
        <w:rPr>
          <w:rFonts w:ascii="Avenir Next LT Pro" w:eastAsia="Calibri" w:hAnsi="Avenir Next LT Pro" w:cs="Arial"/>
        </w:rPr>
        <w:t xml:space="preserve">Chihuahua, Chihuahua a </w:t>
      </w:r>
      <w:r w:rsidR="009E6EAB">
        <w:rPr>
          <w:rFonts w:ascii="Avenir Next LT Pro" w:eastAsia="Calibri" w:hAnsi="Avenir Next LT Pro" w:cs="Arial"/>
        </w:rPr>
        <w:t>19</w:t>
      </w:r>
      <w:r w:rsidR="00DB34B5">
        <w:rPr>
          <w:rFonts w:ascii="Avenir Next LT Pro" w:eastAsia="Calibri" w:hAnsi="Avenir Next LT Pro" w:cs="Arial"/>
        </w:rPr>
        <w:t xml:space="preserve"> de </w:t>
      </w:r>
      <w:proofErr w:type="gramStart"/>
      <w:r w:rsidR="00AA434A">
        <w:rPr>
          <w:rFonts w:ascii="Avenir Next LT Pro" w:eastAsia="Calibri" w:hAnsi="Avenir Next LT Pro" w:cs="Arial"/>
        </w:rPr>
        <w:t>Mayo</w:t>
      </w:r>
      <w:proofErr w:type="gramEnd"/>
      <w:r w:rsidR="00AA434A">
        <w:rPr>
          <w:rFonts w:ascii="Avenir Next LT Pro" w:eastAsia="Calibri" w:hAnsi="Avenir Next LT Pro" w:cs="Arial"/>
        </w:rPr>
        <w:t xml:space="preserve"> </w:t>
      </w:r>
      <w:r w:rsidR="00DB34B5">
        <w:rPr>
          <w:rFonts w:ascii="Avenir Next LT Pro" w:eastAsia="Calibri" w:hAnsi="Avenir Next LT Pro" w:cs="Arial"/>
        </w:rPr>
        <w:t>de 2026</w:t>
      </w:r>
    </w:p>
    <w:p w14:paraId="55EDF7AA" w14:textId="77777777" w:rsidR="00996B61" w:rsidRDefault="00996B61" w:rsidP="00996B61">
      <w:pPr>
        <w:spacing w:line="360" w:lineRule="auto"/>
        <w:jc w:val="right"/>
        <w:rPr>
          <w:rFonts w:ascii="Avenir Next LT Pro" w:eastAsia="Calibri" w:hAnsi="Avenir Next LT Pro" w:cs="Arial"/>
        </w:rPr>
      </w:pPr>
    </w:p>
    <w:p w14:paraId="4633E78E" w14:textId="77777777" w:rsidR="00747E0E" w:rsidRDefault="00747E0E" w:rsidP="00996B61">
      <w:pPr>
        <w:spacing w:line="360" w:lineRule="auto"/>
        <w:jc w:val="right"/>
        <w:rPr>
          <w:rFonts w:ascii="Avenir Next LT Pro" w:eastAsia="Calibri" w:hAnsi="Avenir Next LT Pro" w:cs="Arial"/>
        </w:rPr>
      </w:pPr>
    </w:p>
    <w:p w14:paraId="254322E8" w14:textId="77777777" w:rsidR="00996B61" w:rsidRDefault="00996B61" w:rsidP="00996B61">
      <w:pPr>
        <w:spacing w:line="360" w:lineRule="auto"/>
        <w:jc w:val="both"/>
        <w:rPr>
          <w:rFonts w:ascii="Avenir Next LT Pro" w:eastAsia="Calibri" w:hAnsi="Avenir Next LT Pro" w:cs="Arial"/>
          <w:b/>
          <w:bCs/>
        </w:rPr>
      </w:pPr>
      <w:r>
        <w:rPr>
          <w:rFonts w:ascii="Avenir Next LT Pro" w:eastAsia="Calibri" w:hAnsi="Avenir Next LT Pro" w:cs="Arial"/>
          <w:b/>
          <w:bCs/>
        </w:rPr>
        <w:t>H. CONGRESO DEL ESTADO</w:t>
      </w:r>
    </w:p>
    <w:p w14:paraId="1B9EE936" w14:textId="77777777" w:rsidR="00996B61" w:rsidRDefault="00996B61" w:rsidP="00996B61">
      <w:pPr>
        <w:spacing w:line="360" w:lineRule="auto"/>
        <w:jc w:val="both"/>
        <w:rPr>
          <w:rFonts w:ascii="Avenir Next LT Pro" w:eastAsia="Calibri" w:hAnsi="Avenir Next LT Pro" w:cs="Arial"/>
          <w:b/>
          <w:bCs/>
        </w:rPr>
      </w:pPr>
      <w:r>
        <w:rPr>
          <w:rFonts w:ascii="Avenir Next LT Pro" w:eastAsia="Calibri" w:hAnsi="Avenir Next LT Pro" w:cs="Arial"/>
          <w:b/>
          <w:bCs/>
        </w:rPr>
        <w:t xml:space="preserve">P R E S E N T E.- </w:t>
      </w:r>
    </w:p>
    <w:p w14:paraId="6438EFF8" w14:textId="2AE69875" w:rsidR="00996B61" w:rsidRPr="00E21EC3" w:rsidRDefault="00996B61" w:rsidP="00996B61">
      <w:pPr>
        <w:spacing w:line="360" w:lineRule="auto"/>
        <w:jc w:val="both"/>
        <w:rPr>
          <w:rFonts w:ascii="Avenir Next LT Pro" w:eastAsia="Calibri" w:hAnsi="Avenir Next LT Pro" w:cs="Arial"/>
          <w:b/>
          <w:bCs/>
        </w:rPr>
      </w:pPr>
      <w:r>
        <w:rPr>
          <w:rFonts w:ascii="Avenir Next LT Pro" w:eastAsia="Calibri" w:hAnsi="Avenir Next LT Pro" w:cs="Arial"/>
          <w:b/>
          <w:bCs/>
        </w:rPr>
        <w:t>JOSÉ LUIS VILLALOBOS GARCÍA</w:t>
      </w:r>
      <w:r>
        <w:rPr>
          <w:rFonts w:ascii="Avenir Next LT Pro" w:eastAsia="Calibri" w:hAnsi="Avenir Next LT Pro" w:cs="Arial"/>
        </w:rPr>
        <w:t xml:space="preserve">, Diputado de la Sexagésima Octava Legislatura del Honorable Congreso del Estado, </w:t>
      </w:r>
      <w:r w:rsidR="00EC1161" w:rsidRPr="00EC1161">
        <w:rPr>
          <w:rFonts w:ascii="Avenir Next LT Pro" w:eastAsia="Calibri" w:hAnsi="Avenir Next LT Pro" w:cs="Arial"/>
        </w:rPr>
        <w:t>y a nombre del Grupo Parlamentario del Partido Revolucionario Institucional,</w:t>
      </w:r>
      <w:r>
        <w:rPr>
          <w:rFonts w:ascii="Avenir Next LT Pro" w:eastAsia="Calibri" w:hAnsi="Avenir Next LT Pro" w:cs="Arial"/>
        </w:rPr>
        <w:t xml:space="preserve"> con fundamento en lo que dispone los artículos 68, fracción I de la Constitución Política del Estado Libre y Soberano de Chihuahua 167, fracción I, 168, 168 BIS y 170 de la Ley Orgánica del Poder Legislativo, 2, fracción IV, 75, 76, fracción V, 77 y 102 del Reglamento Interior y de Prácticas Parlamentarias del Poder Legislativo, y demás relativos </w:t>
      </w:r>
      <w:r w:rsidR="006A63CB" w:rsidRPr="006A63CB">
        <w:rPr>
          <w:rFonts w:ascii="Avenir Next LT Pro" w:eastAsia="Calibri" w:hAnsi="Avenir Next LT Pro" w:cs="Arial"/>
        </w:rPr>
        <w:t>acudimos ante esta Honorable Asamblea Legislativa</w:t>
      </w:r>
      <w:r>
        <w:rPr>
          <w:rFonts w:ascii="Avenir Next LT Pro" w:eastAsia="Calibri" w:hAnsi="Avenir Next LT Pro" w:cs="Arial"/>
        </w:rPr>
        <w:t>, a fin de presentar</w:t>
      </w:r>
      <w:r>
        <w:rPr>
          <w:rFonts w:ascii="Avenir Next LT Pro" w:eastAsia="Calibri" w:hAnsi="Avenir Next LT Pro" w:cs="Arial"/>
          <w:b/>
          <w:bCs/>
        </w:rPr>
        <w:t xml:space="preserve">; </w:t>
      </w:r>
      <w:r w:rsidR="007403DD" w:rsidRPr="007403DD">
        <w:rPr>
          <w:rFonts w:ascii="Avenir Next LT Pro" w:eastAsia="Calibri" w:hAnsi="Avenir Next LT Pro" w:cs="Arial"/>
          <w:b/>
          <w:bCs/>
        </w:rPr>
        <w:t xml:space="preserve">INICIATIVA CON CARÁCTER DE DECRETO </w:t>
      </w:r>
      <w:r w:rsidR="007403DD">
        <w:rPr>
          <w:rFonts w:ascii="Avenir Next LT Pro" w:eastAsia="Calibri" w:hAnsi="Avenir Next LT Pro" w:cs="Arial"/>
          <w:b/>
          <w:bCs/>
        </w:rPr>
        <w:t xml:space="preserve">A EFECTO DE REFORMAR Y ADICIONAR </w:t>
      </w:r>
      <w:r w:rsidR="007403DD" w:rsidRPr="007403DD">
        <w:rPr>
          <w:rFonts w:ascii="Avenir Next LT Pro" w:eastAsia="Calibri" w:hAnsi="Avenir Next LT Pro" w:cs="Arial"/>
          <w:b/>
          <w:bCs/>
        </w:rPr>
        <w:t xml:space="preserve"> LA LEY </w:t>
      </w:r>
      <w:r w:rsidR="003B6B39">
        <w:rPr>
          <w:rFonts w:ascii="Avenir Next LT Pro" w:eastAsia="Calibri" w:hAnsi="Avenir Next LT Pro" w:cs="Arial"/>
          <w:b/>
          <w:bCs/>
        </w:rPr>
        <w:t>ESTATAL DE EDUCACIÓN</w:t>
      </w:r>
      <w:r w:rsidR="007403DD" w:rsidRPr="007403DD">
        <w:rPr>
          <w:rFonts w:ascii="Avenir Next LT Pro" w:eastAsia="Calibri" w:hAnsi="Avenir Next LT Pro" w:cs="Arial"/>
          <w:b/>
          <w:bCs/>
        </w:rPr>
        <w:t>, EN MATERIA DE EDUCACIÓN INCLUSIVA Y ATENCIÓN A LA NEURODIVERGENCIA.</w:t>
      </w:r>
      <w:r>
        <w:rPr>
          <w:rFonts w:ascii="Avenir Next LT Pro" w:eastAsia="Calibri" w:hAnsi="Avenir Next LT Pro" w:cs="Arial"/>
          <w:b/>
          <w:bCs/>
        </w:rPr>
        <w:t xml:space="preserve"> </w:t>
      </w:r>
      <w:r>
        <w:rPr>
          <w:rFonts w:ascii="Avenir Next LT Pro" w:eastAsia="Calibri" w:hAnsi="Avenir Next LT Pro" w:cs="Arial"/>
        </w:rPr>
        <w:t xml:space="preserve">Lo anterior </w:t>
      </w:r>
      <w:r>
        <w:rPr>
          <w:rFonts w:ascii="Avenir Next LT Pro" w:eastAsia="Verdana" w:hAnsi="Avenir Next LT Pro" w:cs="Arial"/>
          <w:color w:val="000000"/>
        </w:rPr>
        <w:t>por los motivos y fundamentos que a continuación se expresan:</w:t>
      </w:r>
    </w:p>
    <w:p w14:paraId="50FB42C0" w14:textId="77777777" w:rsidR="001804C1" w:rsidRPr="00C11B99" w:rsidRDefault="001804C1" w:rsidP="00996B61">
      <w:pPr>
        <w:spacing w:line="360" w:lineRule="auto"/>
        <w:jc w:val="both"/>
        <w:rPr>
          <w:rFonts w:ascii="Avenir Next LT Pro" w:eastAsia="Calibri" w:hAnsi="Avenir Next LT Pro" w:cs="Arial"/>
          <w:b/>
          <w:bCs/>
        </w:rPr>
      </w:pPr>
    </w:p>
    <w:p w14:paraId="624D89C8" w14:textId="77777777" w:rsidR="00C16D6B" w:rsidRPr="00DA4BDC" w:rsidRDefault="00C16D6B" w:rsidP="00C16D6B">
      <w:pPr>
        <w:jc w:val="center"/>
        <w:rPr>
          <w:rFonts w:ascii="Avenir Next LT Pro" w:eastAsia="Verdana" w:hAnsi="Avenir Next LT Pro" w:cs="Arial"/>
          <w:b/>
          <w:bCs/>
          <w:color w:val="000000"/>
          <w:sz w:val="28"/>
          <w:szCs w:val="28"/>
        </w:rPr>
      </w:pPr>
      <w:r w:rsidRPr="00DA4BDC">
        <w:rPr>
          <w:rFonts w:ascii="Avenir Next LT Pro" w:eastAsia="Verdana" w:hAnsi="Avenir Next LT Pro" w:cs="Arial"/>
          <w:b/>
          <w:bCs/>
          <w:color w:val="000000"/>
          <w:sz w:val="28"/>
          <w:szCs w:val="28"/>
        </w:rPr>
        <w:t>EXPOSICIÓN DE MOTIVOS</w:t>
      </w:r>
    </w:p>
    <w:p w14:paraId="02F19A59" w14:textId="77777777" w:rsidR="00C16D6B" w:rsidRPr="00DA4BDC" w:rsidRDefault="00C16D6B" w:rsidP="00C16D6B">
      <w:pPr>
        <w:jc w:val="center"/>
        <w:rPr>
          <w:rFonts w:ascii="Avenir Next LT Pro" w:eastAsia="Verdana" w:hAnsi="Avenir Next LT Pro" w:cs="Arial"/>
          <w:b/>
          <w:bCs/>
          <w:color w:val="000000"/>
          <w:sz w:val="28"/>
          <w:szCs w:val="28"/>
        </w:rPr>
      </w:pPr>
    </w:p>
    <w:p w14:paraId="1A633140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La educación es el corazón de una sociedad justa, próspera y equitativa. Su propósito más noble es dotar a cada persona de las herramientas necesarias para alcanzar su máximo potencial y descubrir su lugar en el mundo. El derecho a la educación es uno de los principales medios de integración efectiva y eficaz de la sociedad. </w:t>
      </w:r>
    </w:p>
    <w:p w14:paraId="6A6532C6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lastRenderedPageBreak/>
        <w:t>Por tal motivo, la prestación del servicio educativo debe trasmitir los valores que hacen posible la vida en común, de manera singular, el respeto a todos los derechos y libertades fundamentales, a los bienes jurídicos ajenos y los hábitos de convivencia democrática y de respeto mutuo. De esta manera, la educación debe buscar avanzar incansablemente en la lucha contra la discriminación y la desigualdad.</w:t>
      </w:r>
    </w:p>
    <w:p w14:paraId="123D5FE0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4759C90F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En este sentido, la verdadera educación inclusiva no consiste únicamente en abrir las puertas de las escuelas a todas las personas o limitarse a una simple "integración" física en el aula, sino en transformar profundamente los métodos, los espacios y las mentalidades dentro de ellas.</w:t>
      </w:r>
    </w:p>
    <w:p w14:paraId="5EFBBE9C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5A830EA0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Como lo ha establecido la Suprema Corte de Justicia de la Nación (amparo directo 31/2018), existen numerosos instrumentos internacionales de los cuales el Estado mexicano es parte, tales como el Pacto Internacional de Derechos Civiles y Políticos, el Pacto Internacional de Derechos Económicos, Sociales y Culturales, la Convención sobre los Derechos del Niño y la Convención sobre los Derechos de las Personas con Discapacidad, entre otros. Estos ordenamientos nos comprometen a adoptar todas las medidas necesarias para proteger, respetar y facilitar el ejercicio del derecho a la educación, sin discriminación alguna. Tratándose de la atención a la diversidad, el máximo tribunal afirmó que el Estado debe respetar y promover el derecho a una educación inclusiva a fin de lograr la igualdad de oportunidades como principio global, garantizando que todas las niñas, niños y adolescentes, independientemente de sus condiciones, aprendan juntos.</w:t>
      </w:r>
    </w:p>
    <w:p w14:paraId="0CF8638B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70D50995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lastRenderedPageBreak/>
        <w:t xml:space="preserve">Asimismo, la Corte precisó que el modelo de la educación inclusiva surge como una evolución necesaria frente a las limitaciones de la educación tradicional, calificada en su momento como utilitarista y segregadora, así como ante las insuficiencias de las políticas que solo buscaban integrar a los estudiantes dentro del sistema regular sin adaptar el entorno. </w:t>
      </w:r>
    </w:p>
    <w:p w14:paraId="5F8C50D9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37DD83D4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La educación inclusiva se basa en </w:t>
      </w:r>
      <w:proofErr w:type="gramStart"/>
      <w:r w:rsidRPr="00EB52D7">
        <w:rPr>
          <w:rFonts w:ascii="Avenir Next LT Pro" w:eastAsia="Calibri" w:hAnsi="Avenir Next LT Pro" w:cs="Arial"/>
          <w:lang w:val="es-MX"/>
        </w:rPr>
        <w:t>el  principio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de que, siempre que sea posible, todos los niños deben estudiar juntos sin establecer ningún tipo de diferencias, reconociendo que cada estudiante tiene características, intereses, capacidades y necesidades de aprendizaje particulares. Esto supone un cambio de paradigma: significa que los alumnos deben encontrar acomodo en el sistema mediante una pedagogía centrada en la niñez; es el sistema educativo el que debe adaptarse a las necesidades únicas de la o el estudiante, implementando "ajustes razonables" para derribar las barreras estructurales.</w:t>
      </w:r>
    </w:p>
    <w:p w14:paraId="0690A2F7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481728AB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Es fundamental destacar que esta educación inclusiva no sólo demanda igualdad, sino equidad. Mientras que la igualdad se refiere a tratar a todos los alumnos de la misma manera, la equidad significa la obligación estatal de asegurar que las circunstancias personales, sociales o neurobiológicas no sean obstáculos, garantizando que todas las personas alcancen su máximo nivel de capacidades en un ambiente de dignidad y respeto sustantivo.</w:t>
      </w:r>
    </w:p>
    <w:p w14:paraId="2B1868AF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3B7FFAFE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Comprender la magnitud de esta necesidad requiere mirar la realidad de nuestras aulas. De acuerdo con datos de la Organización Mundial de la Salud (OMS), aproximadamente 1 de cada 160 niñas y niños se encuentra en el espectro </w:t>
      </w:r>
      <w:r w:rsidRPr="00EB52D7">
        <w:rPr>
          <w:rFonts w:ascii="Avenir Next LT Pro" w:eastAsia="Calibri" w:hAnsi="Avenir Next LT Pro" w:cs="Arial"/>
          <w:lang w:val="es-MX"/>
        </w:rPr>
        <w:lastRenderedPageBreak/>
        <w:t>autista</w:t>
      </w:r>
      <w:r w:rsidRPr="00EB52D7">
        <w:rPr>
          <w:rFonts w:ascii="Avenir Next LT Pro" w:eastAsia="Calibri" w:hAnsi="Avenir Next LT Pro" w:cs="Arial"/>
        </w:rPr>
        <w:t xml:space="preserve"> y su incidencia se incrementa un 17% cada año</w:t>
      </w:r>
      <w:r w:rsidRPr="00EB52D7">
        <w:rPr>
          <w:rFonts w:ascii="Avenir Next LT Pro" w:eastAsia="Calibri" w:hAnsi="Avenir Next LT Pro" w:cs="Arial"/>
          <w:vertAlign w:val="superscript"/>
        </w:rPr>
        <w:footnoteReference w:id="1"/>
      </w:r>
      <w:r w:rsidRPr="00EB52D7">
        <w:rPr>
          <w:rFonts w:ascii="Avenir Next LT Pro" w:eastAsia="Calibri" w:hAnsi="Avenir Next LT Pro" w:cs="Arial"/>
        </w:rPr>
        <w:t>.</w:t>
      </w:r>
      <w:r w:rsidRPr="00EB52D7">
        <w:rPr>
          <w:rFonts w:ascii="Avenir Next LT Pro" w:eastAsia="Calibri" w:hAnsi="Avenir Next LT Pro" w:cs="Arial"/>
          <w:lang w:val="es-MX"/>
        </w:rPr>
        <w:t xml:space="preserve"> De igual manera, aproximadamente el 5% de la población infantil vive con Trastorno por Déficit de Atención e Hiperactividad (TDAH).</w:t>
      </w:r>
      <w:r w:rsidRPr="00EB52D7">
        <w:rPr>
          <w:rFonts w:ascii="Avenir Next LT Pro" w:eastAsia="Calibri" w:hAnsi="Avenir Next LT Pro" w:cs="Arial"/>
          <w:vertAlign w:val="superscript"/>
          <w:lang w:val="es-MX"/>
        </w:rPr>
        <w:footnoteReference w:id="2"/>
      </w:r>
      <w:r w:rsidRPr="00EB52D7">
        <w:rPr>
          <w:rFonts w:ascii="Avenir Next LT Pro" w:eastAsia="Calibri" w:hAnsi="Avenir Next LT Pro" w:cs="Arial"/>
          <w:lang w:val="es-MX"/>
        </w:rPr>
        <w:t xml:space="preserve"> Para dimensionar el impacto de esta realidad en nuestro país, tan solo en el año 2022, el Instituto Mexicano del Seguro Social (IMSS) otorgó a nivel nacional 148 mil 182 consultas por trastornos emocionales y del comportamiento, categoría en la que está el TDAH: 142 mil 212 de éstas fueron a pacientes menores de 20 años y 4 mil 970 a mayores de 20 años.</w:t>
      </w:r>
      <w:r w:rsidRPr="00EB52D7">
        <w:rPr>
          <w:rFonts w:ascii="Avenir Next LT Pro" w:eastAsia="Calibri" w:hAnsi="Avenir Next LT Pro" w:cs="Arial"/>
          <w:vertAlign w:val="superscript"/>
          <w:lang w:val="es-MX"/>
        </w:rPr>
        <w:footnoteReference w:id="3"/>
      </w:r>
      <w:r w:rsidRPr="00EB52D7">
        <w:rPr>
          <w:rFonts w:ascii="Avenir Next LT Pro" w:eastAsia="Calibri" w:hAnsi="Avenir Next LT Pro" w:cs="Arial"/>
          <w:lang w:val="es-MX"/>
        </w:rPr>
        <w:t xml:space="preserve"> A estas cifras de atención se suman otras condiciones de neurodivergencia. </w:t>
      </w:r>
    </w:p>
    <w:p w14:paraId="37EFC4BB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37CCB811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Es de suma importancia reconocer los invaluables esfuerzos institucionales que actualmente se realizan en nuestro Estado para atender a la diversidad. Chihuahua cuenta con una estructura operativa técnica y pedagógica a través de los Centros de Atención Múltiple (CAM) y las Unidades de Servicios de Apoyo a la Educación Regular (USAER). </w:t>
      </w:r>
    </w:p>
    <w:p w14:paraId="36AA923D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43BE3D31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El CAM es un servicio escolarizado donde se ofrece educación inicial y básica (preescolar, primaria y secundaria) de calidad a niñas, niños y jóvenes con discapacidad, discapacidad múltiple o trastornos graves del desarrollo, condiciones que dificultan su ingreso en escuelas regulares y que requieren ajustes razonables altamente especializados. Actualmente, nuestros 41 </w:t>
      </w:r>
      <w:proofErr w:type="gramStart"/>
      <w:r w:rsidRPr="00EB52D7">
        <w:rPr>
          <w:rFonts w:ascii="Avenir Next LT Pro" w:eastAsia="Calibri" w:hAnsi="Avenir Next LT Pro" w:cs="Arial"/>
          <w:lang w:val="es-MX"/>
        </w:rPr>
        <w:t>CAM  (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30 del subsistema federalizado y 11 del estatal) brindan esta modalidad a más de 2,200 alumnas y alumnos con requerimientos de apoyos generalizados. </w:t>
      </w:r>
    </w:p>
    <w:p w14:paraId="7BEDCB42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743E528B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lastRenderedPageBreak/>
        <w:t>Por otro lado, las USAER son instancias técnico-operativas formadas por equipos multidisciplinarios, los cuales incluyen especialistas en psicología, trabajo social, comunicación y pedagogía. Su propósito principal es promover y facilitar la inclusión directamente en las aulas regulares, brindando asesoría tanto a docentes como a familias. En el Estado operan 179 USAER que se despliegan en las escuelas de educación básica regular, abarcando estratégicamente planteles del subsistema educativo estatal (41) y del subsistema federalizado (138), para apoyar a más de 17,100 estudiantes brindando acompañamiento técnico para la mitigación de las barreras para el aprendizaje y la participación. Asimismo, estas labores se ven respaldadas por herramientas federales como el Programa Fortalecimiento de los Servicios de Educación Especial (PFSEE).</w:t>
      </w:r>
    </w:p>
    <w:p w14:paraId="277FC81A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15F1A538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No obstante, al realizar un análisis prospectivo con visión de mejora continua, debemos ser conscientes de que estas herramientas requieren un fortalecimiento de su capacidad operativa frente a la demanda demográfica actual. Los apoyos de procedencia federal se encuentran sujetos a estrictas Reglas de Operación, a la disponibilidad presupuestaria y a criterios de focalización restrictivos que no logran abarcar la totalidad de la infraestructura. Por su parte, la cobertura en el Estado atiende a un universo cercano a los 20,000 estudiantes, a través de los CAM y USAER lo cual, al contrastarlo con las métricas de prevalencia clínica actuales, nos revela un área de oportunidad para evolucionar y fortalecer nuestro marco normativo desde la legislación local.</w:t>
      </w:r>
    </w:p>
    <w:p w14:paraId="7A7E1B7D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725C1F98" w14:textId="6C7CFE93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En este contexto, cabe señalar que la neurodivergencia engloba condiciones del neurodesarrollo —como el TDAH, el TEA, la dislexia, la discalculia, los trastornos del lenguaje y otras— en las que el funcionamiento cerebral difiere significativamente del perfil neurotípico.</w:t>
      </w:r>
    </w:p>
    <w:p w14:paraId="53350AA5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lastRenderedPageBreak/>
        <w:t xml:space="preserve">De acuerdo con el Censo de Población y Vivienda 2020 del INEGI, Chihuahua cuenta con una población de aproximadamente 1,137,330 niñas, niños y adolescentes de 0 a 17 años, equivalente al 30.4% de los 3,741,869 habitantes registrados. </w:t>
      </w:r>
    </w:p>
    <w:p w14:paraId="142F1F83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34E642AB" w14:textId="7005A72A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La OMS y los Centros para el Control y la Prevención de Enfermedades (CDC) estiman que existe la posibilidad de que entre el 15% y el 20% de la población mundial es neurodivergente. En México, la falta de registros epidemiológicos específicos hace necesario aplicar estas tasas validadas internacionalmente con la cautela necesaria para estimar el fenómeno en el Estado. </w:t>
      </w:r>
      <w:r w:rsidR="00654896" w:rsidRPr="00654896">
        <w:rPr>
          <w:rFonts w:ascii="Avenir Next LT Pro" w:eastAsia="Calibri" w:hAnsi="Avenir Next LT Pro" w:cs="Arial"/>
          <w:lang w:val="es-MX"/>
        </w:rPr>
        <w:t>Las cifras son proyecciones orientativas para la planeación de políticas públicas, dado que no existen registros epidemiológicos estatales ni nacionales exhaustivos sobre neurodivergencia en México.</w:t>
      </w:r>
    </w:p>
    <w:p w14:paraId="0A3408FA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00987517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Frente a este escenario, esta propuesta de reforma y adición a la Ley de Educación del Estado de Chihuahua nace de la visión más genuina y solidaria de nuestra sociedad, pues ha sido construida de la mano con madres y padres de familia de niñas, niños y adolescentes neurodivergentes. Estas familias, que conocen de primera mano los retos del sistema actual, han decidido transformar su amor y su experiencia en un proyecto propositivo. Su motivación es un acto de profunda generosidad ciudadana: no solo buscan proteger el desarrollo de sus propias hijas e hijos, sino que están genuinamente preocupados por garantizar que todas las infancias en Chihuahua encuentren en sus escuelas un espacio incluyente, seguro, comprensivo y preparado.</w:t>
      </w:r>
    </w:p>
    <w:p w14:paraId="51AC1229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73D09419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El objetivo central de esta iniciativa es materializar el Interés Superior de la Niñez y la inclusión de una forma práctica. Existen familias que han tenido que recurrir </w:t>
      </w:r>
      <w:r w:rsidRPr="00EB52D7">
        <w:rPr>
          <w:rFonts w:ascii="Avenir Next LT Pro" w:eastAsia="Calibri" w:hAnsi="Avenir Next LT Pro" w:cs="Arial"/>
          <w:lang w:val="es-MX"/>
        </w:rPr>
        <w:lastRenderedPageBreak/>
        <w:t>a las instancias legales para proteger el derecho fundamental de sus hijas e hijos a una educación digna. La aspiración de esta reforma es que el acceso a una educación de calidad deje de ser una batalla legal para convertirse en una realidad inmediata. Las aulas deben ser refugios de aprendizaje por naturaleza, donde el respeto a los derechos humanos fluya, sin que sea necesario un mandato judicial para que una niña o un niño reciba la atención especializada que merece por derecho propio.</w:t>
      </w:r>
    </w:p>
    <w:p w14:paraId="5E04397B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23CE6B63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Para hacer posible esta visión, es fundamental reconocer que no podemos exigir resultados distintos sin brindar los recursos adecuados. Esta reforma busca, primordialmente, darle las herramientas necesarias a la Autoridad Educativa y a nuestro invaluable personal docente. Sabemos que las y los maestros tienen una gran vocación, pero frecuentemente se enfrentan a una sobrecarga de trabajo al no contar con el apoyo técnico para atender la diversidad. A través de las modificaciones a los artículos 31, 51 y la creación del artículo 56 Bis, de la Ley de Educación del Estado de Chihuahua, se busca establecer un marco legal que dote a las escuelas de personal especializado, de capacitación continua, y del apoyo de prestadores de servicio social afines a la pedagogía y la psicología.</w:t>
      </w:r>
    </w:p>
    <w:p w14:paraId="10C78D07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40FA6DFC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De esta manera, el Estado fortalece a sus instituciones, proporcionándoles estrategias pedagógicas diferenciadas y herramientas para el manejo armonioso de la convivencia escolar. Al sumar a especialistas que trabajen en equipo con el personal docente titular, se eliminan las barreras de aprendizaje y se fomenta un entorno donde florece la colaboración.</w:t>
      </w:r>
    </w:p>
    <w:p w14:paraId="2CA382DE" w14:textId="77777777" w:rsidR="00D17F47" w:rsidRPr="00EB52D7" w:rsidRDefault="00D17F4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625A3F27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Legislar en favor de la neurodivergencia constituye una obligación ineludible para dar respuesta a la realidad de nuestras infancias. Con esta propuesta buscamos </w:t>
      </w:r>
      <w:proofErr w:type="gramStart"/>
      <w:r w:rsidRPr="00EB52D7">
        <w:rPr>
          <w:rFonts w:ascii="Avenir Next LT Pro" w:eastAsia="Calibri" w:hAnsi="Avenir Next LT Pro" w:cs="Arial"/>
          <w:lang w:val="es-MX"/>
        </w:rPr>
        <w:lastRenderedPageBreak/>
        <w:t>establecer  un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marco legal que promueva la diversidad, facilite el accionar de las autoridades, respalde a las familias y garantice que cada estudiante sea valorado y apoyado según su forma única de aprender.</w:t>
      </w:r>
    </w:p>
    <w:p w14:paraId="3B359682" w14:textId="5D552FB1" w:rsidR="00EB52D7" w:rsidRDefault="004544D1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4544D1">
        <w:rPr>
          <w:rFonts w:ascii="Avenir Next LT Pro" w:eastAsia="Calibri" w:hAnsi="Avenir Next LT Pro" w:cs="Arial"/>
        </w:rPr>
        <w:t>Por lo anteriormente expuesto es que sometemos a consideración de esta H. Soberanía, el siguiente proyecto con carácter de:</w:t>
      </w:r>
      <w:r w:rsidR="00EB52D7" w:rsidRPr="00EB52D7">
        <w:rPr>
          <w:rFonts w:ascii="Avenir Next LT Pro" w:eastAsia="Calibri" w:hAnsi="Avenir Next LT Pro" w:cs="Arial"/>
          <w:lang w:val="es-MX"/>
        </w:rPr>
        <w:t xml:space="preserve"> </w:t>
      </w:r>
    </w:p>
    <w:p w14:paraId="11DBBCD1" w14:textId="77777777" w:rsidR="00EB52D7" w:rsidRPr="00EB52D7" w:rsidRDefault="00EB52D7" w:rsidP="00D17F47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DECRETO</w:t>
      </w:r>
    </w:p>
    <w:p w14:paraId="053EF8B3" w14:textId="3E9663EA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PRIMERO.</w:t>
      </w:r>
      <w:r w:rsidRPr="00EB52D7">
        <w:rPr>
          <w:rFonts w:ascii="Avenir Next LT Pro" w:eastAsia="Calibri" w:hAnsi="Avenir Next LT Pro" w:cs="Arial"/>
          <w:lang w:val="es-MX"/>
        </w:rPr>
        <w:t xml:space="preserve"> -  Se </w:t>
      </w: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REFORMA </w:t>
      </w:r>
      <w:r w:rsidRPr="00EB52D7">
        <w:rPr>
          <w:rFonts w:ascii="Avenir Next LT Pro" w:eastAsia="Calibri" w:hAnsi="Avenir Next LT Pro" w:cs="Arial"/>
          <w:lang w:val="es-MX"/>
        </w:rPr>
        <w:t xml:space="preserve">la fracción IV del articulo 51 y se </w:t>
      </w:r>
      <w:r w:rsidRPr="00EB52D7">
        <w:rPr>
          <w:rFonts w:ascii="Avenir Next LT Pro" w:eastAsia="Calibri" w:hAnsi="Avenir Next LT Pro" w:cs="Arial"/>
          <w:b/>
          <w:bCs/>
          <w:lang w:val="es-MX"/>
        </w:rPr>
        <w:t>ADICIONA</w:t>
      </w:r>
      <w:r w:rsidRPr="00EB52D7">
        <w:rPr>
          <w:rFonts w:ascii="Avenir Next LT Pro" w:eastAsia="Calibri" w:hAnsi="Avenir Next LT Pro" w:cs="Arial"/>
          <w:lang w:val="es-MX"/>
        </w:rPr>
        <w:t xml:space="preserve"> un cuarto párrafo al Artículo </w:t>
      </w:r>
      <w:proofErr w:type="gramStart"/>
      <w:r w:rsidRPr="00EB52D7">
        <w:rPr>
          <w:rFonts w:ascii="Avenir Next LT Pro" w:eastAsia="Calibri" w:hAnsi="Avenir Next LT Pro" w:cs="Arial"/>
          <w:lang w:val="es-MX"/>
        </w:rPr>
        <w:t>31</w:t>
      </w:r>
      <w:r w:rsidR="000B6B99">
        <w:rPr>
          <w:rFonts w:ascii="Avenir Next LT Pro" w:eastAsia="Calibri" w:hAnsi="Avenir Next LT Pro" w:cs="Arial"/>
          <w:lang w:val="es-MX"/>
        </w:rPr>
        <w:t>,</w:t>
      </w:r>
      <w:r w:rsidR="000C0AED">
        <w:rPr>
          <w:rFonts w:ascii="Avenir Next LT Pro" w:eastAsia="Calibri" w:hAnsi="Avenir Next LT Pro" w:cs="Arial"/>
          <w:lang w:val="es-MX"/>
        </w:rPr>
        <w:t>y</w:t>
      </w:r>
      <w:proofErr w:type="gramEnd"/>
      <w:r w:rsidR="000C0AED">
        <w:rPr>
          <w:rFonts w:ascii="Avenir Next LT Pro" w:eastAsia="Calibri" w:hAnsi="Avenir Next LT Pro" w:cs="Arial"/>
          <w:lang w:val="es-MX"/>
        </w:rPr>
        <w:t xml:space="preserve"> </w:t>
      </w:r>
      <w:r w:rsidRPr="00EB52D7">
        <w:rPr>
          <w:rFonts w:ascii="Avenir Next LT Pro" w:eastAsia="Calibri" w:hAnsi="Avenir Next LT Pro" w:cs="Arial"/>
          <w:lang w:val="es-MX"/>
        </w:rPr>
        <w:t xml:space="preserve">el </w:t>
      </w:r>
      <w:r w:rsidR="00385B27" w:rsidRPr="00EB52D7">
        <w:rPr>
          <w:rFonts w:ascii="Avenir Next LT Pro" w:eastAsia="Calibri" w:hAnsi="Avenir Next LT Pro" w:cs="Arial"/>
          <w:lang w:val="es-MX"/>
        </w:rPr>
        <w:t>artículo</w:t>
      </w:r>
      <w:r w:rsidRPr="00EB52D7">
        <w:rPr>
          <w:rFonts w:ascii="Avenir Next LT Pro" w:eastAsia="Calibri" w:hAnsi="Avenir Next LT Pro" w:cs="Arial"/>
          <w:lang w:val="es-MX"/>
        </w:rPr>
        <w:t xml:space="preserve"> 56 Bis, todos de la Ley de Educación del Estado de Chihuahua, para quedar redactados de la siguiente manera:</w:t>
      </w:r>
    </w:p>
    <w:p w14:paraId="4346FDD8" w14:textId="77777777" w:rsidR="00654896" w:rsidRPr="00EB52D7" w:rsidRDefault="00654896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5BD796B6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ARTÍCULO 31.</w:t>
      </w:r>
      <w:r w:rsidRPr="00EB52D7">
        <w:rPr>
          <w:rFonts w:ascii="Avenir Next LT Pro" w:eastAsia="Calibri" w:hAnsi="Avenir Next LT Pro" w:cs="Arial"/>
          <w:lang w:val="es-MX"/>
        </w:rPr>
        <w:t xml:space="preserve"> Las y los beneficiarios por los servicios educativos de educación media superior terminal y superior, deberán prestar servicio social, en los casos y términos que señalen las disposiciones reglamentarias correspondientes. En éstas, se preverá la prestación de servicio social como requisito previo para obtener título o grado académico, el cual deberá ser remunerativo y se regirá por los principios de responsabilidad social, reciprocidad, participación ciudadana y solidaridad.</w:t>
      </w:r>
    </w:p>
    <w:p w14:paraId="31C2C9B2" w14:textId="77777777" w:rsidR="00654896" w:rsidRPr="00EB52D7" w:rsidRDefault="00654896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78BD99FB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Cuando el servicio social absorba totalmente las actividades del estudiante o del profesionista, la remuneración respectiva deberá ser suficiente para satisfacer decorosamente sus necesidades. </w:t>
      </w:r>
    </w:p>
    <w:p w14:paraId="2DB4A589" w14:textId="77777777" w:rsidR="00654896" w:rsidRPr="00EB52D7" w:rsidRDefault="00654896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1CC93888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 xml:space="preserve">Las instituciones educativas podrán concertar acciones y establecer convenios con el Gobierno del Estado, los municipios e iniciativa privada, para que sus estudiantes, acorde con su formación, presten servicio social en instituciones públicas o privadas en zonas urbanas, comunidades rurales, marginadas y zonas </w:t>
      </w:r>
      <w:r w:rsidRPr="00EB52D7">
        <w:rPr>
          <w:rFonts w:ascii="Avenir Next LT Pro" w:eastAsia="Calibri" w:hAnsi="Avenir Next LT Pro" w:cs="Arial"/>
          <w:lang w:val="es-MX"/>
        </w:rPr>
        <w:lastRenderedPageBreak/>
        <w:t>de bajo desarrollo; así como en las zonas con asentamientos indígenas de la Entidad.</w:t>
      </w:r>
    </w:p>
    <w:p w14:paraId="463FBD1F" w14:textId="77777777" w:rsidR="00654896" w:rsidRPr="00EB52D7" w:rsidRDefault="00654896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6E8A871B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Asimismo, las instituciones educativas, públicas y privadas, que impartan programas académicos afines a la educación inclusiva, la pedagogía o la psicología, podrán celebrar convenios con la Autoridad Educativa Estatal para que sus estudiantes presten el servicio social como auxiliares de apoyo educativo especializado. Dichas actividades deberán realizarse en todo momento e invariablemente bajo la supervisión directa y el acompañamiento del personal especializado en educación inclusiva, orientándose a fortalecer el aprendizaje, la inclusión y el desarrollo integral del alumnado en el marco de la neurodivergencia.</w:t>
      </w:r>
    </w:p>
    <w:p w14:paraId="536DFE82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3DC9AA0D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ARTÍCULO 51.</w:t>
      </w:r>
      <w:r w:rsidRPr="00EB52D7">
        <w:rPr>
          <w:rFonts w:ascii="Avenir Next LT Pro" w:eastAsia="Calibri" w:hAnsi="Avenir Next LT Pro" w:cs="Arial"/>
          <w:lang w:val="es-MX"/>
        </w:rPr>
        <w:t xml:space="preserve">  La educación especial está destinada a atender y apoyar a personas que, derivado o no de una discapacidad, transitoria o definitiva, requieran para su desempeño escolar, de adecuaciones curriculares. Su cobertura será garantizada a través de la atención a las y los educandos y deberá ser acorde a sus condiciones y necesidades, con equidad social y perspectiva de género, tomando en cuenta los siguientes criterios:</w:t>
      </w:r>
    </w:p>
    <w:p w14:paraId="7C8D92FB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I a III …</w:t>
      </w:r>
    </w:p>
    <w:p w14:paraId="40BDD76E" w14:textId="77777777" w:rsidR="00654896" w:rsidRPr="00EB52D7" w:rsidRDefault="00654896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5E4C945A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IV. La Autoridad Educativa Estatal, a través de las instituciones formadoras de profesionales de la educación y/o el Area Administrativa de Formación Continua, garantizará que todo el personal docente frente a grupo de educación básica reciba un programa de capacitación obligatoria en materia de educación inclusiva, atención a la neurodivergencia y metodologías de educación diferenciada. </w:t>
      </w:r>
    </w:p>
    <w:p w14:paraId="3AE43390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lastRenderedPageBreak/>
        <w:t>V a VI …</w:t>
      </w:r>
    </w:p>
    <w:p w14:paraId="35363B89" w14:textId="77777777" w:rsidR="005D5342" w:rsidRPr="00EB52D7" w:rsidRDefault="005D5342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5F9AE03F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ARTÍCULO 56 Bis. Toda institución educativa pública o privada del Estado que imparta educación básica, tiene la obligación de incorporar personal docente especializado en atención a la neurodivergencia.</w:t>
      </w:r>
    </w:p>
    <w:p w14:paraId="5F634C3B" w14:textId="77777777" w:rsidR="004C3A9C" w:rsidRPr="00EB52D7" w:rsidRDefault="004C3A9C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5399AEEC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La asignación de dicho personal se realizará bajo los criterios de suficiencia que en su respectiva competencia determinen la Secretaría de Educación y Deporte y la Secretaría de Hacienda para asegurar la atención integral y garantizar una atención digna.</w:t>
      </w:r>
    </w:p>
    <w:p w14:paraId="15EEDE76" w14:textId="77777777" w:rsidR="004C3A9C" w:rsidRPr="00EB52D7" w:rsidRDefault="004C3A9C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49D86C00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Este personal será distinto y adicional al personal docente titular de grupo; en ningún caso el docente regular podrá realizar funciones de educación especial en sustitución del especialista, evitando así la sobrecarga laboral y asegurando que la intervención técnica sea realizada por profesionales con la formación adecuada.</w:t>
      </w:r>
    </w:p>
    <w:p w14:paraId="2E6C4F42" w14:textId="77777777" w:rsidR="004C3A9C" w:rsidRPr="00EB52D7" w:rsidRDefault="004C3A9C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0EB414CB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Asimismo, la incorporación de este personal en los planteles será independiente y complementaria a los servicios, unidades o programas de apoyo a la educación inclusiva que ya se encuentren establecidos por la Autoridad Educativa.</w:t>
      </w:r>
    </w:p>
    <w:p w14:paraId="2D8E6C97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El personal especializado tendrá las siguientes funciones primordiales: </w:t>
      </w:r>
    </w:p>
    <w:p w14:paraId="4BE8A336" w14:textId="77777777" w:rsidR="00EB52D7" w:rsidRPr="00EB52D7" w:rsidRDefault="00EB52D7" w:rsidP="005D5342">
      <w:pPr>
        <w:spacing w:line="360" w:lineRule="auto"/>
        <w:ind w:left="426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a) Identificar y eliminar las barreras para el aprendizaje y la participación. </w:t>
      </w:r>
    </w:p>
    <w:p w14:paraId="36CA3DF6" w14:textId="77777777" w:rsidR="00EB52D7" w:rsidRPr="00EB52D7" w:rsidRDefault="00EB52D7" w:rsidP="005D5342">
      <w:pPr>
        <w:spacing w:line="360" w:lineRule="auto"/>
        <w:ind w:left="426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b) Diseñar e implementar ajustes razonables y estrategias pedagógicas diferenciadas. </w:t>
      </w:r>
    </w:p>
    <w:p w14:paraId="07B7DD10" w14:textId="77777777" w:rsidR="00EB52D7" w:rsidRPr="00EB52D7" w:rsidRDefault="00EB52D7" w:rsidP="005D5342">
      <w:pPr>
        <w:spacing w:line="360" w:lineRule="auto"/>
        <w:ind w:left="426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c) Brindar acompañamiento técnico y pedagógico continuo a las y los docentes de grupo. </w:t>
      </w:r>
    </w:p>
    <w:p w14:paraId="33A8685C" w14:textId="77777777" w:rsidR="00EB52D7" w:rsidRPr="00EB52D7" w:rsidRDefault="00EB52D7" w:rsidP="005D5342">
      <w:pPr>
        <w:spacing w:line="360" w:lineRule="auto"/>
        <w:ind w:left="426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lastRenderedPageBreak/>
        <w:t xml:space="preserve">d) Realizar intervenciones directas con el alumnado y orientar a las familias sobre el proceso educativo. </w:t>
      </w:r>
    </w:p>
    <w:p w14:paraId="5EB85814" w14:textId="77777777" w:rsidR="00EB52D7" w:rsidRPr="00EB52D7" w:rsidRDefault="00EB52D7" w:rsidP="005D5342">
      <w:pPr>
        <w:spacing w:line="360" w:lineRule="auto"/>
        <w:ind w:left="426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e) Promover activamente prácticas inclusivas y ambientes escolares libres de discriminación.</w:t>
      </w:r>
    </w:p>
    <w:p w14:paraId="6117DC1E" w14:textId="77777777" w:rsidR="00EB52D7" w:rsidRP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La Autoridad Educativa Estatal, a través de los centros educativos, implementará campañas permanentes de concientización dirigidas al alumnado, madres, padres de familia y tutores con objetivo promover el reconocimiento de la diversidad de capacidades, eliminar prejuicios y fomentar una convivencia armónica basada en la empatía y la solidaridad social.</w:t>
      </w:r>
    </w:p>
    <w:p w14:paraId="6B645778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La Secretaría de Educación y Deporte determinará los requisitos de certificación y actualización para el personal mencionado, asegurando que su perfil profesional sea idóneo para la atención a la neurodivergencia.</w:t>
      </w:r>
    </w:p>
    <w:p w14:paraId="36B7DD68" w14:textId="77777777" w:rsidR="005D5342" w:rsidRPr="00EB52D7" w:rsidRDefault="005D5342" w:rsidP="00EB52D7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037C7801" w14:textId="77777777" w:rsidR="00EB52D7" w:rsidRPr="00EB52D7" w:rsidRDefault="00EB52D7" w:rsidP="005D5342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n-US"/>
        </w:rPr>
      </w:pPr>
      <w:r w:rsidRPr="00EB52D7">
        <w:rPr>
          <w:rFonts w:ascii="Avenir Next LT Pro" w:eastAsia="Calibri" w:hAnsi="Avenir Next LT Pro" w:cs="Arial"/>
          <w:b/>
          <w:bCs/>
          <w:lang w:val="en-US"/>
        </w:rPr>
        <w:t>T R A N S I T O R I O S</w:t>
      </w:r>
    </w:p>
    <w:p w14:paraId="591476EF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proofErr w:type="gramStart"/>
      <w:r w:rsidRPr="00EB52D7">
        <w:rPr>
          <w:rFonts w:ascii="Avenir Next LT Pro" w:eastAsia="Calibri" w:hAnsi="Avenir Next LT Pro" w:cs="Arial"/>
          <w:b/>
          <w:bCs/>
          <w:lang w:val="es-MX"/>
        </w:rPr>
        <w:t>PRIMERO.-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El presente Decreto entrará en vigor al día siguiente de su publicación en el Periódico Oficial del Estado.</w:t>
      </w:r>
    </w:p>
    <w:p w14:paraId="45BA6EF3" w14:textId="77777777" w:rsidR="005D5342" w:rsidRPr="00EB52D7" w:rsidRDefault="005D5342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01238DFD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proofErr w:type="gramStart"/>
      <w:r w:rsidRPr="00EB52D7">
        <w:rPr>
          <w:rFonts w:ascii="Avenir Next LT Pro" w:eastAsia="Calibri" w:hAnsi="Avenir Next LT Pro" w:cs="Arial"/>
          <w:b/>
          <w:bCs/>
          <w:lang w:val="es-MX"/>
        </w:rPr>
        <w:t>SEGUNDO.-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El Poder Ejecutivo del Estado, a través de la Secretaría de Educación y Deporte y la Secretaría de Hacienda, contarán con un plazo no mayor a 180 días naturales a partir de la entrada en vigor del presente Decreto, para emitir o modificar las disposiciones normativas, los lineamientos técnicos y los requisitos de certificación necesarios para el cumplimiento de las preceptos adicionados y reformados.</w:t>
      </w:r>
    </w:p>
    <w:p w14:paraId="4066256A" w14:textId="77777777" w:rsidR="005D5342" w:rsidRPr="00EB52D7" w:rsidRDefault="005D5342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4C0ACA3F" w14:textId="77777777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proofErr w:type="gramStart"/>
      <w:r w:rsidRPr="00EB52D7">
        <w:rPr>
          <w:rFonts w:ascii="Avenir Next LT Pro" w:eastAsia="Calibri" w:hAnsi="Avenir Next LT Pro" w:cs="Arial"/>
          <w:b/>
          <w:bCs/>
          <w:lang w:val="es-MX"/>
        </w:rPr>
        <w:t>TERCERO.-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La implementación de las obligaciones derivadas del presente Decreto, particularmente la incorporación de personal docente especializado en </w:t>
      </w:r>
      <w:r w:rsidRPr="00EB52D7">
        <w:rPr>
          <w:rFonts w:ascii="Avenir Next LT Pro" w:eastAsia="Calibri" w:hAnsi="Avenir Next LT Pro" w:cs="Arial"/>
          <w:lang w:val="es-MX"/>
        </w:rPr>
        <w:lastRenderedPageBreak/>
        <w:t>atención a la neurodivergencia señalada en el artículo 56 Bis, así como los programas de capacitación señalados en el artículo 51, se realizará de manera progresiva, gradual y sujeta a la disponibilidad presupuestaria.</w:t>
      </w:r>
    </w:p>
    <w:p w14:paraId="24EC00C8" w14:textId="16D81C71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lang w:val="es-MX"/>
        </w:rPr>
        <w:t>Para dar cumplimiento a lo anterior, el Ejecutivo Estatal, a través de la Secretaría de Hacienda, deberá contemplar y priorizar las previsiones económicas correspondientes en los subsecuentes proyectos de Presupuesto de Egresos del Estado, hasta alcanzar la cobertura total en las instituciones de educación básica públicas de la Entidad.</w:t>
      </w:r>
    </w:p>
    <w:p w14:paraId="4FA285E3" w14:textId="77777777" w:rsidR="00B22CC4" w:rsidRPr="00EB52D7" w:rsidRDefault="00B22CC4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0D9C2A05" w14:textId="57F349C1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ECONÓMICO.</w:t>
      </w:r>
      <w:r w:rsidRPr="00EB52D7">
        <w:rPr>
          <w:rFonts w:ascii="Avenir Next LT Pro" w:eastAsia="Calibri" w:hAnsi="Avenir Next LT Pro" w:cs="Arial"/>
          <w:lang w:val="es-MX"/>
        </w:rPr>
        <w:t xml:space="preserve"> Aprobado que sea, túrnese a la Secretaría para que elabore la minuta de Decreto, en los términos en que deba publicarse.</w:t>
      </w:r>
    </w:p>
    <w:p w14:paraId="2DCA75EA" w14:textId="77777777" w:rsidR="00B22CC4" w:rsidRPr="00EB52D7" w:rsidRDefault="00B22CC4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3F808659" w14:textId="58537DF9" w:rsidR="00EB52D7" w:rsidRDefault="00EB52D7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 xml:space="preserve">D A D </w:t>
      </w:r>
      <w:proofErr w:type="gramStart"/>
      <w:r w:rsidRPr="00EB52D7">
        <w:rPr>
          <w:rFonts w:ascii="Avenir Next LT Pro" w:eastAsia="Calibri" w:hAnsi="Avenir Next LT Pro" w:cs="Arial"/>
          <w:b/>
          <w:bCs/>
          <w:lang w:val="es-MX"/>
        </w:rPr>
        <w:t>O</w:t>
      </w:r>
      <w:r w:rsidRPr="00EB52D7">
        <w:rPr>
          <w:rFonts w:ascii="Avenir Next LT Pro" w:eastAsia="Calibri" w:hAnsi="Avenir Next LT Pro" w:cs="Arial"/>
          <w:lang w:val="es-MX"/>
        </w:rPr>
        <w:t xml:space="preserve">  en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la sede del Poder Legislativo del Estado de Chihuahua, a los </w:t>
      </w:r>
      <w:r w:rsidR="005D5342">
        <w:rPr>
          <w:rFonts w:ascii="Avenir Next LT Pro" w:eastAsia="Calibri" w:hAnsi="Avenir Next LT Pro" w:cs="Arial"/>
          <w:lang w:val="es-MX"/>
        </w:rPr>
        <w:t>19</w:t>
      </w:r>
      <w:r w:rsidRPr="00EB52D7">
        <w:rPr>
          <w:rFonts w:ascii="Avenir Next LT Pro" w:eastAsia="Calibri" w:hAnsi="Avenir Next LT Pro" w:cs="Arial"/>
          <w:lang w:val="es-MX"/>
        </w:rPr>
        <w:t xml:space="preserve"> </w:t>
      </w:r>
      <w:proofErr w:type="gramStart"/>
      <w:r w:rsidRPr="00EB52D7">
        <w:rPr>
          <w:rFonts w:ascii="Avenir Next LT Pro" w:eastAsia="Calibri" w:hAnsi="Avenir Next LT Pro" w:cs="Arial"/>
          <w:lang w:val="es-MX"/>
        </w:rPr>
        <w:t>días  del</w:t>
      </w:r>
      <w:proofErr w:type="gramEnd"/>
      <w:r w:rsidRPr="00EB52D7">
        <w:rPr>
          <w:rFonts w:ascii="Avenir Next LT Pro" w:eastAsia="Calibri" w:hAnsi="Avenir Next LT Pro" w:cs="Arial"/>
          <w:lang w:val="es-MX"/>
        </w:rPr>
        <w:t xml:space="preserve"> mes de </w:t>
      </w:r>
      <w:r w:rsidR="005D5342">
        <w:rPr>
          <w:rFonts w:ascii="Avenir Next LT Pro" w:eastAsia="Calibri" w:hAnsi="Avenir Next LT Pro" w:cs="Arial"/>
          <w:lang w:val="es-MX"/>
        </w:rPr>
        <w:t xml:space="preserve">mayo </w:t>
      </w:r>
      <w:r w:rsidRPr="00EB52D7">
        <w:rPr>
          <w:rFonts w:ascii="Avenir Next LT Pro" w:eastAsia="Calibri" w:hAnsi="Avenir Next LT Pro" w:cs="Arial"/>
          <w:lang w:val="es-MX"/>
        </w:rPr>
        <w:t>de 2026.</w:t>
      </w:r>
    </w:p>
    <w:p w14:paraId="4F291CF1" w14:textId="77777777" w:rsidR="005E2764" w:rsidRPr="00EB52D7" w:rsidRDefault="005E2764" w:rsidP="00EB52D7">
      <w:pPr>
        <w:spacing w:line="360" w:lineRule="auto"/>
        <w:jc w:val="both"/>
        <w:rPr>
          <w:rFonts w:ascii="Avenir Next LT Pro" w:eastAsia="Calibri" w:hAnsi="Avenir Next LT Pro" w:cs="Arial"/>
          <w:lang w:val="es-MX"/>
        </w:rPr>
      </w:pPr>
    </w:p>
    <w:p w14:paraId="2FF60A2D" w14:textId="6286ADF6" w:rsidR="00417E06" w:rsidRDefault="00EB52D7" w:rsidP="00B330F8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  <w:r w:rsidRPr="00EB52D7">
        <w:rPr>
          <w:rFonts w:ascii="Avenir Next LT Pro" w:eastAsia="Calibri" w:hAnsi="Avenir Next LT Pro" w:cs="Arial"/>
          <w:b/>
          <w:bCs/>
          <w:lang w:val="es-MX"/>
        </w:rPr>
        <w:t>ATENTAMENTE</w:t>
      </w:r>
    </w:p>
    <w:p w14:paraId="692B7675" w14:textId="77777777" w:rsidR="00B330F8" w:rsidRDefault="00B330F8" w:rsidP="005D5342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</w:p>
    <w:p w14:paraId="1D075879" w14:textId="77777777" w:rsidR="00417E06" w:rsidRPr="00EB52D7" w:rsidRDefault="00417E06" w:rsidP="005D5342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</w:p>
    <w:p w14:paraId="3DDA5869" w14:textId="69148E5B" w:rsidR="00DF2A43" w:rsidRPr="00DF2A43" w:rsidRDefault="00DF2A43" w:rsidP="005E2764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  <w:r w:rsidRPr="00DF2A43">
        <w:rPr>
          <w:rFonts w:ascii="Avenir Next LT Pro" w:eastAsia="Calibri" w:hAnsi="Avenir Next LT Pro" w:cs="Arial"/>
          <w:b/>
          <w:bCs/>
          <w:lang w:val="es-MX"/>
        </w:rPr>
        <w:t xml:space="preserve">DIP. </w:t>
      </w:r>
      <w:r w:rsidR="00417E06">
        <w:rPr>
          <w:rFonts w:ascii="Avenir Next LT Pro" w:eastAsia="Calibri" w:hAnsi="Avenir Next LT Pro" w:cs="Arial"/>
          <w:b/>
          <w:bCs/>
          <w:lang w:val="es-MX"/>
        </w:rPr>
        <w:t>JOSÉ LUIS VILLALOBOS GARCÍA</w:t>
      </w:r>
    </w:p>
    <w:p w14:paraId="6E6F62C8" w14:textId="4346451C" w:rsidR="00B330F8" w:rsidRDefault="00B330F8" w:rsidP="00DF2A43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61F14D4E" w14:textId="77777777" w:rsidR="00DB149F" w:rsidRPr="00DF2A43" w:rsidRDefault="00DB149F" w:rsidP="00DF2A43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1C95BFAE" w14:textId="77777777" w:rsidR="00DF2A43" w:rsidRPr="00DF2A43" w:rsidRDefault="00DF2A43" w:rsidP="00DF2A43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F2A43" w:rsidRPr="00DF2A43" w14:paraId="7BBB7481" w14:textId="77777777">
        <w:tc>
          <w:tcPr>
            <w:tcW w:w="4414" w:type="dxa"/>
            <w:hideMark/>
          </w:tcPr>
          <w:p w14:paraId="37E73C92" w14:textId="2A37DFC9" w:rsidR="00DF2A43" w:rsidRPr="00DF2A43" w:rsidRDefault="00DF2A43" w:rsidP="005D71BA">
            <w:pPr>
              <w:spacing w:line="360" w:lineRule="auto"/>
              <w:jc w:val="center"/>
              <w:rPr>
                <w:rFonts w:ascii="Avenir Next LT Pro" w:eastAsia="Calibri" w:hAnsi="Avenir Next LT Pro" w:cs="Arial"/>
                <w:b/>
                <w:bCs/>
                <w:lang w:val="es-MX"/>
              </w:rPr>
            </w:pPr>
            <w:r w:rsidRPr="00DF2A43">
              <w:rPr>
                <w:rFonts w:ascii="Avenir Next LT Pro" w:eastAsia="Calibri" w:hAnsi="Avenir Next LT Pro" w:cs="Arial"/>
                <w:b/>
                <w:bCs/>
                <w:lang w:val="es-MX"/>
              </w:rPr>
              <w:t xml:space="preserve">DIP. </w:t>
            </w:r>
            <w:r w:rsidR="00417E06" w:rsidRPr="00417E06">
              <w:rPr>
                <w:rFonts w:ascii="Avenir Next LT Pro" w:eastAsia="Calibri" w:hAnsi="Avenir Next LT Pro" w:cs="Arial"/>
                <w:b/>
                <w:bCs/>
                <w:lang w:val="es-MX"/>
              </w:rPr>
              <w:t>ROBERTO ARTURO MEDINA AGUIRRE</w:t>
            </w:r>
          </w:p>
        </w:tc>
        <w:tc>
          <w:tcPr>
            <w:tcW w:w="4414" w:type="dxa"/>
            <w:hideMark/>
          </w:tcPr>
          <w:p w14:paraId="3D0B7605" w14:textId="4946FC34" w:rsidR="00DF2A43" w:rsidRPr="00DF2A43" w:rsidRDefault="00DF2A43" w:rsidP="005D71BA">
            <w:pPr>
              <w:spacing w:line="360" w:lineRule="auto"/>
              <w:jc w:val="center"/>
              <w:rPr>
                <w:rFonts w:ascii="Avenir Next LT Pro" w:eastAsia="Calibri" w:hAnsi="Avenir Next LT Pro" w:cs="Arial"/>
                <w:b/>
                <w:bCs/>
                <w:lang w:val="es-MX"/>
              </w:rPr>
            </w:pPr>
            <w:r w:rsidRPr="00DF2A43">
              <w:rPr>
                <w:rFonts w:ascii="Avenir Next LT Pro" w:eastAsia="Calibri" w:hAnsi="Avenir Next LT Pro" w:cs="Arial"/>
                <w:b/>
                <w:bCs/>
                <w:lang w:val="es-MX"/>
              </w:rPr>
              <w:t>DIP. GUILLERMO PATRICIO RAMÍREZ GUTI</w:t>
            </w:r>
            <w:r w:rsidR="00DB149F">
              <w:rPr>
                <w:rFonts w:ascii="Avenir Next LT Pro" w:eastAsia="Calibri" w:hAnsi="Avenir Next LT Pro" w:cs="Arial"/>
                <w:b/>
                <w:bCs/>
                <w:lang w:val="es-MX"/>
              </w:rPr>
              <w:t>É</w:t>
            </w:r>
            <w:r w:rsidRPr="00DF2A43">
              <w:rPr>
                <w:rFonts w:ascii="Avenir Next LT Pro" w:eastAsia="Calibri" w:hAnsi="Avenir Next LT Pro" w:cs="Arial"/>
                <w:b/>
                <w:bCs/>
                <w:lang w:val="es-MX"/>
              </w:rPr>
              <w:t>RREZ</w:t>
            </w:r>
          </w:p>
        </w:tc>
      </w:tr>
    </w:tbl>
    <w:p w14:paraId="61717F22" w14:textId="77777777" w:rsidR="00DF2A43" w:rsidRPr="00DF2A43" w:rsidRDefault="00DF2A43" w:rsidP="00DF2A43">
      <w:pPr>
        <w:spacing w:line="360" w:lineRule="auto"/>
        <w:jc w:val="both"/>
        <w:rPr>
          <w:rFonts w:ascii="Avenir Next LT Pro" w:eastAsia="Calibri" w:hAnsi="Avenir Next LT Pro" w:cs="Arial"/>
          <w:b/>
          <w:bCs/>
          <w:lang w:val="es-MX"/>
        </w:rPr>
      </w:pPr>
    </w:p>
    <w:p w14:paraId="7DBAEF05" w14:textId="6C7AF338" w:rsidR="0017726C" w:rsidRPr="00BC4408" w:rsidRDefault="00DF2A43" w:rsidP="00BC4408">
      <w:pPr>
        <w:spacing w:line="360" w:lineRule="auto"/>
        <w:jc w:val="center"/>
        <w:rPr>
          <w:rFonts w:ascii="Avenir Next LT Pro" w:eastAsia="Calibri" w:hAnsi="Avenir Next LT Pro" w:cs="Arial"/>
          <w:b/>
          <w:bCs/>
          <w:lang w:val="es-MX"/>
        </w:rPr>
      </w:pPr>
      <w:r w:rsidRPr="00DF2A43">
        <w:rPr>
          <w:rFonts w:ascii="Avenir Next LT Pro" w:eastAsia="Calibri" w:hAnsi="Avenir Next LT Pro" w:cs="Arial"/>
          <w:b/>
          <w:bCs/>
          <w:lang w:val="es-MX"/>
        </w:rPr>
        <w:t>INTEGRANTES DEL GRUPO PARLAMENTARIO DEL PARTIDO REVOLUCIONARIO INSTITUCIONAL</w:t>
      </w:r>
    </w:p>
    <w:sectPr w:rsidR="0017726C" w:rsidRPr="00BC4408" w:rsidSect="005F5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4A92" w14:textId="77777777" w:rsidR="00A25DAD" w:rsidRDefault="00A25DAD" w:rsidP="0045616C">
      <w:r>
        <w:separator/>
      </w:r>
    </w:p>
  </w:endnote>
  <w:endnote w:type="continuationSeparator" w:id="0">
    <w:p w14:paraId="7105B4C7" w14:textId="77777777" w:rsidR="00A25DAD" w:rsidRDefault="00A25DAD" w:rsidP="0045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0.5">
    <w:altName w:val="Cambria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D364" w14:textId="77777777" w:rsidR="00BE3F18" w:rsidRDefault="00BE3F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667334"/>
      <w:docPartObj>
        <w:docPartGallery w:val="Page Numbers (Bottom of Page)"/>
        <w:docPartUnique/>
      </w:docPartObj>
    </w:sdtPr>
    <w:sdtEndPr/>
    <w:sdtContent>
      <w:p w14:paraId="6C3612CF" w14:textId="4087B0AD" w:rsidR="001804C1" w:rsidRDefault="00180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41A2EE" w14:textId="748D4FAA" w:rsidR="0045616C" w:rsidRDefault="0045616C" w:rsidP="00E70F29">
    <w:pPr>
      <w:pStyle w:val="Piedepgina"/>
      <w:tabs>
        <w:tab w:val="clear" w:pos="4419"/>
        <w:tab w:val="clear" w:pos="8838"/>
        <w:tab w:val="left" w:pos="787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AFDC" w14:textId="77777777" w:rsidR="00BE3F18" w:rsidRDefault="00BE3F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4AD2" w14:textId="77777777" w:rsidR="00A25DAD" w:rsidRDefault="00A25DAD" w:rsidP="0045616C">
      <w:r>
        <w:separator/>
      </w:r>
    </w:p>
  </w:footnote>
  <w:footnote w:type="continuationSeparator" w:id="0">
    <w:p w14:paraId="62FCA368" w14:textId="77777777" w:rsidR="00A25DAD" w:rsidRDefault="00A25DAD" w:rsidP="0045616C">
      <w:r>
        <w:continuationSeparator/>
      </w:r>
    </w:p>
  </w:footnote>
  <w:footnote w:id="1">
    <w:p w14:paraId="2BE57DA2" w14:textId="77777777" w:rsidR="00EB52D7" w:rsidRDefault="00EB52D7" w:rsidP="00EB52D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F55BB">
        <w:t>https://www.gob.mx/conadis/articulos/dia-mundial-de-concienciacion-sobre-el-autismo?idiom=es</w:t>
      </w:r>
    </w:p>
  </w:footnote>
  <w:footnote w:id="2">
    <w:p w14:paraId="1E117D7B" w14:textId="77777777" w:rsidR="00EB52D7" w:rsidRDefault="00EB52D7" w:rsidP="00EB52D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A7D66">
        <w:t>https://www.gob.mx/salud/prensa/276-deficit-de-atencion-e-hiperactividad-afecta-a-5-de-la-poblacion-infantil</w:t>
      </w:r>
    </w:p>
  </w:footnote>
  <w:footnote w:id="3">
    <w:p w14:paraId="2007A071" w14:textId="77777777" w:rsidR="00EB52D7" w:rsidRDefault="00EB52D7" w:rsidP="00EB52D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A7D66">
        <w:t>https://www.imss.gob.mx/prensa/archivo/202407/359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D223" w14:textId="77777777" w:rsidR="00BE3F18" w:rsidRDefault="00BE3F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B217" w14:textId="3A70A5B5" w:rsidR="0045616C" w:rsidRDefault="00BE3F18" w:rsidP="0045616C">
    <w:pPr>
      <w:tabs>
        <w:tab w:val="left" w:pos="1275"/>
        <w:tab w:val="right" w:pos="8838"/>
      </w:tabs>
    </w:pPr>
    <w:r>
      <w:rPr>
        <w:noProof/>
      </w:rPr>
      <w:drawing>
        <wp:anchor distT="0" distB="0" distL="114300" distR="114300" simplePos="0" relativeHeight="251655168" behindDoc="1" locked="0" layoutInCell="1" allowOverlap="1" wp14:anchorId="3582179B" wp14:editId="6D6B2DDB">
          <wp:simplePos x="0" y="0"/>
          <wp:positionH relativeFrom="column">
            <wp:posOffset>-437197</wp:posOffset>
          </wp:positionH>
          <wp:positionV relativeFrom="paragraph">
            <wp:posOffset>-273367</wp:posOffset>
          </wp:positionV>
          <wp:extent cx="1000125" cy="1181100"/>
          <wp:effectExtent l="0" t="0" r="9525" b="0"/>
          <wp:wrapNone/>
          <wp:docPr id="77688660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ED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496AC" wp14:editId="57AF8E9C">
              <wp:simplePos x="0" y="0"/>
              <wp:positionH relativeFrom="column">
                <wp:posOffset>1005840</wp:posOffset>
              </wp:positionH>
              <wp:positionV relativeFrom="paragraph">
                <wp:posOffset>-273367</wp:posOffset>
              </wp:positionV>
              <wp:extent cx="5543550" cy="2857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E64C28" w14:textId="06410F21" w:rsidR="0045616C" w:rsidRPr="00881EDE" w:rsidRDefault="00881EDE" w:rsidP="00881ED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81EDE">
                            <w:rPr>
                              <w:sz w:val="22"/>
                              <w:szCs w:val="22"/>
                            </w:rPr>
                            <w:t>"2026, Año del Bicentenario de la Abolición de la Esclavitud en el Estado de Chihuahua"</w:t>
                          </w:r>
                        </w:p>
                        <w:p w14:paraId="43048514" w14:textId="77777777" w:rsidR="0045616C" w:rsidRDefault="0045616C" w:rsidP="00456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496A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79.2pt;margin-top:-21.5pt;width:43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" fillcolor="window" stroked="f" strokeweight=".5pt">
              <v:textbox>
                <w:txbxContent>
                  <w:p w14:paraId="69E64C28" w14:textId="06410F21" w:rsidR="0045616C" w:rsidRPr="00881EDE" w:rsidRDefault="00881EDE" w:rsidP="00881EDE">
                    <w:pPr>
                      <w:rPr>
                        <w:sz w:val="22"/>
                        <w:szCs w:val="22"/>
                      </w:rPr>
                    </w:pPr>
                    <w:r w:rsidRPr="00881EDE">
                      <w:rPr>
                        <w:sz w:val="22"/>
                        <w:szCs w:val="22"/>
                      </w:rPr>
                      <w:t>"2026, Año del Bicentenario de la Abolición de la Esclavitud en el Estado de Chihuahua"</w:t>
                    </w:r>
                  </w:p>
                  <w:p w14:paraId="43048514" w14:textId="77777777" w:rsidR="0045616C" w:rsidRDefault="0045616C" w:rsidP="0045616C"/>
                </w:txbxContent>
              </v:textbox>
            </v:shape>
          </w:pict>
        </mc:Fallback>
      </mc:AlternateContent>
    </w:r>
    <w:r w:rsidR="0045616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F98992" wp14:editId="1D16E62A">
              <wp:simplePos x="0" y="0"/>
              <wp:positionH relativeFrom="margin">
                <wp:posOffset>1202055</wp:posOffset>
              </wp:positionH>
              <wp:positionV relativeFrom="paragraph">
                <wp:posOffset>179705</wp:posOffset>
              </wp:positionV>
              <wp:extent cx="5511165" cy="1270"/>
              <wp:effectExtent l="0" t="19050" r="13335" b="17780"/>
              <wp:wrapNone/>
              <wp:docPr id="8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111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11165">
                            <a:moveTo>
                              <a:pt x="0" y="0"/>
                            </a:moveTo>
                            <a:lnTo>
                              <a:pt x="5510980" y="0"/>
                            </a:lnTo>
                          </a:path>
                        </a:pathLst>
                      </a:custGeom>
                      <a:ln w="30493">
                        <a:solidFill>
                          <a:srgbClr val="8024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75394" id="Graphic 2" o:spid="_x0000_s1026" style="position:absolute;margin-left:94.65pt;margin-top:14.15pt;width:433.95pt;height:.1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551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" path="m,l5510980,e" filled="f" strokecolor="#802442" strokeweight=".84703mm">
              <v:path arrowok="t"/>
              <w10:wrap anchorx="margin"/>
            </v:shape>
          </w:pict>
        </mc:Fallback>
      </mc:AlternateContent>
    </w:r>
    <w:r w:rsidR="0045616C">
      <w:tab/>
    </w:r>
  </w:p>
  <w:p w14:paraId="119B6EAC" w14:textId="6CC624B0" w:rsidR="0045616C" w:rsidRDefault="0045616C" w:rsidP="0045616C">
    <w:pPr>
      <w:tabs>
        <w:tab w:val="left" w:pos="1275"/>
        <w:tab w:val="right" w:pos="8838"/>
      </w:tabs>
    </w:pPr>
  </w:p>
  <w:p w14:paraId="6400C013" w14:textId="05AE8DF4" w:rsidR="00421DA3" w:rsidRDefault="0045616C" w:rsidP="00421DA3">
    <w:pPr>
      <w:pStyle w:val="Encabezado"/>
      <w:jc w:val="right"/>
    </w:pPr>
    <w:r>
      <w:tab/>
    </w:r>
    <w:r w:rsidR="00421DA3">
      <w:rPr>
        <w:rFonts w:ascii="Edwardian Script ITC" w:hAnsi="Edwardian Script ITC"/>
        <w:b/>
        <w:sz w:val="44"/>
      </w:rPr>
      <w:t xml:space="preserve">Diputado José Luis </w:t>
    </w:r>
    <w:proofErr w:type="gramStart"/>
    <w:r w:rsidR="00421DA3">
      <w:rPr>
        <w:rFonts w:ascii="Edwardian Script ITC" w:hAnsi="Edwardian Script ITC"/>
        <w:b/>
        <w:sz w:val="44"/>
      </w:rPr>
      <w:t>Villalobos  García</w:t>
    </w:r>
    <w:proofErr w:type="gramEnd"/>
  </w:p>
  <w:p w14:paraId="368855CB" w14:textId="7F7388BE" w:rsidR="0045616C" w:rsidRDefault="0045616C" w:rsidP="00421DA3">
    <w:pPr>
      <w:tabs>
        <w:tab w:val="left" w:pos="1275"/>
        <w:tab w:val="right" w:pos="8838"/>
      </w:tabs>
      <w:jc w:val="right"/>
    </w:pPr>
  </w:p>
  <w:p w14:paraId="238F320C" w14:textId="0E51D098" w:rsidR="0045616C" w:rsidRDefault="0080002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90C3EA9" wp14:editId="03553332">
              <wp:simplePos x="0" y="0"/>
              <wp:positionH relativeFrom="margin">
                <wp:posOffset>-889635</wp:posOffset>
              </wp:positionH>
              <wp:positionV relativeFrom="paragraph">
                <wp:posOffset>112395</wp:posOffset>
              </wp:positionV>
              <wp:extent cx="2114550" cy="4476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447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1E8531" w14:textId="0541777F" w:rsidR="0045616C" w:rsidRPr="007762C5" w:rsidRDefault="0045616C" w:rsidP="0045616C">
                          <w:pPr>
                            <w:jc w:val="center"/>
                            <w:rPr>
                              <w:rFonts w:ascii="Bell MT" w:hAnsi="Bell M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762C5">
                            <w:rPr>
                              <w:rFonts w:ascii="Bell MT" w:hAnsi="Bell MT"/>
                              <w:b/>
                              <w:bCs/>
                              <w:sz w:val="20"/>
                              <w:szCs w:val="20"/>
                            </w:rPr>
                            <w:t>H.</w:t>
                          </w:r>
                          <w:r w:rsidR="007762C5" w:rsidRPr="007762C5">
                            <w:rPr>
                              <w:rFonts w:ascii="Bell MT" w:hAnsi="Bell MT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2C5">
                            <w:rPr>
                              <w:rFonts w:ascii="Bell MT" w:hAnsi="Bell MT"/>
                              <w:b/>
                              <w:bCs/>
                              <w:sz w:val="20"/>
                              <w:szCs w:val="20"/>
                            </w:rPr>
                            <w:t>CONGRESO DEL ESTADO DE CHIHUAHUA</w:t>
                          </w:r>
                        </w:p>
                        <w:p w14:paraId="40E87EE5" w14:textId="77777777" w:rsidR="0045616C" w:rsidRPr="0045616C" w:rsidRDefault="0045616C" w:rsidP="00456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C3EA9" id="Cuadro de texto 5" o:spid="_x0000_s1027" type="#_x0000_t202" style="position:absolute;margin-left:-70.05pt;margin-top:8.85pt;width:166.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" fillcolor="window" stroked="f" strokeweight=".5pt">
              <v:textbox>
                <w:txbxContent>
                  <w:p w14:paraId="2F1E8531" w14:textId="0541777F" w:rsidR="0045616C" w:rsidRPr="007762C5" w:rsidRDefault="0045616C" w:rsidP="0045616C">
                    <w:pPr>
                      <w:jc w:val="center"/>
                      <w:rPr>
                        <w:rFonts w:ascii="Bell MT" w:hAnsi="Bell MT"/>
                        <w:b/>
                        <w:bCs/>
                        <w:sz w:val="20"/>
                        <w:szCs w:val="20"/>
                      </w:rPr>
                    </w:pPr>
                    <w:r w:rsidRPr="007762C5">
                      <w:rPr>
                        <w:rFonts w:ascii="Bell MT" w:hAnsi="Bell MT"/>
                        <w:b/>
                        <w:bCs/>
                        <w:sz w:val="20"/>
                        <w:szCs w:val="20"/>
                      </w:rPr>
                      <w:t>H.</w:t>
                    </w:r>
                    <w:r w:rsidR="007762C5" w:rsidRPr="007762C5">
                      <w:rPr>
                        <w:rFonts w:ascii="Bell MT" w:hAnsi="Bell MT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7762C5">
                      <w:rPr>
                        <w:rFonts w:ascii="Bell MT" w:hAnsi="Bell MT"/>
                        <w:b/>
                        <w:bCs/>
                        <w:sz w:val="20"/>
                        <w:szCs w:val="20"/>
                      </w:rPr>
                      <w:t>CONGRESO DEL ESTADO DE CHIHUAHUA</w:t>
                    </w:r>
                  </w:p>
                  <w:p w14:paraId="40E87EE5" w14:textId="77777777" w:rsidR="0045616C" w:rsidRPr="0045616C" w:rsidRDefault="0045616C" w:rsidP="0045616C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C82C" w14:textId="77777777" w:rsidR="00BE3F18" w:rsidRDefault="00BE3F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9A3"/>
    <w:multiLevelType w:val="multilevel"/>
    <w:tmpl w:val="91E6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1294E"/>
    <w:multiLevelType w:val="multilevel"/>
    <w:tmpl w:val="90F4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21260"/>
    <w:multiLevelType w:val="hybridMultilevel"/>
    <w:tmpl w:val="3F30773C"/>
    <w:lvl w:ilvl="0" w:tplc="E0C6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5A58"/>
    <w:multiLevelType w:val="multilevel"/>
    <w:tmpl w:val="6E54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644777">
    <w:abstractNumId w:val="1"/>
  </w:num>
  <w:num w:numId="2" w16cid:durableId="45107446">
    <w:abstractNumId w:val="3"/>
  </w:num>
  <w:num w:numId="3" w16cid:durableId="1713378264">
    <w:abstractNumId w:val="2"/>
  </w:num>
  <w:num w:numId="4" w16cid:durableId="119596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6C"/>
    <w:rsid w:val="0001215B"/>
    <w:rsid w:val="000130C8"/>
    <w:rsid w:val="00016176"/>
    <w:rsid w:val="00016588"/>
    <w:rsid w:val="00020588"/>
    <w:rsid w:val="00052308"/>
    <w:rsid w:val="00057DFF"/>
    <w:rsid w:val="00067947"/>
    <w:rsid w:val="0007480E"/>
    <w:rsid w:val="00080C12"/>
    <w:rsid w:val="0008112A"/>
    <w:rsid w:val="000900F8"/>
    <w:rsid w:val="000A1191"/>
    <w:rsid w:val="000A7F74"/>
    <w:rsid w:val="000B1955"/>
    <w:rsid w:val="000B6B99"/>
    <w:rsid w:val="000C0AED"/>
    <w:rsid w:val="000D1D5F"/>
    <w:rsid w:val="000E0A39"/>
    <w:rsid w:val="00104C42"/>
    <w:rsid w:val="0011638C"/>
    <w:rsid w:val="0012729B"/>
    <w:rsid w:val="00144C77"/>
    <w:rsid w:val="00145097"/>
    <w:rsid w:val="00150447"/>
    <w:rsid w:val="001518D0"/>
    <w:rsid w:val="001531D8"/>
    <w:rsid w:val="0017726C"/>
    <w:rsid w:val="001804C1"/>
    <w:rsid w:val="001D0C1B"/>
    <w:rsid w:val="001D3A2F"/>
    <w:rsid w:val="001E19BE"/>
    <w:rsid w:val="001E3000"/>
    <w:rsid w:val="001E4036"/>
    <w:rsid w:val="001E6B4D"/>
    <w:rsid w:val="0021039E"/>
    <w:rsid w:val="002240C5"/>
    <w:rsid w:val="002260E7"/>
    <w:rsid w:val="00240218"/>
    <w:rsid w:val="002410B0"/>
    <w:rsid w:val="002505F6"/>
    <w:rsid w:val="002508AF"/>
    <w:rsid w:val="00266AC5"/>
    <w:rsid w:val="00266F50"/>
    <w:rsid w:val="00267B72"/>
    <w:rsid w:val="00275351"/>
    <w:rsid w:val="002822BA"/>
    <w:rsid w:val="00285928"/>
    <w:rsid w:val="002866EC"/>
    <w:rsid w:val="00287650"/>
    <w:rsid w:val="002A1105"/>
    <w:rsid w:val="002A1E84"/>
    <w:rsid w:val="002B7021"/>
    <w:rsid w:val="002C1212"/>
    <w:rsid w:val="002D55F5"/>
    <w:rsid w:val="002D5CFE"/>
    <w:rsid w:val="002E24B2"/>
    <w:rsid w:val="0030641A"/>
    <w:rsid w:val="00307A74"/>
    <w:rsid w:val="00313F94"/>
    <w:rsid w:val="00317B41"/>
    <w:rsid w:val="00321CD9"/>
    <w:rsid w:val="0032581A"/>
    <w:rsid w:val="00327F5A"/>
    <w:rsid w:val="00346C4B"/>
    <w:rsid w:val="00347016"/>
    <w:rsid w:val="00354767"/>
    <w:rsid w:val="00385B27"/>
    <w:rsid w:val="003876E4"/>
    <w:rsid w:val="00395F07"/>
    <w:rsid w:val="003B6B39"/>
    <w:rsid w:val="003B7948"/>
    <w:rsid w:val="003C32EB"/>
    <w:rsid w:val="003C3981"/>
    <w:rsid w:val="003D7EB4"/>
    <w:rsid w:val="003E156C"/>
    <w:rsid w:val="003F2BA9"/>
    <w:rsid w:val="004003AB"/>
    <w:rsid w:val="00402637"/>
    <w:rsid w:val="004076A4"/>
    <w:rsid w:val="00411B0A"/>
    <w:rsid w:val="00413F2D"/>
    <w:rsid w:val="00417E06"/>
    <w:rsid w:val="00421DA3"/>
    <w:rsid w:val="0042391A"/>
    <w:rsid w:val="00426898"/>
    <w:rsid w:val="0044107F"/>
    <w:rsid w:val="004544D1"/>
    <w:rsid w:val="0045616C"/>
    <w:rsid w:val="0046489A"/>
    <w:rsid w:val="00470DC1"/>
    <w:rsid w:val="00482CB3"/>
    <w:rsid w:val="00483040"/>
    <w:rsid w:val="004835FF"/>
    <w:rsid w:val="00483771"/>
    <w:rsid w:val="00491FFC"/>
    <w:rsid w:val="00493631"/>
    <w:rsid w:val="004B0720"/>
    <w:rsid w:val="004B50CA"/>
    <w:rsid w:val="004C3A9C"/>
    <w:rsid w:val="004C657E"/>
    <w:rsid w:val="004F0750"/>
    <w:rsid w:val="004F5752"/>
    <w:rsid w:val="00505101"/>
    <w:rsid w:val="00510B2B"/>
    <w:rsid w:val="00510D02"/>
    <w:rsid w:val="005373FD"/>
    <w:rsid w:val="00551B02"/>
    <w:rsid w:val="005A40C9"/>
    <w:rsid w:val="005C796A"/>
    <w:rsid w:val="005D0C5E"/>
    <w:rsid w:val="005D4187"/>
    <w:rsid w:val="005D5342"/>
    <w:rsid w:val="005D71BA"/>
    <w:rsid w:val="005E2764"/>
    <w:rsid w:val="005E6C64"/>
    <w:rsid w:val="005F5A1C"/>
    <w:rsid w:val="00627814"/>
    <w:rsid w:val="00635861"/>
    <w:rsid w:val="006359AC"/>
    <w:rsid w:val="00654896"/>
    <w:rsid w:val="00663232"/>
    <w:rsid w:val="006679FB"/>
    <w:rsid w:val="00670AF6"/>
    <w:rsid w:val="006717BA"/>
    <w:rsid w:val="00687793"/>
    <w:rsid w:val="006A5740"/>
    <w:rsid w:val="006A63CB"/>
    <w:rsid w:val="006A6711"/>
    <w:rsid w:val="006B583D"/>
    <w:rsid w:val="006C1D8A"/>
    <w:rsid w:val="006D7058"/>
    <w:rsid w:val="006D7FD9"/>
    <w:rsid w:val="006E6085"/>
    <w:rsid w:val="006F0B98"/>
    <w:rsid w:val="006F6A6B"/>
    <w:rsid w:val="00730B2B"/>
    <w:rsid w:val="00735AFC"/>
    <w:rsid w:val="007403DD"/>
    <w:rsid w:val="00747E0E"/>
    <w:rsid w:val="007671DC"/>
    <w:rsid w:val="007762C5"/>
    <w:rsid w:val="00784255"/>
    <w:rsid w:val="00784F44"/>
    <w:rsid w:val="00791D14"/>
    <w:rsid w:val="00794EBE"/>
    <w:rsid w:val="007A7B43"/>
    <w:rsid w:val="007D1EB3"/>
    <w:rsid w:val="007E1D87"/>
    <w:rsid w:val="007E385B"/>
    <w:rsid w:val="007E55A8"/>
    <w:rsid w:val="00800023"/>
    <w:rsid w:val="008022E7"/>
    <w:rsid w:val="00816E7D"/>
    <w:rsid w:val="00821F66"/>
    <w:rsid w:val="00823772"/>
    <w:rsid w:val="00827B26"/>
    <w:rsid w:val="0084214B"/>
    <w:rsid w:val="00853F70"/>
    <w:rsid w:val="00856AC7"/>
    <w:rsid w:val="008660D1"/>
    <w:rsid w:val="00881EDE"/>
    <w:rsid w:val="00882223"/>
    <w:rsid w:val="00885432"/>
    <w:rsid w:val="008A57BA"/>
    <w:rsid w:val="008B3FDB"/>
    <w:rsid w:val="008C5A59"/>
    <w:rsid w:val="008E66A3"/>
    <w:rsid w:val="008F0CAA"/>
    <w:rsid w:val="008F53A6"/>
    <w:rsid w:val="009011FF"/>
    <w:rsid w:val="009170EA"/>
    <w:rsid w:val="009326C8"/>
    <w:rsid w:val="00963A21"/>
    <w:rsid w:val="009645D3"/>
    <w:rsid w:val="00964FAC"/>
    <w:rsid w:val="00996B61"/>
    <w:rsid w:val="00997D71"/>
    <w:rsid w:val="009A02CE"/>
    <w:rsid w:val="009B7D19"/>
    <w:rsid w:val="009D7009"/>
    <w:rsid w:val="009E6EAB"/>
    <w:rsid w:val="009E7E61"/>
    <w:rsid w:val="009F75D5"/>
    <w:rsid w:val="00A01A23"/>
    <w:rsid w:val="00A04DF7"/>
    <w:rsid w:val="00A2527B"/>
    <w:rsid w:val="00A25DAD"/>
    <w:rsid w:val="00A31CA5"/>
    <w:rsid w:val="00A50220"/>
    <w:rsid w:val="00A535A9"/>
    <w:rsid w:val="00A544BD"/>
    <w:rsid w:val="00A5585F"/>
    <w:rsid w:val="00A67D5D"/>
    <w:rsid w:val="00A724AC"/>
    <w:rsid w:val="00A75398"/>
    <w:rsid w:val="00A96F2D"/>
    <w:rsid w:val="00AA098F"/>
    <w:rsid w:val="00AA434A"/>
    <w:rsid w:val="00AB4495"/>
    <w:rsid w:val="00AB52DF"/>
    <w:rsid w:val="00AB655F"/>
    <w:rsid w:val="00AB6C21"/>
    <w:rsid w:val="00AE1B28"/>
    <w:rsid w:val="00AF0C12"/>
    <w:rsid w:val="00B03C44"/>
    <w:rsid w:val="00B04B9E"/>
    <w:rsid w:val="00B10B0A"/>
    <w:rsid w:val="00B13625"/>
    <w:rsid w:val="00B22A34"/>
    <w:rsid w:val="00B22CC4"/>
    <w:rsid w:val="00B236F4"/>
    <w:rsid w:val="00B330F8"/>
    <w:rsid w:val="00B343BC"/>
    <w:rsid w:val="00B34902"/>
    <w:rsid w:val="00B35205"/>
    <w:rsid w:val="00B549E5"/>
    <w:rsid w:val="00B62D7C"/>
    <w:rsid w:val="00B6543F"/>
    <w:rsid w:val="00B86031"/>
    <w:rsid w:val="00B95569"/>
    <w:rsid w:val="00BB5F18"/>
    <w:rsid w:val="00BC2A44"/>
    <w:rsid w:val="00BC4408"/>
    <w:rsid w:val="00BC623B"/>
    <w:rsid w:val="00BD05B2"/>
    <w:rsid w:val="00BE3417"/>
    <w:rsid w:val="00BE3F18"/>
    <w:rsid w:val="00BF6C86"/>
    <w:rsid w:val="00C02625"/>
    <w:rsid w:val="00C07100"/>
    <w:rsid w:val="00C14F97"/>
    <w:rsid w:val="00C16D6B"/>
    <w:rsid w:val="00C17DBC"/>
    <w:rsid w:val="00C2560C"/>
    <w:rsid w:val="00C40885"/>
    <w:rsid w:val="00C40BA5"/>
    <w:rsid w:val="00C42079"/>
    <w:rsid w:val="00C4450C"/>
    <w:rsid w:val="00C47620"/>
    <w:rsid w:val="00C54071"/>
    <w:rsid w:val="00C7114F"/>
    <w:rsid w:val="00C74921"/>
    <w:rsid w:val="00C951C9"/>
    <w:rsid w:val="00C97168"/>
    <w:rsid w:val="00CC2E8F"/>
    <w:rsid w:val="00CC66FB"/>
    <w:rsid w:val="00CC6B48"/>
    <w:rsid w:val="00CF0770"/>
    <w:rsid w:val="00CF0B39"/>
    <w:rsid w:val="00CF443C"/>
    <w:rsid w:val="00D01CC3"/>
    <w:rsid w:val="00D04734"/>
    <w:rsid w:val="00D0577E"/>
    <w:rsid w:val="00D073AC"/>
    <w:rsid w:val="00D10274"/>
    <w:rsid w:val="00D16BC8"/>
    <w:rsid w:val="00D17F47"/>
    <w:rsid w:val="00D24255"/>
    <w:rsid w:val="00D4204F"/>
    <w:rsid w:val="00D4367E"/>
    <w:rsid w:val="00D45513"/>
    <w:rsid w:val="00D52B5B"/>
    <w:rsid w:val="00D6067E"/>
    <w:rsid w:val="00D74E35"/>
    <w:rsid w:val="00D87246"/>
    <w:rsid w:val="00DA4BDC"/>
    <w:rsid w:val="00DA5BE9"/>
    <w:rsid w:val="00DB149F"/>
    <w:rsid w:val="00DB34B5"/>
    <w:rsid w:val="00DB5A6B"/>
    <w:rsid w:val="00DC4F1F"/>
    <w:rsid w:val="00DE6171"/>
    <w:rsid w:val="00DE62E1"/>
    <w:rsid w:val="00DE6C9A"/>
    <w:rsid w:val="00DF2A43"/>
    <w:rsid w:val="00DF3620"/>
    <w:rsid w:val="00DF493D"/>
    <w:rsid w:val="00DF70DA"/>
    <w:rsid w:val="00E21EC3"/>
    <w:rsid w:val="00E42031"/>
    <w:rsid w:val="00E558A2"/>
    <w:rsid w:val="00E70F29"/>
    <w:rsid w:val="00E92861"/>
    <w:rsid w:val="00EA18C1"/>
    <w:rsid w:val="00EA6BBD"/>
    <w:rsid w:val="00EB065A"/>
    <w:rsid w:val="00EB52D7"/>
    <w:rsid w:val="00EB7247"/>
    <w:rsid w:val="00EC1161"/>
    <w:rsid w:val="00EC16D9"/>
    <w:rsid w:val="00EC2DF7"/>
    <w:rsid w:val="00ED3934"/>
    <w:rsid w:val="00EE489E"/>
    <w:rsid w:val="00EF0FC6"/>
    <w:rsid w:val="00F1231C"/>
    <w:rsid w:val="00F32617"/>
    <w:rsid w:val="00F45048"/>
    <w:rsid w:val="00F83088"/>
    <w:rsid w:val="00F9789D"/>
    <w:rsid w:val="00FA36BB"/>
    <w:rsid w:val="00FB4059"/>
    <w:rsid w:val="00FB75FB"/>
    <w:rsid w:val="00FC5A5B"/>
    <w:rsid w:val="00FD2CEF"/>
    <w:rsid w:val="00FD3F27"/>
    <w:rsid w:val="00FD72A8"/>
    <w:rsid w:val="00FE0C73"/>
    <w:rsid w:val="00FE115C"/>
    <w:rsid w:val="00FE3882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E1D5F"/>
  <w15:chartTrackingRefBased/>
  <w15:docId w15:val="{723F1255-3DEC-44B8-8C92-C03BFD2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E6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4561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5616C"/>
  </w:style>
  <w:style w:type="paragraph" w:styleId="Piedepgina">
    <w:name w:val="footer"/>
    <w:basedOn w:val="Normal"/>
    <w:link w:val="PiedepginaCar"/>
    <w:uiPriority w:val="99"/>
    <w:unhideWhenUsed/>
    <w:rsid w:val="004561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16C"/>
  </w:style>
  <w:style w:type="paragraph" w:styleId="Ttulo">
    <w:name w:val="Title"/>
    <w:basedOn w:val="Normal"/>
    <w:link w:val="TtuloCar"/>
    <w:uiPriority w:val="10"/>
    <w:qFormat/>
    <w:rsid w:val="0045616C"/>
    <w:pPr>
      <w:widowControl w:val="0"/>
      <w:autoSpaceDE w:val="0"/>
      <w:autoSpaceDN w:val="0"/>
      <w:spacing w:before="13"/>
      <w:ind w:left="20" w:hanging="507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5616C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C0262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2617"/>
    <w:pPr>
      <w:spacing w:before="100" w:beforeAutospacing="1" w:after="100" w:afterAutospacing="1"/>
    </w:pPr>
    <w:rPr>
      <w:lang w:val="es-MX" w:eastAsia="es-MX"/>
    </w:rPr>
  </w:style>
  <w:style w:type="character" w:styleId="Fuerte">
    <w:name w:val="Strong"/>
    <w:basedOn w:val="Fuentedeprrafopredeter"/>
    <w:uiPriority w:val="22"/>
    <w:qFormat/>
    <w:rsid w:val="00F32617"/>
    <w:rPr>
      <w:b/>
      <w:bCs/>
    </w:rPr>
  </w:style>
  <w:style w:type="character" w:styleId="nfasis">
    <w:name w:val="Emphasis"/>
    <w:basedOn w:val="Fuentedeprrafopredeter"/>
    <w:uiPriority w:val="20"/>
    <w:qFormat/>
    <w:rsid w:val="00F32617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5F5A1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5F5A1C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5A1C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1E6B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6228-E009-4D89-BEC5-27C4D773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2711</Words>
  <Characters>15698</Characters>
  <Application>Microsoft Office Word</Application>
  <DocSecurity>0</DocSecurity>
  <Lines>249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Araly Loera Chaparro</dc:creator>
  <cp:keywords/>
  <dc:description/>
  <cp:lastModifiedBy>Abby Arteaga</cp:lastModifiedBy>
  <cp:revision>23</cp:revision>
  <cp:lastPrinted>2026-02-23T20:09:00Z</cp:lastPrinted>
  <dcterms:created xsi:type="dcterms:W3CDTF">2026-05-11T20:51:00Z</dcterms:created>
  <dcterms:modified xsi:type="dcterms:W3CDTF">2026-05-19T01:19:00Z</dcterms:modified>
</cp:coreProperties>
</file>