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68F1" w14:textId="77777777" w:rsidR="000F0544" w:rsidRDefault="000F0544" w:rsidP="003A10CC">
      <w:pPr>
        <w:pStyle w:val="NormalWeb"/>
        <w:spacing w:before="0" w:beforeAutospacing="0" w:after="0" w:afterAutospacing="0" w:line="360" w:lineRule="auto"/>
        <w:jc w:val="both"/>
        <w:rPr>
          <w:rFonts w:ascii="Century Gothic" w:hAnsi="Century Gothic"/>
          <w:b/>
          <w:bCs/>
        </w:rPr>
      </w:pPr>
    </w:p>
    <w:p w14:paraId="1BC9F0BE" w14:textId="77777777" w:rsidR="000F0544" w:rsidRDefault="000F0544" w:rsidP="003A10CC">
      <w:pPr>
        <w:pStyle w:val="NormalWeb"/>
        <w:spacing w:before="0" w:beforeAutospacing="0" w:after="0" w:afterAutospacing="0" w:line="360" w:lineRule="auto"/>
        <w:jc w:val="both"/>
        <w:rPr>
          <w:rFonts w:ascii="Century Gothic" w:hAnsi="Century Gothic"/>
          <w:b/>
          <w:bCs/>
        </w:rPr>
      </w:pPr>
    </w:p>
    <w:p w14:paraId="11CCC477" w14:textId="77777777" w:rsidR="000F0544" w:rsidRDefault="000F0544" w:rsidP="003A10CC">
      <w:pPr>
        <w:pStyle w:val="NormalWeb"/>
        <w:spacing w:before="0" w:beforeAutospacing="0" w:after="0" w:afterAutospacing="0" w:line="360" w:lineRule="auto"/>
        <w:jc w:val="both"/>
        <w:rPr>
          <w:rFonts w:ascii="Century Gothic" w:hAnsi="Century Gothic"/>
          <w:b/>
          <w:bCs/>
        </w:rPr>
      </w:pPr>
    </w:p>
    <w:p w14:paraId="09672A4E" w14:textId="2D257A2C" w:rsidR="003A10CC" w:rsidRPr="007476BB" w:rsidRDefault="003A10CC" w:rsidP="003A10CC">
      <w:pPr>
        <w:pStyle w:val="NormalWeb"/>
        <w:spacing w:before="0" w:beforeAutospacing="0" w:after="0" w:afterAutospacing="0" w:line="360" w:lineRule="auto"/>
        <w:jc w:val="both"/>
        <w:rPr>
          <w:rFonts w:ascii="Century Gothic" w:hAnsi="Century Gothic"/>
          <w:b/>
          <w:bCs/>
        </w:rPr>
      </w:pPr>
      <w:r w:rsidRPr="007476BB">
        <w:rPr>
          <w:rFonts w:ascii="Century Gothic" w:hAnsi="Century Gothic"/>
          <w:b/>
          <w:bCs/>
        </w:rPr>
        <w:t>HONORABLE CONGRESO DEL ESTADO DE CHIHUAHUA</w:t>
      </w:r>
    </w:p>
    <w:p w14:paraId="55CEB04D" w14:textId="77777777" w:rsidR="003A10CC" w:rsidRPr="007476BB" w:rsidRDefault="003A10CC" w:rsidP="003A10CC">
      <w:pPr>
        <w:pStyle w:val="NormalWeb"/>
        <w:spacing w:before="0" w:beforeAutospacing="0" w:after="0" w:afterAutospacing="0" w:line="360" w:lineRule="auto"/>
        <w:jc w:val="both"/>
        <w:rPr>
          <w:rFonts w:ascii="Century Gothic" w:hAnsi="Century Gothic"/>
          <w:b/>
          <w:bCs/>
        </w:rPr>
      </w:pPr>
      <w:r w:rsidRPr="007476BB">
        <w:rPr>
          <w:rFonts w:ascii="Century Gothic" w:hAnsi="Century Gothic"/>
          <w:b/>
          <w:bCs/>
        </w:rPr>
        <w:t>P R E S E N T E.-</w:t>
      </w:r>
    </w:p>
    <w:p w14:paraId="754E5C20" w14:textId="77777777" w:rsidR="003A10CC" w:rsidRPr="007476BB" w:rsidRDefault="003A10CC" w:rsidP="003A10CC">
      <w:pPr>
        <w:pStyle w:val="NormalWeb"/>
        <w:spacing w:before="0" w:beforeAutospacing="0" w:after="0" w:afterAutospacing="0" w:line="360" w:lineRule="auto"/>
        <w:jc w:val="both"/>
        <w:rPr>
          <w:rFonts w:ascii="Century Gothic" w:hAnsi="Century Gothic"/>
          <w:b/>
          <w:bCs/>
        </w:rPr>
      </w:pPr>
    </w:p>
    <w:p w14:paraId="5A3135E1" w14:textId="77777777" w:rsidR="003A10CC" w:rsidRPr="007476BB" w:rsidRDefault="003A10CC" w:rsidP="003A10CC">
      <w:pPr>
        <w:pStyle w:val="NormalWeb"/>
        <w:spacing w:line="360" w:lineRule="auto"/>
        <w:jc w:val="both"/>
        <w:rPr>
          <w:rFonts w:ascii="Century Gothic" w:hAnsi="Century Gothic"/>
        </w:rPr>
      </w:pPr>
      <w:r w:rsidRPr="007476BB">
        <w:rPr>
          <w:rFonts w:ascii="Century Gothic" w:hAnsi="Century Gothic"/>
          <w:b/>
          <w:bCs/>
        </w:rPr>
        <w:tab/>
        <w:t xml:space="preserve">JORGE </w:t>
      </w:r>
      <w:r>
        <w:rPr>
          <w:rFonts w:ascii="Century Gothic" w:hAnsi="Century Gothic"/>
          <w:b/>
          <w:bCs/>
        </w:rPr>
        <w:t xml:space="preserve">CARLOS </w:t>
      </w:r>
      <w:r w:rsidRPr="007476BB">
        <w:rPr>
          <w:rFonts w:ascii="Century Gothic" w:hAnsi="Century Gothic"/>
          <w:b/>
          <w:bCs/>
        </w:rPr>
        <w:t>SOTO</w:t>
      </w:r>
      <w:r>
        <w:rPr>
          <w:rFonts w:ascii="Century Gothic" w:hAnsi="Century Gothic"/>
          <w:b/>
          <w:bCs/>
        </w:rPr>
        <w:t xml:space="preserve"> PRIETO</w:t>
      </w:r>
      <w:r w:rsidRPr="007476BB">
        <w:rPr>
          <w:rFonts w:ascii="Century Gothic" w:hAnsi="Century Gothic"/>
          <w:b/>
          <w:bCs/>
        </w:rPr>
        <w:t xml:space="preserve">, </w:t>
      </w:r>
      <w:r w:rsidRPr="007476BB">
        <w:rPr>
          <w:rFonts w:ascii="Century Gothic" w:hAnsi="Century Gothic"/>
        </w:rPr>
        <w:t xml:space="preserve">en mi carácter de Diputado de la LXVIII Legislatura y en representación del Grupo Parlamentario del Partido de Acción Nacional, con fundamento en lo dispuesto en los artículos 64 fracción II y de la Constitución Política de los Estados Unidos Mexicanos, los artículos 167, fracción I y 170 de la Ley Orgánica del Poder Legislativo del Estado de Chihuahua; así como los artículos 2, fracción IV, 13 fracción IV, 75, 76, y 77 del Reglamento Interior y de Prácticas Parlamentarias del Poder Legislativo del Estado de Chihuahua, acudo ante esta Honorable Soberanía a fin de presentar la siguiente </w:t>
      </w:r>
      <w:r w:rsidRPr="007476BB">
        <w:rPr>
          <w:rFonts w:ascii="Century Gothic" w:hAnsi="Century Gothic"/>
          <w:b/>
          <w:bCs/>
        </w:rPr>
        <w:t xml:space="preserve">INICIATIVA CON CARÁCTER DE DECRETO POR EL QUE SE REFORMAN DIVERSAS DISPOSICIONES DEL DECRETO NO. LXVIII/AUOBF/0254/2025 VI P.E., EN MATERIA DE DISCIPLINA FINANCIERA Y CERTEZA JURÍDICA EN LA CONTRATACIÓN DE FINANCIAMIENTOS MUNICIPALES, </w:t>
      </w:r>
      <w:r w:rsidRPr="007476BB">
        <w:rPr>
          <w:rFonts w:ascii="Century Gothic" w:hAnsi="Century Gothic"/>
        </w:rPr>
        <w:t>sustentada en lo siguiente:</w:t>
      </w:r>
    </w:p>
    <w:p w14:paraId="2CECD520" w14:textId="77777777" w:rsidR="003A10CC" w:rsidRPr="007476BB" w:rsidRDefault="003A10CC" w:rsidP="003A10CC">
      <w:pPr>
        <w:pStyle w:val="NormalWeb"/>
        <w:spacing w:line="276" w:lineRule="auto"/>
        <w:jc w:val="center"/>
        <w:rPr>
          <w:rFonts w:ascii="Century Gothic" w:hAnsi="Century Gothic"/>
          <w:b/>
          <w:bCs/>
        </w:rPr>
      </w:pPr>
    </w:p>
    <w:p w14:paraId="14B9050B" w14:textId="77777777" w:rsidR="003A10CC" w:rsidRDefault="003A10CC" w:rsidP="003A10CC">
      <w:pPr>
        <w:pStyle w:val="NormalWeb"/>
        <w:spacing w:line="276" w:lineRule="auto"/>
        <w:jc w:val="center"/>
        <w:rPr>
          <w:rFonts w:ascii="Century Gothic" w:hAnsi="Century Gothic"/>
          <w:b/>
          <w:bCs/>
        </w:rPr>
      </w:pPr>
      <w:r w:rsidRPr="007476BB">
        <w:rPr>
          <w:rFonts w:ascii="Century Gothic" w:hAnsi="Century Gothic"/>
          <w:b/>
          <w:bCs/>
        </w:rPr>
        <w:t>EXPOSICIÓN DE MOTIVOS</w:t>
      </w:r>
    </w:p>
    <w:p w14:paraId="1903375D" w14:textId="77777777" w:rsidR="003A10CC" w:rsidRDefault="003A10CC" w:rsidP="003A10CC">
      <w:pPr>
        <w:pStyle w:val="NormalWeb"/>
        <w:spacing w:line="276" w:lineRule="auto"/>
        <w:jc w:val="center"/>
        <w:rPr>
          <w:rFonts w:ascii="Century Gothic" w:hAnsi="Century Gothic"/>
          <w:b/>
          <w:bCs/>
        </w:rPr>
      </w:pPr>
    </w:p>
    <w:p w14:paraId="2B6F9F63"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En fecha junio de 2025, esta Honorable Soberanía aprobó el Decreto No. LXVIII/AUOBF/0254/2025 VI P.E., mediante el cual se autorizó a los municipios del Estado de Chihuahua la contratación de financiamientos bajo determinadas condiciones, en apego a la normatividad en materia de disciplina financiera.</w:t>
      </w:r>
    </w:p>
    <w:p w14:paraId="74426012" w14:textId="77777777" w:rsidR="003A10CC" w:rsidRPr="00AD2DE6" w:rsidRDefault="003A10CC" w:rsidP="003A10CC">
      <w:pPr>
        <w:pStyle w:val="NormalWeb"/>
        <w:spacing w:line="360" w:lineRule="auto"/>
        <w:jc w:val="both"/>
        <w:rPr>
          <w:rFonts w:ascii="Century Gothic" w:hAnsi="Century Gothic"/>
        </w:rPr>
      </w:pPr>
    </w:p>
    <w:p w14:paraId="316C7AD7"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No obstante, derivado del proceso de inscripción y validación ante la Unidad de Coordinación con Entidades Federativas, instancia dependiente de la Secretaría de Hacienda y Crédito Público, se formularon observaciones de carácter técnico-jurídico respecto a la redacción de determinadas disposiciones contenidas en dicho Decreto.</w:t>
      </w:r>
    </w:p>
    <w:p w14:paraId="29B15DF4" w14:textId="77777777" w:rsidR="003A10CC" w:rsidRPr="00AD2DE6" w:rsidRDefault="003A10CC" w:rsidP="003A10CC">
      <w:pPr>
        <w:pStyle w:val="NormalWeb"/>
        <w:spacing w:line="360" w:lineRule="auto"/>
        <w:jc w:val="both"/>
        <w:rPr>
          <w:rFonts w:ascii="Century Gothic" w:hAnsi="Century Gothic"/>
        </w:rPr>
      </w:pPr>
    </w:p>
    <w:p w14:paraId="146E16EF"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Dichas observaciones resultan de suma relevancia, toda vez que inciden directamente en la posibilidad de que los municipios interesados accedan, en tiempo y forma, a los esquemas de financiamiento autorizados, a fin de concretar operaciones de crédito destinadas a la atención de necesidades prioritarias de inversión pública.</w:t>
      </w:r>
    </w:p>
    <w:p w14:paraId="5E7298A1" w14:textId="77777777" w:rsidR="003A10CC" w:rsidRPr="00AD2DE6" w:rsidRDefault="003A10CC" w:rsidP="003A10CC">
      <w:pPr>
        <w:pStyle w:val="NormalWeb"/>
        <w:spacing w:line="360" w:lineRule="auto"/>
        <w:jc w:val="both"/>
        <w:rPr>
          <w:rFonts w:ascii="Century Gothic" w:hAnsi="Century Gothic"/>
        </w:rPr>
      </w:pPr>
    </w:p>
    <w:p w14:paraId="6D562F1A" w14:textId="77777777" w:rsidR="003A10CC" w:rsidRPr="00AD2DE6" w:rsidRDefault="003A10CC" w:rsidP="003A10CC">
      <w:pPr>
        <w:pStyle w:val="NormalWeb"/>
        <w:spacing w:line="360" w:lineRule="auto"/>
        <w:jc w:val="both"/>
        <w:rPr>
          <w:rFonts w:ascii="Century Gothic" w:hAnsi="Century Gothic"/>
        </w:rPr>
      </w:pPr>
      <w:r w:rsidRPr="00AD2DE6">
        <w:rPr>
          <w:rFonts w:ascii="Century Gothic" w:hAnsi="Century Gothic"/>
        </w:rPr>
        <w:t xml:space="preserve">En este contexto, resulta pertinente señalar que actualmente los municipios de Cóyame del Sotol y </w:t>
      </w:r>
      <w:proofErr w:type="spellStart"/>
      <w:r w:rsidRPr="00AD2DE6">
        <w:rPr>
          <w:rFonts w:ascii="Century Gothic" w:hAnsi="Century Gothic"/>
        </w:rPr>
        <w:t>Bachíniva</w:t>
      </w:r>
      <w:proofErr w:type="spellEnd"/>
      <w:r>
        <w:rPr>
          <w:rFonts w:ascii="Century Gothic" w:hAnsi="Century Gothic"/>
        </w:rPr>
        <w:t xml:space="preserve"> hicieron llegar a un servidor oficios mediante los cuales se informa que</w:t>
      </w:r>
      <w:r w:rsidRPr="00AD2DE6">
        <w:rPr>
          <w:rFonts w:ascii="Century Gothic" w:hAnsi="Century Gothic"/>
        </w:rPr>
        <w:t xml:space="preserve"> se encuentran en proceso de gestión para la obtención de financiamiento, estando a la espera de la autorización correspondiente para la contratación de créditos destinados a atender necesidades prioritarias de inversión pública. </w:t>
      </w:r>
    </w:p>
    <w:p w14:paraId="1E59F7C0"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 xml:space="preserve">La materialización de dichos financiamientos se encuentra sujeta al cumplimiento de los requisitos establecidos por la Unidad de Coordinación con Entidades Federativas, mismos que, derivado de las observaciones formuladas al Decreto de referencia, requieren de los ajustes normativos que se proponen en la presente iniciativa. En consecuencia, la reforma planteada resulta indispensable para generar certeza jurídica, subsanar las </w:t>
      </w:r>
      <w:r w:rsidRPr="00AD2DE6">
        <w:rPr>
          <w:rFonts w:ascii="Century Gothic" w:hAnsi="Century Gothic"/>
        </w:rPr>
        <w:lastRenderedPageBreak/>
        <w:t>inconsistencias advertidas y posibilitar que los referidos municipios puedan acceder de manera efectiva a los esquemas de financiamiento autorizados por este Honorable Congreso.</w:t>
      </w:r>
    </w:p>
    <w:p w14:paraId="7C824B9A" w14:textId="77777777" w:rsidR="003A10CC" w:rsidRPr="00AD2DE6" w:rsidRDefault="003A10CC" w:rsidP="003A10CC">
      <w:pPr>
        <w:pStyle w:val="NormalWeb"/>
        <w:spacing w:line="360" w:lineRule="auto"/>
        <w:jc w:val="both"/>
        <w:rPr>
          <w:rFonts w:ascii="Century Gothic" w:hAnsi="Century Gothic"/>
        </w:rPr>
      </w:pPr>
    </w:p>
    <w:p w14:paraId="2D9B3E65"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En específico, la Unidad de Coordinación con Entidades Federativas</w:t>
      </w:r>
      <w:r>
        <w:rPr>
          <w:rFonts w:ascii="Century Gothic" w:hAnsi="Century Gothic"/>
        </w:rPr>
        <w:t xml:space="preserve"> solicita una redacción genérica que no genere ambigüedad en </w:t>
      </w:r>
      <w:r w:rsidRPr="00AD2DE6">
        <w:rPr>
          <w:rFonts w:ascii="Century Gothic" w:hAnsi="Century Gothic"/>
        </w:rPr>
        <w:t>cumplimiento de lo dispuesto en la Ley de Disciplina Financiera de las Entidades Federativas y los Municipios, particularmente en lo relativo a la acreditación del análisis previo de la capacidad de pago.</w:t>
      </w:r>
    </w:p>
    <w:p w14:paraId="37B56E73" w14:textId="77777777" w:rsidR="003A10CC" w:rsidRPr="00AD2DE6" w:rsidRDefault="003A10CC" w:rsidP="003A10CC">
      <w:pPr>
        <w:pStyle w:val="NormalWeb"/>
        <w:spacing w:line="360" w:lineRule="auto"/>
        <w:jc w:val="both"/>
        <w:rPr>
          <w:rFonts w:ascii="Century Gothic" w:hAnsi="Century Gothic"/>
        </w:rPr>
      </w:pPr>
    </w:p>
    <w:p w14:paraId="465B0FBD" w14:textId="77777777" w:rsidR="003A10CC" w:rsidRDefault="003A10CC" w:rsidP="003A10CC">
      <w:pPr>
        <w:pStyle w:val="NormalWeb"/>
        <w:spacing w:line="360" w:lineRule="auto"/>
        <w:jc w:val="both"/>
        <w:rPr>
          <w:rFonts w:ascii="Century Gothic" w:hAnsi="Century Gothic"/>
        </w:rPr>
      </w:pPr>
      <w:r>
        <w:rPr>
          <w:rFonts w:ascii="Century Gothic" w:hAnsi="Century Gothic"/>
        </w:rPr>
        <w:t>Derivado</w:t>
      </w:r>
      <w:r w:rsidRPr="00AD2DE6">
        <w:rPr>
          <w:rFonts w:ascii="Century Gothic" w:hAnsi="Century Gothic"/>
        </w:rPr>
        <w:t xml:space="preserve"> del análisis comparativo con decretos similares aprobados y validados por la propia autoridad, se ha sugerido ajustar la redacción para precisar de manera expresa el cumplimiento previo de dichas obligaciones, así como establecer con claridad el plazo correspondiente, que en el caso concreto asciende a 806 días.</w:t>
      </w:r>
    </w:p>
    <w:p w14:paraId="2E7796F5" w14:textId="77777777" w:rsidR="003A10CC" w:rsidRPr="00AD2DE6" w:rsidRDefault="003A10CC" w:rsidP="003A10CC">
      <w:pPr>
        <w:pStyle w:val="NormalWeb"/>
        <w:spacing w:line="360" w:lineRule="auto"/>
        <w:jc w:val="both"/>
        <w:rPr>
          <w:rFonts w:ascii="Century Gothic" w:hAnsi="Century Gothic"/>
        </w:rPr>
      </w:pPr>
    </w:p>
    <w:p w14:paraId="3CE711EA"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 xml:space="preserve">Por otra parte, se </w:t>
      </w:r>
      <w:r>
        <w:rPr>
          <w:rFonts w:ascii="Century Gothic" w:hAnsi="Century Gothic"/>
        </w:rPr>
        <w:t>sugiere</w:t>
      </w:r>
      <w:r w:rsidRPr="00AD2DE6">
        <w:rPr>
          <w:rFonts w:ascii="Century Gothic" w:hAnsi="Century Gothic"/>
        </w:rPr>
        <w:t xml:space="preserve"> en los artículos Tercero y Cuarto del Decreto referido, en donde el uso de la expresión “será” </w:t>
      </w:r>
      <w:r>
        <w:rPr>
          <w:rFonts w:ascii="Century Gothic" w:hAnsi="Century Gothic"/>
        </w:rPr>
        <w:t>reemplazarse</w:t>
      </w:r>
      <w:r w:rsidRPr="00AD2DE6">
        <w:rPr>
          <w:rFonts w:ascii="Century Gothic" w:hAnsi="Century Gothic"/>
        </w:rPr>
        <w:t xml:space="preserve"> en su lugar las expresiones “fue dado” o “fue otorgado”, a efecto de dotar de certeza sobre la materialización del acto jurídico.</w:t>
      </w:r>
    </w:p>
    <w:p w14:paraId="07A720D8" w14:textId="77777777" w:rsidR="003A10CC" w:rsidRPr="00AD2DE6" w:rsidRDefault="003A10CC" w:rsidP="003A10CC">
      <w:pPr>
        <w:pStyle w:val="NormalWeb"/>
        <w:spacing w:line="360" w:lineRule="auto"/>
        <w:jc w:val="both"/>
        <w:rPr>
          <w:rFonts w:ascii="Century Gothic" w:hAnsi="Century Gothic"/>
        </w:rPr>
      </w:pPr>
    </w:p>
    <w:p w14:paraId="31A3A1FC"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 xml:space="preserve">En ese sentido, la presente iniciativa tiene como finalidad dotar de certeza jurídica al Decreto aprobado, atender puntualmente las observaciones emitidas por la Unidad de Coordinación con Entidades Federativas, </w:t>
      </w:r>
      <w:r w:rsidRPr="00AD2DE6">
        <w:rPr>
          <w:rFonts w:ascii="Century Gothic" w:hAnsi="Century Gothic"/>
        </w:rPr>
        <w:lastRenderedPageBreak/>
        <w:t>garantizar el cumplimiento de la Ley de Disciplina Financiera de las Entidades Federativas y los Municipios, así como facilitar el acceso efectivo de los municipios a los financiamientos autorizados.</w:t>
      </w:r>
    </w:p>
    <w:p w14:paraId="6D8A1E21" w14:textId="77777777" w:rsidR="003A10CC" w:rsidRPr="00AD2DE6" w:rsidRDefault="003A10CC" w:rsidP="003A10CC">
      <w:pPr>
        <w:pStyle w:val="NormalWeb"/>
        <w:spacing w:line="360" w:lineRule="auto"/>
        <w:jc w:val="both"/>
        <w:rPr>
          <w:rFonts w:ascii="Century Gothic" w:hAnsi="Century Gothic"/>
        </w:rPr>
      </w:pPr>
    </w:p>
    <w:p w14:paraId="66B2D32B" w14:textId="77777777" w:rsidR="003A10CC" w:rsidRDefault="003A10CC" w:rsidP="003A10CC">
      <w:pPr>
        <w:pStyle w:val="NormalWeb"/>
        <w:spacing w:line="360" w:lineRule="auto"/>
        <w:jc w:val="both"/>
        <w:rPr>
          <w:rFonts w:ascii="Century Gothic" w:hAnsi="Century Gothic"/>
        </w:rPr>
      </w:pPr>
      <w:r w:rsidRPr="00AD2DE6">
        <w:rPr>
          <w:rFonts w:ascii="Century Gothic" w:hAnsi="Century Gothic"/>
        </w:rPr>
        <w:t>Es importante destacar que la presente reforma no modifica el fondo del Decreto aprobado, sino que se limita a precisar y armonizar su redacción para efectos de viabilidad jurídica y administrativa.</w:t>
      </w:r>
    </w:p>
    <w:p w14:paraId="755C0A22" w14:textId="77777777" w:rsidR="003A10CC" w:rsidRPr="00AD2DE6" w:rsidRDefault="003A10CC" w:rsidP="003A10CC">
      <w:pPr>
        <w:pStyle w:val="NormalWeb"/>
        <w:spacing w:line="360" w:lineRule="auto"/>
        <w:jc w:val="both"/>
        <w:rPr>
          <w:rFonts w:ascii="Century Gothic" w:hAnsi="Century Gothic"/>
        </w:rPr>
      </w:pPr>
    </w:p>
    <w:p w14:paraId="66FDC1AC" w14:textId="77777777" w:rsidR="003A10CC" w:rsidRPr="00AD2DE6" w:rsidRDefault="003A10CC" w:rsidP="003A10CC">
      <w:pPr>
        <w:pStyle w:val="NormalWeb"/>
        <w:spacing w:line="360" w:lineRule="auto"/>
        <w:jc w:val="both"/>
        <w:rPr>
          <w:rFonts w:ascii="Century Gothic" w:hAnsi="Century Gothic"/>
        </w:rPr>
      </w:pPr>
      <w:r w:rsidRPr="00AD2DE6">
        <w:rPr>
          <w:rFonts w:ascii="Century Gothic" w:hAnsi="Century Gothic"/>
        </w:rPr>
        <w:t>Por lo anteriormente expuesto, se somete a consideración de esta Honorable Asamblea el siguiente:</w:t>
      </w:r>
    </w:p>
    <w:p w14:paraId="2FFBBF1F" w14:textId="77777777" w:rsidR="003A10CC" w:rsidRDefault="003A10CC" w:rsidP="003A10CC">
      <w:pPr>
        <w:spacing w:before="100" w:beforeAutospacing="1" w:after="100" w:afterAutospacing="1" w:line="360" w:lineRule="auto"/>
        <w:jc w:val="both"/>
        <w:rPr>
          <w:rFonts w:ascii="Century Gothic" w:eastAsia="Times New Roman" w:hAnsi="Century Gothic" w:cs="Times New Roman"/>
          <w:kern w:val="0"/>
          <w:lang w:eastAsia="es-MX"/>
          <w14:ligatures w14:val="none"/>
        </w:rPr>
      </w:pPr>
    </w:p>
    <w:p w14:paraId="67DFE7B8" w14:textId="77777777" w:rsidR="003A10CC" w:rsidRDefault="003A10CC" w:rsidP="003A10CC">
      <w:pPr>
        <w:spacing w:before="100" w:beforeAutospacing="1" w:after="100" w:afterAutospacing="1" w:line="360" w:lineRule="auto"/>
        <w:jc w:val="center"/>
        <w:rPr>
          <w:rFonts w:ascii="Century Gothic" w:eastAsia="Times New Roman" w:hAnsi="Century Gothic" w:cs="Times New Roman"/>
          <w:b/>
          <w:bCs/>
          <w:kern w:val="0"/>
          <w:lang w:eastAsia="es-MX"/>
          <w14:ligatures w14:val="none"/>
        </w:rPr>
      </w:pPr>
      <w:r w:rsidRPr="00A25336">
        <w:rPr>
          <w:rFonts w:ascii="Century Gothic" w:eastAsia="Times New Roman" w:hAnsi="Century Gothic" w:cs="Times New Roman"/>
          <w:b/>
          <w:bCs/>
          <w:kern w:val="0"/>
          <w:lang w:eastAsia="es-MX"/>
          <w14:ligatures w14:val="none"/>
        </w:rPr>
        <w:t>DECRETO</w:t>
      </w:r>
    </w:p>
    <w:p w14:paraId="13C9676C" w14:textId="77777777" w:rsidR="003A10CC" w:rsidRDefault="003A10CC" w:rsidP="003A10CC">
      <w:pPr>
        <w:pStyle w:val="NormalWeb"/>
        <w:spacing w:line="360" w:lineRule="auto"/>
        <w:rPr>
          <w:rFonts w:ascii="Century Gothic" w:hAnsi="Century Gothic"/>
        </w:rPr>
      </w:pPr>
      <w:r w:rsidRPr="002139F1">
        <w:rPr>
          <w:rFonts w:ascii="Century Gothic" w:hAnsi="Century Gothic"/>
          <w:b/>
          <w:bCs/>
        </w:rPr>
        <w:t xml:space="preserve">Único. - </w:t>
      </w:r>
      <w:r w:rsidRPr="00B64339">
        <w:rPr>
          <w:rFonts w:ascii="Century Gothic" w:hAnsi="Century Gothic"/>
        </w:rPr>
        <w:t>Se reforman el segundo párrafo del artículo Segundo y la fracción VI del artículo Tercero del Decreto No. LXVIII/AUOBF/0254/2025 VI P.E., para quedar como sigue:</w:t>
      </w:r>
    </w:p>
    <w:p w14:paraId="30914B17" w14:textId="77777777" w:rsidR="003A10CC" w:rsidRDefault="003A10CC" w:rsidP="003A10CC">
      <w:pPr>
        <w:pStyle w:val="NormalWeb"/>
        <w:spacing w:line="360" w:lineRule="auto"/>
        <w:rPr>
          <w:rFonts w:ascii="Century Gothic" w:hAnsi="Century Gothic"/>
        </w:rPr>
      </w:pPr>
    </w:p>
    <w:p w14:paraId="50FA7551" w14:textId="66917029" w:rsidR="003A10CC" w:rsidRPr="00D176DF" w:rsidRDefault="003A10CC" w:rsidP="003A10CC">
      <w:pPr>
        <w:pStyle w:val="NormalWeb"/>
        <w:spacing w:before="0" w:beforeAutospacing="0" w:line="360" w:lineRule="auto"/>
        <w:jc w:val="both"/>
        <w:rPr>
          <w:rFonts w:ascii="Century Gothic" w:hAnsi="Century Gothic"/>
        </w:rPr>
      </w:pPr>
      <w:r w:rsidRPr="00D176DF">
        <w:rPr>
          <w:rFonts w:ascii="Century Gothic" w:hAnsi="Century Gothic"/>
        </w:rPr>
        <w:t>ART</w:t>
      </w:r>
      <w:r w:rsidRPr="00D176DF">
        <w:rPr>
          <w:rFonts w:ascii="Century Gothic" w:hAnsi="Century Gothic" w:hint="cs"/>
        </w:rPr>
        <w:t>Í</w:t>
      </w:r>
      <w:r w:rsidRPr="00D176DF">
        <w:rPr>
          <w:rFonts w:ascii="Century Gothic" w:hAnsi="Century Gothic"/>
        </w:rPr>
        <w:t>CULO SEGUNDO. - Se autoriza a los Municipios para que, por conducto</w:t>
      </w:r>
      <w:r>
        <w:rPr>
          <w:rFonts w:ascii="Century Gothic" w:hAnsi="Century Gothic"/>
        </w:rPr>
        <w:t xml:space="preserve"> </w:t>
      </w:r>
      <w:r w:rsidRPr="00D176DF">
        <w:rPr>
          <w:rFonts w:ascii="Century Gothic" w:hAnsi="Century Gothic"/>
        </w:rPr>
        <w:t>de las personas funcionarias legalmente facultadas y en t</w:t>
      </w:r>
      <w:r w:rsidRPr="00D176DF">
        <w:rPr>
          <w:rFonts w:ascii="Century Gothic" w:hAnsi="Century Gothic" w:hint="cs"/>
        </w:rPr>
        <w:t>é</w:t>
      </w:r>
      <w:r w:rsidRPr="00D176DF">
        <w:rPr>
          <w:rFonts w:ascii="Century Gothic" w:hAnsi="Century Gothic"/>
        </w:rPr>
        <w:t>rminos de Ley,</w:t>
      </w:r>
      <w:r>
        <w:rPr>
          <w:rFonts w:ascii="Century Gothic" w:hAnsi="Century Gothic"/>
        </w:rPr>
        <w:t xml:space="preserve"> </w:t>
      </w:r>
      <w:r w:rsidRPr="00D176DF">
        <w:rPr>
          <w:rFonts w:ascii="Century Gothic" w:hAnsi="Century Gothic"/>
        </w:rPr>
        <w:t>gestionen y contraten con cualquier instituci</w:t>
      </w:r>
      <w:r w:rsidRPr="00D176DF">
        <w:rPr>
          <w:rFonts w:ascii="Century Gothic" w:hAnsi="Century Gothic" w:hint="cs"/>
        </w:rPr>
        <w:t>ó</w:t>
      </w:r>
      <w:r w:rsidRPr="00D176DF">
        <w:rPr>
          <w:rFonts w:ascii="Century Gothic" w:hAnsi="Century Gothic"/>
        </w:rPr>
        <w:t>n financiera de nacionalidad</w:t>
      </w:r>
      <w:r>
        <w:rPr>
          <w:rFonts w:ascii="Century Gothic" w:hAnsi="Century Gothic"/>
        </w:rPr>
        <w:t xml:space="preserve"> </w:t>
      </w:r>
      <w:r w:rsidRPr="00D176DF">
        <w:rPr>
          <w:rFonts w:ascii="Century Gothic" w:hAnsi="Century Gothic"/>
        </w:rPr>
        <w:t>mexicana, que ofrezca las mejores condiciones de mercado, uno o varios</w:t>
      </w:r>
      <w:r>
        <w:rPr>
          <w:rFonts w:ascii="Century Gothic" w:hAnsi="Century Gothic"/>
        </w:rPr>
        <w:t xml:space="preserve"> </w:t>
      </w:r>
      <w:r w:rsidRPr="00D176DF">
        <w:rPr>
          <w:rFonts w:ascii="Century Gothic" w:hAnsi="Century Gothic"/>
        </w:rPr>
        <w:t>financiamientos, hasta por el monto que en cada caso se establece en la</w:t>
      </w:r>
      <w:r>
        <w:rPr>
          <w:rFonts w:ascii="Century Gothic" w:hAnsi="Century Gothic"/>
        </w:rPr>
        <w:t xml:space="preserve"> </w:t>
      </w:r>
      <w:r w:rsidRPr="00D176DF">
        <w:rPr>
          <w:rFonts w:ascii="Century Gothic" w:hAnsi="Century Gothic"/>
        </w:rPr>
        <w:t>siguiente tabla.</w:t>
      </w:r>
    </w:p>
    <w:p w14:paraId="3373749A" w14:textId="1407CA28" w:rsidR="003A10CC" w:rsidRPr="002139F1" w:rsidRDefault="003A10CC" w:rsidP="003A10CC">
      <w:pPr>
        <w:pStyle w:val="NormalWeb"/>
        <w:spacing w:line="360" w:lineRule="auto"/>
        <w:jc w:val="both"/>
        <w:rPr>
          <w:rFonts w:ascii="Century Gothic" w:hAnsi="Century Gothic"/>
        </w:rPr>
      </w:pPr>
      <w:r w:rsidRPr="000F0544">
        <w:rPr>
          <w:rFonts w:ascii="Century Gothic" w:hAnsi="Century Gothic"/>
        </w:rPr>
        <w:lastRenderedPageBreak/>
        <w:t xml:space="preserve">Los Municipios podrán contratar el o los financiamientos objeto de la presente autorización en el ejercicio fiscal 2025 y/o 2026; sin embargo, en cualquier caso, deberán cubrirse en su totalidad en un plazo máximo de hasta </w:t>
      </w:r>
      <w:r w:rsidRPr="000F0544">
        <w:rPr>
          <w:rStyle w:val="Textoennegrita"/>
          <w:rFonts w:ascii="Century Gothic" w:hAnsi="Century Gothic"/>
          <w:b w:val="0"/>
          <w:bCs w:val="0"/>
        </w:rPr>
        <w:t>806 (ochocientos seis) días naturales</w:t>
      </w:r>
      <w:r w:rsidRPr="000F0544">
        <w:rPr>
          <w:rFonts w:ascii="Century Gothic" w:hAnsi="Century Gothic"/>
        </w:rPr>
        <w:t>, contados a partir de la fecha en que se celebren los respectivos instrumentos jurídicos o, en su caso, a partir de la fecha en que se realice la primera disposición de los créditos correspondientes, debiendo en todo momento observarse que dicho plazo no exceda el periodo constitucional de la administración municipal que los contrate; esto es, a más tardar el primer día hábil bancario de septiembre de 2027. En el entendido de que cada contrato que al efecto se celebre deberá precisar el plazo máximo del financiamiento en días, así como una fecha cierta para su vencimiento.</w:t>
      </w:r>
    </w:p>
    <w:p w14:paraId="6F4CF90E" w14:textId="77777777" w:rsidR="003A10CC" w:rsidRDefault="003A10CC" w:rsidP="003A10CC">
      <w:pPr>
        <w:pStyle w:val="NormalWeb"/>
        <w:spacing w:line="360" w:lineRule="auto"/>
        <w:jc w:val="both"/>
        <w:rPr>
          <w:rFonts w:ascii="Century Gothic" w:hAnsi="Century Gothic"/>
        </w:rPr>
      </w:pPr>
    </w:p>
    <w:p w14:paraId="76FB885E" w14:textId="7EE29F56" w:rsidR="003A10CC" w:rsidRDefault="003A10CC" w:rsidP="003A10CC">
      <w:pPr>
        <w:pStyle w:val="NormalWeb"/>
        <w:spacing w:line="360" w:lineRule="auto"/>
        <w:jc w:val="both"/>
        <w:rPr>
          <w:rFonts w:ascii="Century Gothic" w:hAnsi="Century Gothic"/>
        </w:rPr>
      </w:pPr>
      <w:r w:rsidRPr="00986E0C">
        <w:rPr>
          <w:rFonts w:ascii="Century Gothic" w:hAnsi="Century Gothic"/>
        </w:rPr>
        <w:t>ART</w:t>
      </w:r>
      <w:r w:rsidRPr="00986E0C">
        <w:rPr>
          <w:rFonts w:ascii="Century Gothic" w:hAnsi="Century Gothic" w:hint="cs"/>
        </w:rPr>
        <w:t>Í</w:t>
      </w:r>
      <w:r w:rsidRPr="00986E0C">
        <w:rPr>
          <w:rFonts w:ascii="Century Gothic" w:hAnsi="Century Gothic"/>
        </w:rPr>
        <w:t>CULO CUARTO. - Cuando se afecte y/o comprometa como garant</w:t>
      </w:r>
      <w:r w:rsidRPr="00986E0C">
        <w:rPr>
          <w:rFonts w:ascii="Century Gothic" w:hAnsi="Century Gothic" w:hint="cs"/>
        </w:rPr>
        <w:t>í</w:t>
      </w:r>
      <w:r>
        <w:rPr>
          <w:rFonts w:ascii="Century Gothic" w:hAnsi="Century Gothic"/>
        </w:rPr>
        <w:t xml:space="preserve"> </w:t>
      </w:r>
      <w:r w:rsidRPr="00986E0C">
        <w:rPr>
          <w:rFonts w:ascii="Century Gothic" w:hAnsi="Century Gothic"/>
        </w:rPr>
        <w:t>y/o fuente de pago al Fondo de Aportaciones para la Infraestructura Social</w:t>
      </w:r>
      <w:r>
        <w:rPr>
          <w:rFonts w:ascii="Century Gothic" w:hAnsi="Century Gothic"/>
        </w:rPr>
        <w:t xml:space="preserve"> </w:t>
      </w:r>
      <w:r w:rsidRPr="00986E0C">
        <w:rPr>
          <w:rFonts w:ascii="Century Gothic" w:hAnsi="Century Gothic"/>
        </w:rPr>
        <w:t>Municipal y de las Demarcaciones Territoriales del Distrito Federal:</w:t>
      </w:r>
    </w:p>
    <w:p w14:paraId="2AAB68C6" w14:textId="77777777" w:rsidR="003A10CC" w:rsidRDefault="003A10CC" w:rsidP="003A10CC">
      <w:pPr>
        <w:pStyle w:val="NormalWeb"/>
        <w:spacing w:line="360" w:lineRule="auto"/>
        <w:jc w:val="both"/>
        <w:rPr>
          <w:rFonts w:ascii="Century Gothic" w:hAnsi="Century Gothic"/>
        </w:rPr>
      </w:pPr>
      <w:r>
        <w:rPr>
          <w:rFonts w:ascii="Century Gothic" w:hAnsi="Century Gothic"/>
        </w:rPr>
        <w:t>Del I al V</w:t>
      </w:r>
    </w:p>
    <w:p w14:paraId="0CDF39B1" w14:textId="77777777" w:rsidR="003A10CC" w:rsidRPr="00B64339" w:rsidRDefault="003A10CC" w:rsidP="003A10CC">
      <w:pPr>
        <w:pStyle w:val="NormalWeb"/>
        <w:spacing w:line="360" w:lineRule="auto"/>
        <w:jc w:val="both"/>
        <w:rPr>
          <w:rFonts w:ascii="Century Gothic" w:hAnsi="Century Gothic"/>
        </w:rPr>
      </w:pPr>
      <w:r>
        <w:rPr>
          <w:rFonts w:ascii="Century Gothic" w:hAnsi="Century Gothic"/>
        </w:rPr>
        <w:t xml:space="preserve">VI. </w:t>
      </w:r>
      <w:r w:rsidRPr="00A90707">
        <w:rPr>
          <w:rFonts w:ascii="Century Gothic" w:hAnsi="Century Gothic"/>
        </w:rPr>
        <w:t xml:space="preserve">El presente </w:t>
      </w:r>
      <w:r w:rsidRPr="000F0544">
        <w:rPr>
          <w:rFonts w:ascii="Century Gothic" w:hAnsi="Century Gothic"/>
        </w:rPr>
        <w:t>Decreto fue otorgado</w:t>
      </w:r>
      <w:r w:rsidRPr="00A90707">
        <w:rPr>
          <w:rFonts w:ascii="Century Gothic" w:hAnsi="Century Gothic"/>
        </w:rPr>
        <w:t>: (i) aplicable previo an</w:t>
      </w:r>
      <w:r w:rsidRPr="00A90707">
        <w:rPr>
          <w:rFonts w:ascii="Century Gothic" w:hAnsi="Century Gothic" w:hint="cs"/>
        </w:rPr>
        <w:t>á</w:t>
      </w:r>
      <w:r w:rsidRPr="00A90707">
        <w:rPr>
          <w:rFonts w:ascii="Century Gothic" w:hAnsi="Century Gothic"/>
        </w:rPr>
        <w:t>lisis (a) de la capacidad</w:t>
      </w:r>
      <w:r>
        <w:rPr>
          <w:rFonts w:ascii="Century Gothic" w:hAnsi="Century Gothic"/>
        </w:rPr>
        <w:t xml:space="preserve"> </w:t>
      </w:r>
      <w:r w:rsidRPr="00A90707">
        <w:rPr>
          <w:rFonts w:ascii="Century Gothic" w:hAnsi="Century Gothic"/>
        </w:rPr>
        <w:t>de pago de los Municipios del Estado de Chihuahua, (b) del destino que</w:t>
      </w:r>
      <w:r>
        <w:rPr>
          <w:rFonts w:ascii="Century Gothic" w:hAnsi="Century Gothic"/>
        </w:rPr>
        <w:t xml:space="preserve"> </w:t>
      </w:r>
      <w:r w:rsidRPr="00A90707">
        <w:rPr>
          <w:rFonts w:ascii="Century Gothic" w:hAnsi="Century Gothic"/>
        </w:rPr>
        <w:t>dar</w:t>
      </w:r>
      <w:r w:rsidRPr="00A90707">
        <w:rPr>
          <w:rFonts w:ascii="Century Gothic" w:hAnsi="Century Gothic" w:hint="cs"/>
        </w:rPr>
        <w:t>á</w:t>
      </w:r>
      <w:r w:rsidRPr="00A90707">
        <w:rPr>
          <w:rFonts w:ascii="Century Gothic" w:hAnsi="Century Gothic"/>
        </w:rPr>
        <w:t>n a los recursos que obtengan con el o los financiamientos que con</w:t>
      </w:r>
      <w:r>
        <w:rPr>
          <w:rFonts w:ascii="Century Gothic" w:hAnsi="Century Gothic"/>
        </w:rPr>
        <w:t xml:space="preserve"> </w:t>
      </w:r>
      <w:r w:rsidRPr="00A90707">
        <w:rPr>
          <w:rFonts w:ascii="Century Gothic" w:hAnsi="Century Gothic"/>
        </w:rPr>
        <w:t>sustento en este contraten, y (c) de la fuente de pago que se constituir</w:t>
      </w:r>
      <w:r w:rsidRPr="00A90707">
        <w:rPr>
          <w:rFonts w:ascii="Century Gothic" w:hAnsi="Century Gothic" w:hint="cs"/>
        </w:rPr>
        <w:t>á</w:t>
      </w:r>
      <w:r w:rsidRPr="00A90707">
        <w:rPr>
          <w:rFonts w:ascii="Century Gothic" w:hAnsi="Century Gothic"/>
        </w:rPr>
        <w:t xml:space="preserve"> con</w:t>
      </w:r>
      <w:r>
        <w:rPr>
          <w:rFonts w:ascii="Century Gothic" w:hAnsi="Century Gothic"/>
        </w:rPr>
        <w:t xml:space="preserve"> </w:t>
      </w:r>
      <w:r w:rsidRPr="00A90707">
        <w:rPr>
          <w:rFonts w:ascii="Century Gothic" w:hAnsi="Century Gothic"/>
        </w:rPr>
        <w:t>la afectaci</w:t>
      </w:r>
      <w:r w:rsidRPr="00A90707">
        <w:rPr>
          <w:rFonts w:ascii="Century Gothic" w:hAnsi="Century Gothic" w:hint="cs"/>
        </w:rPr>
        <w:t>ó</w:t>
      </w:r>
      <w:r w:rsidRPr="00A90707">
        <w:rPr>
          <w:rFonts w:ascii="Century Gothic" w:hAnsi="Century Gothic"/>
        </w:rPr>
        <w:t>n de hasta el 25% (veinticinco por ciento) del derecho a recibir de</w:t>
      </w:r>
      <w:r>
        <w:rPr>
          <w:rFonts w:ascii="Century Gothic" w:hAnsi="Century Gothic"/>
        </w:rPr>
        <w:t xml:space="preserve"> </w:t>
      </w:r>
      <w:r w:rsidRPr="00A90707">
        <w:rPr>
          <w:rFonts w:ascii="Century Gothic" w:hAnsi="Century Gothic"/>
        </w:rPr>
        <w:t>los flujos de recursos que a cada Municipio le correspondan del Fondo de</w:t>
      </w:r>
      <w:r>
        <w:rPr>
          <w:rFonts w:ascii="Century Gothic" w:hAnsi="Century Gothic"/>
        </w:rPr>
        <w:t xml:space="preserve"> </w:t>
      </w:r>
      <w:r w:rsidRPr="00A90707">
        <w:rPr>
          <w:rFonts w:ascii="Century Gothic" w:hAnsi="Century Gothic"/>
        </w:rPr>
        <w:t>Aportaciones para la Infraestructura Social Municipal y de las Demarcaciones</w:t>
      </w:r>
      <w:r>
        <w:rPr>
          <w:rFonts w:ascii="Century Gothic" w:hAnsi="Century Gothic"/>
        </w:rPr>
        <w:t xml:space="preserve"> </w:t>
      </w:r>
      <w:r w:rsidRPr="00A90707">
        <w:rPr>
          <w:rFonts w:ascii="Century Gothic" w:hAnsi="Century Gothic"/>
        </w:rPr>
        <w:t>Territoriales del Distrito Federal, en t</w:t>
      </w:r>
      <w:r w:rsidRPr="00A90707">
        <w:rPr>
          <w:rFonts w:ascii="Century Gothic" w:hAnsi="Century Gothic" w:hint="cs"/>
        </w:rPr>
        <w:t>é</w:t>
      </w:r>
      <w:r w:rsidRPr="00A90707">
        <w:rPr>
          <w:rFonts w:ascii="Century Gothic" w:hAnsi="Century Gothic"/>
        </w:rPr>
        <w:t>rminos de lo que dispone la Ley de</w:t>
      </w:r>
      <w:r>
        <w:rPr>
          <w:rFonts w:ascii="Century Gothic" w:hAnsi="Century Gothic"/>
        </w:rPr>
        <w:t xml:space="preserve"> </w:t>
      </w:r>
      <w:r w:rsidRPr="00A90707">
        <w:rPr>
          <w:rFonts w:ascii="Century Gothic" w:hAnsi="Century Gothic"/>
        </w:rPr>
        <w:t>Coordinaci</w:t>
      </w:r>
      <w:r w:rsidRPr="00A90707">
        <w:rPr>
          <w:rFonts w:ascii="Century Gothic" w:hAnsi="Century Gothic" w:hint="cs"/>
        </w:rPr>
        <w:t>ó</w:t>
      </w:r>
      <w:r w:rsidRPr="00A90707">
        <w:rPr>
          <w:rFonts w:ascii="Century Gothic" w:hAnsi="Century Gothic"/>
        </w:rPr>
        <w:t>n Fiscal; y (</w:t>
      </w:r>
      <w:proofErr w:type="spellStart"/>
      <w:r w:rsidRPr="00A90707">
        <w:rPr>
          <w:rFonts w:ascii="Century Gothic" w:hAnsi="Century Gothic"/>
        </w:rPr>
        <w:t>ii</w:t>
      </w:r>
      <w:proofErr w:type="spellEnd"/>
      <w:r w:rsidRPr="00A90707">
        <w:rPr>
          <w:rFonts w:ascii="Century Gothic" w:hAnsi="Century Gothic"/>
        </w:rPr>
        <w:t>) aprobado por las dos terceras partes de las y los</w:t>
      </w:r>
      <w:r>
        <w:rPr>
          <w:rFonts w:ascii="Century Gothic" w:hAnsi="Century Gothic"/>
        </w:rPr>
        <w:t xml:space="preserve"> </w:t>
      </w:r>
      <w:r w:rsidRPr="00A90707">
        <w:rPr>
          <w:rFonts w:ascii="Century Gothic" w:hAnsi="Century Gothic"/>
        </w:rPr>
        <w:t xml:space="preserve">Diputados presentes, de conformidad con </w:t>
      </w:r>
      <w:r w:rsidRPr="00A90707">
        <w:rPr>
          <w:rFonts w:ascii="Century Gothic" w:hAnsi="Century Gothic"/>
        </w:rPr>
        <w:lastRenderedPageBreak/>
        <w:t>lo previsto en el art</w:t>
      </w:r>
      <w:r w:rsidRPr="00A90707">
        <w:rPr>
          <w:rFonts w:ascii="Century Gothic" w:hAnsi="Century Gothic" w:hint="cs"/>
        </w:rPr>
        <w:t>í</w:t>
      </w:r>
      <w:r w:rsidRPr="00A90707">
        <w:rPr>
          <w:rFonts w:ascii="Century Gothic" w:hAnsi="Century Gothic"/>
        </w:rPr>
        <w:t>culo 117, fracci</w:t>
      </w:r>
      <w:r w:rsidRPr="00A90707">
        <w:rPr>
          <w:rFonts w:ascii="Century Gothic" w:hAnsi="Century Gothic" w:hint="cs"/>
        </w:rPr>
        <w:t>ó</w:t>
      </w:r>
      <w:r w:rsidRPr="00A90707">
        <w:rPr>
          <w:rFonts w:ascii="Century Gothic" w:hAnsi="Century Gothic"/>
        </w:rPr>
        <w:t>n VIII, p</w:t>
      </w:r>
      <w:r w:rsidRPr="00A90707">
        <w:rPr>
          <w:rFonts w:ascii="Century Gothic" w:hAnsi="Century Gothic" w:hint="cs"/>
        </w:rPr>
        <w:t>á</w:t>
      </w:r>
      <w:r w:rsidRPr="00A90707">
        <w:rPr>
          <w:rFonts w:ascii="Century Gothic" w:hAnsi="Century Gothic"/>
        </w:rPr>
        <w:t>rrafo tercero, de la Constituci</w:t>
      </w:r>
      <w:r w:rsidRPr="00A90707">
        <w:rPr>
          <w:rFonts w:ascii="Century Gothic" w:hAnsi="Century Gothic" w:hint="cs"/>
        </w:rPr>
        <w:t>ó</w:t>
      </w:r>
      <w:r w:rsidRPr="00A90707">
        <w:rPr>
          <w:rFonts w:ascii="Century Gothic" w:hAnsi="Century Gothic"/>
        </w:rPr>
        <w:t>n Pol</w:t>
      </w:r>
      <w:r w:rsidRPr="00A90707">
        <w:rPr>
          <w:rFonts w:ascii="Century Gothic" w:hAnsi="Century Gothic" w:hint="cs"/>
        </w:rPr>
        <w:t>í</w:t>
      </w:r>
      <w:r w:rsidRPr="00A90707">
        <w:rPr>
          <w:rFonts w:ascii="Century Gothic" w:hAnsi="Century Gothic"/>
        </w:rPr>
        <w:t>tica de los Estados Unidos</w:t>
      </w:r>
      <w:r>
        <w:rPr>
          <w:rFonts w:ascii="Century Gothic" w:hAnsi="Century Gothic"/>
        </w:rPr>
        <w:t xml:space="preserve"> </w:t>
      </w:r>
      <w:r w:rsidRPr="00A90707">
        <w:rPr>
          <w:rFonts w:ascii="Century Gothic" w:hAnsi="Century Gothic"/>
        </w:rPr>
        <w:t>Mexicanos.</w:t>
      </w:r>
    </w:p>
    <w:p w14:paraId="6AB4F2E5" w14:textId="77777777" w:rsidR="003A10CC" w:rsidRDefault="003A10CC" w:rsidP="003A10CC">
      <w:pPr>
        <w:pStyle w:val="NormalWeb"/>
        <w:spacing w:line="360" w:lineRule="auto"/>
        <w:jc w:val="center"/>
        <w:rPr>
          <w:rStyle w:val="Textoennegrita"/>
          <w:rFonts w:ascii="Century Gothic" w:hAnsi="Century Gothic"/>
        </w:rPr>
      </w:pPr>
      <w:r w:rsidRPr="00B5034F">
        <w:rPr>
          <w:rStyle w:val="Textoennegrita"/>
          <w:rFonts w:ascii="Century Gothic" w:hAnsi="Century Gothic"/>
        </w:rPr>
        <w:t>TRANSI</w:t>
      </w:r>
      <w:r>
        <w:rPr>
          <w:rStyle w:val="Textoennegrita"/>
          <w:rFonts w:ascii="Century Gothic" w:hAnsi="Century Gothic"/>
        </w:rPr>
        <w:t>T</w:t>
      </w:r>
      <w:r w:rsidRPr="00B5034F">
        <w:rPr>
          <w:rStyle w:val="Textoennegrita"/>
          <w:rFonts w:ascii="Century Gothic" w:hAnsi="Century Gothic"/>
        </w:rPr>
        <w:t>ORIOS</w:t>
      </w:r>
    </w:p>
    <w:p w14:paraId="3AD732DA" w14:textId="77777777" w:rsidR="003A10CC" w:rsidRDefault="003A10CC" w:rsidP="003A10CC">
      <w:pPr>
        <w:pStyle w:val="NormalWeb"/>
        <w:spacing w:line="360" w:lineRule="auto"/>
        <w:rPr>
          <w:rStyle w:val="Textoennegrita"/>
          <w:rFonts w:ascii="Century Gothic" w:hAnsi="Century Gothic"/>
        </w:rPr>
      </w:pPr>
    </w:p>
    <w:p w14:paraId="6CC6B21B" w14:textId="77777777" w:rsidR="003A10CC" w:rsidRDefault="003A10CC" w:rsidP="003A10CC">
      <w:pPr>
        <w:pStyle w:val="NormalWeb"/>
        <w:spacing w:line="360" w:lineRule="auto"/>
        <w:jc w:val="both"/>
        <w:rPr>
          <w:rStyle w:val="Textoennegrita"/>
          <w:rFonts w:ascii="Century Gothic" w:hAnsi="Century Gothic"/>
          <w:b w:val="0"/>
          <w:bCs w:val="0"/>
        </w:rPr>
      </w:pPr>
      <w:r>
        <w:rPr>
          <w:rStyle w:val="Textoennegrita"/>
          <w:rFonts w:ascii="Century Gothic" w:hAnsi="Century Gothic"/>
        </w:rPr>
        <w:t xml:space="preserve">ARTÍCULO ÚNICO. </w:t>
      </w:r>
      <w:r w:rsidRPr="00B5034F">
        <w:rPr>
          <w:rStyle w:val="Textoennegrita"/>
          <w:rFonts w:ascii="Century Gothic" w:hAnsi="Century Gothic"/>
          <w:b w:val="0"/>
          <w:bCs w:val="0"/>
        </w:rPr>
        <w:t>El presente Decreto entrará en vigor al día siguiente de su publicación en el Periódico Oficial del Estado.</w:t>
      </w:r>
    </w:p>
    <w:p w14:paraId="1DAB98A4" w14:textId="116A6259" w:rsidR="003A10CC" w:rsidRDefault="003A10CC" w:rsidP="003A10CC">
      <w:pPr>
        <w:pStyle w:val="NormalWeb"/>
        <w:spacing w:line="360" w:lineRule="auto"/>
        <w:jc w:val="both"/>
        <w:rPr>
          <w:rStyle w:val="Textoennegrita"/>
          <w:rFonts w:ascii="Century Gothic" w:hAnsi="Century Gothic"/>
          <w:b w:val="0"/>
          <w:bCs w:val="0"/>
        </w:rPr>
      </w:pPr>
      <w:r w:rsidRPr="009C11D2">
        <w:rPr>
          <w:rStyle w:val="Textoennegrita"/>
          <w:rFonts w:ascii="Century Gothic" w:hAnsi="Century Gothic"/>
        </w:rPr>
        <w:t>DADO.</w:t>
      </w:r>
      <w:r>
        <w:rPr>
          <w:rStyle w:val="Textoennegrita"/>
          <w:rFonts w:ascii="Century Gothic" w:hAnsi="Century Gothic"/>
          <w:b w:val="0"/>
          <w:bCs w:val="0"/>
        </w:rPr>
        <w:t xml:space="preserve"> En el recinto oficial del H. Congreso del Estado de Chihuahua, a los </w:t>
      </w:r>
      <w:r w:rsidR="000F0544">
        <w:rPr>
          <w:rStyle w:val="Textoennegrita"/>
          <w:rFonts w:ascii="Century Gothic" w:hAnsi="Century Gothic"/>
          <w:b w:val="0"/>
          <w:bCs w:val="0"/>
        </w:rPr>
        <w:t>06</w:t>
      </w:r>
      <w:r>
        <w:rPr>
          <w:rStyle w:val="Textoennegrita"/>
          <w:rFonts w:ascii="Century Gothic" w:hAnsi="Century Gothic"/>
          <w:b w:val="0"/>
          <w:bCs w:val="0"/>
        </w:rPr>
        <w:t xml:space="preserve"> días del mes de </w:t>
      </w:r>
      <w:r w:rsidR="000F0544">
        <w:rPr>
          <w:rStyle w:val="Textoennegrita"/>
          <w:rFonts w:ascii="Century Gothic" w:hAnsi="Century Gothic"/>
          <w:b w:val="0"/>
          <w:bCs w:val="0"/>
        </w:rPr>
        <w:t xml:space="preserve">mayo </w:t>
      </w:r>
      <w:r>
        <w:rPr>
          <w:rStyle w:val="Textoennegrita"/>
          <w:rFonts w:ascii="Century Gothic" w:hAnsi="Century Gothic"/>
          <w:b w:val="0"/>
          <w:bCs w:val="0"/>
        </w:rPr>
        <w:t>del año 2026.</w:t>
      </w:r>
    </w:p>
    <w:p w14:paraId="5B0B9588" w14:textId="77777777" w:rsidR="003A10CC" w:rsidRDefault="003A10CC" w:rsidP="003A10CC">
      <w:pPr>
        <w:pStyle w:val="NormalWeb"/>
        <w:spacing w:line="360" w:lineRule="auto"/>
        <w:jc w:val="both"/>
        <w:rPr>
          <w:rStyle w:val="Textoennegrita"/>
          <w:rFonts w:ascii="Century Gothic" w:hAnsi="Century Gothic"/>
        </w:rPr>
      </w:pPr>
    </w:p>
    <w:p w14:paraId="667466F5" w14:textId="77777777" w:rsidR="003A10CC" w:rsidRDefault="003A10CC" w:rsidP="003A10CC">
      <w:pPr>
        <w:pStyle w:val="NormalWeb"/>
        <w:spacing w:line="360" w:lineRule="auto"/>
        <w:jc w:val="center"/>
        <w:rPr>
          <w:rStyle w:val="Textoennegrita"/>
          <w:rFonts w:ascii="Century Gothic" w:hAnsi="Century Gothic"/>
        </w:rPr>
      </w:pPr>
      <w:r>
        <w:rPr>
          <w:rStyle w:val="Textoennegrita"/>
          <w:rFonts w:ascii="Century Gothic" w:hAnsi="Century Gothic"/>
        </w:rPr>
        <w:t>ATENTAMENTE</w:t>
      </w:r>
    </w:p>
    <w:p w14:paraId="1A9EBC11" w14:textId="77777777" w:rsidR="003A10CC" w:rsidRDefault="003A10CC" w:rsidP="003A10CC">
      <w:pPr>
        <w:pStyle w:val="NormalWeb"/>
        <w:spacing w:line="360" w:lineRule="auto"/>
        <w:jc w:val="center"/>
        <w:rPr>
          <w:rStyle w:val="Textoennegrita"/>
          <w:rFonts w:ascii="Century Gothic" w:hAnsi="Century Gothic"/>
        </w:rPr>
      </w:pPr>
    </w:p>
    <w:p w14:paraId="56A1A3B4" w14:textId="77777777" w:rsidR="003A10CC" w:rsidRPr="003D238C" w:rsidRDefault="003A10CC" w:rsidP="003A10CC">
      <w:pPr>
        <w:pStyle w:val="NormalWeb"/>
        <w:spacing w:line="360" w:lineRule="auto"/>
        <w:jc w:val="center"/>
        <w:rPr>
          <w:rFonts w:ascii="Century Gothic" w:hAnsi="Century Gothic"/>
          <w:b/>
          <w:bCs/>
        </w:rPr>
      </w:pPr>
      <w:r>
        <w:rPr>
          <w:rStyle w:val="Textoennegrita"/>
          <w:rFonts w:ascii="Century Gothic" w:hAnsi="Century Gothic"/>
        </w:rPr>
        <w:t>DIP. JORGE CARLOS SOTO PRIETO</w:t>
      </w:r>
    </w:p>
    <w:p w14:paraId="4001FB10" w14:textId="77777777" w:rsidR="008D4D45" w:rsidRDefault="008D4D45"/>
    <w:sectPr w:rsidR="008D4D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CC"/>
    <w:rsid w:val="000F0544"/>
    <w:rsid w:val="0019239A"/>
    <w:rsid w:val="003A10CC"/>
    <w:rsid w:val="00620F96"/>
    <w:rsid w:val="008D4D45"/>
    <w:rsid w:val="00DC6CA6"/>
    <w:rsid w:val="00E21CAF"/>
    <w:rsid w:val="00E87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1A6"/>
  <w15:chartTrackingRefBased/>
  <w15:docId w15:val="{A218926E-E51B-4DF6-B3B9-4A64B1B1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10CC"/>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A1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Grecia Margarita Gomez Torres</dc:creator>
  <cp:keywords/>
  <dc:description/>
  <cp:lastModifiedBy>Andrea Daniela Flores Chacon</cp:lastModifiedBy>
  <cp:revision>2</cp:revision>
  <cp:lastPrinted>2026-05-06T15:59:00Z</cp:lastPrinted>
  <dcterms:created xsi:type="dcterms:W3CDTF">2026-05-06T19:45:00Z</dcterms:created>
  <dcterms:modified xsi:type="dcterms:W3CDTF">2026-05-06T19:45:00Z</dcterms:modified>
</cp:coreProperties>
</file>