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E805" w14:textId="77777777" w:rsidR="00551440" w:rsidRDefault="006A0F6D">
      <w:pPr>
        <w:spacing w:line="360" w:lineRule="auto"/>
        <w:jc w:val="both"/>
        <w:rPr>
          <w:rFonts w:ascii="Century Gothic" w:eastAsia="Century Gothic" w:hAnsi="Century Gothic" w:cs="Century Gothic"/>
          <w:b/>
        </w:rPr>
      </w:pPr>
      <w:r>
        <w:rPr>
          <w:rFonts w:ascii="Century Gothic" w:eastAsia="Century Gothic" w:hAnsi="Century Gothic" w:cs="Century Gothic"/>
          <w:b/>
        </w:rPr>
        <w:t>H. CONGRESO DEL ESTADO DE CHIHUAHUA.</w:t>
      </w:r>
    </w:p>
    <w:p w14:paraId="2D51DA64" w14:textId="77777777" w:rsidR="00551440" w:rsidRDefault="006A0F6D">
      <w:pPr>
        <w:spacing w:line="360" w:lineRule="auto"/>
        <w:jc w:val="both"/>
        <w:rPr>
          <w:rFonts w:ascii="Century Gothic" w:eastAsia="Century Gothic" w:hAnsi="Century Gothic" w:cs="Century Gothic"/>
          <w:b/>
        </w:rPr>
      </w:pPr>
      <w:r>
        <w:rPr>
          <w:rFonts w:ascii="Century Gothic" w:eastAsia="Century Gothic" w:hAnsi="Century Gothic" w:cs="Century Gothic"/>
          <w:b/>
        </w:rPr>
        <w:t xml:space="preserve">P R E S E N T E. </w:t>
      </w:r>
    </w:p>
    <w:p w14:paraId="3833E840" w14:textId="2620E66B" w:rsidR="00551440" w:rsidRDefault="006A0F6D">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Quienes suscribimos, </w:t>
      </w:r>
      <w:r>
        <w:rPr>
          <w:rFonts w:ascii="Century Gothic" w:eastAsia="Century Gothic" w:hAnsi="Century Gothic" w:cs="Century Gothic"/>
          <w:b/>
        </w:rPr>
        <w:t xml:space="preserve">Oscar Daniel Avitia Arellanes, </w:t>
      </w:r>
      <w:r>
        <w:rPr>
          <w:rFonts w:ascii="Century Gothic" w:eastAsia="Century Gothic" w:hAnsi="Century Gothic" w:cs="Century Gothic"/>
          <w:b/>
          <w:shd w:val="clear" w:color="auto" w:fill="FEFFFF"/>
        </w:rPr>
        <w:t>Edin</w:t>
      </w:r>
      <w:r w:rsidR="00380A4B">
        <w:rPr>
          <w:rFonts w:ascii="Century Gothic" w:eastAsia="Century Gothic" w:hAnsi="Century Gothic" w:cs="Century Gothic"/>
          <w:b/>
          <w:shd w:val="clear" w:color="auto" w:fill="FEFFFF"/>
        </w:rPr>
        <w:t xml:space="preserve"> </w:t>
      </w:r>
      <w:r>
        <w:rPr>
          <w:rFonts w:ascii="Century Gothic" w:eastAsia="Century Gothic" w:hAnsi="Century Gothic" w:cs="Century Gothic"/>
          <w:b/>
          <w:shd w:val="clear" w:color="auto" w:fill="FEFFFF"/>
        </w:rPr>
        <w:t xml:space="preserve">Cuauhtémoc Estrada Sotelo, Magdalena Rentería Pérez, Jael Argüelles Díaz, Brenda Francisca Ríos Prieto, Elizabeth </w:t>
      </w:r>
      <w:r w:rsidR="00380A4B">
        <w:rPr>
          <w:rFonts w:ascii="Century Gothic" w:eastAsia="Century Gothic" w:hAnsi="Century Gothic" w:cs="Century Gothic"/>
          <w:b/>
          <w:shd w:val="clear" w:color="auto" w:fill="FEFFFF"/>
        </w:rPr>
        <w:t>Guzmán</w:t>
      </w:r>
      <w:r>
        <w:rPr>
          <w:rFonts w:ascii="Century Gothic" w:eastAsia="Century Gothic" w:hAnsi="Century Gothic" w:cs="Century Gothic"/>
          <w:b/>
          <w:shd w:val="clear" w:color="auto" w:fill="FEFFFF"/>
        </w:rPr>
        <w:t xml:space="preserve"> Argueta, Edith Palma Ontiveros, Herminia Gómez Carrasco, Leticia Ortega </w:t>
      </w:r>
      <w:r w:rsidR="00380A4B">
        <w:rPr>
          <w:rFonts w:ascii="Century Gothic" w:eastAsia="Century Gothic" w:hAnsi="Century Gothic" w:cs="Century Gothic"/>
          <w:b/>
          <w:shd w:val="clear" w:color="auto" w:fill="FEFFFF"/>
        </w:rPr>
        <w:t>Máynez</w:t>
      </w:r>
      <w:r>
        <w:rPr>
          <w:rFonts w:ascii="Century Gothic" w:eastAsia="Century Gothic" w:hAnsi="Century Gothic" w:cs="Century Gothic"/>
          <w:b/>
          <w:shd w:val="clear" w:color="auto" w:fill="FEFFFF"/>
        </w:rPr>
        <w:t>, María Antonieta Pérez Reyes, Pedro Torres Estrada y Rosana Díaz Reyes</w:t>
      </w:r>
      <w:r>
        <w:rPr>
          <w:rFonts w:ascii="Century Gothic" w:eastAsia="Century Gothic" w:hAnsi="Century Gothic" w:cs="Century Gothic"/>
        </w:rPr>
        <w:t xml:space="preserve">,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w:t>
      </w:r>
      <w:r w:rsidR="00001E57">
        <w:rPr>
          <w:rFonts w:ascii="Century Gothic" w:eastAsia="Century Gothic" w:hAnsi="Century Gothic" w:cs="Century Gothic"/>
        </w:rPr>
        <w:t xml:space="preserve">el siguiente proyecto con carácter de </w:t>
      </w:r>
      <w:r w:rsidR="00001E57">
        <w:rPr>
          <w:rFonts w:ascii="Century Gothic" w:eastAsia="Century Gothic" w:hAnsi="Century Gothic" w:cs="Century Gothic"/>
          <w:b/>
        </w:rPr>
        <w:t xml:space="preserve">D E C R E T O </w:t>
      </w:r>
      <w:r>
        <w:rPr>
          <w:rFonts w:ascii="Century Gothic" w:eastAsia="Century Gothic" w:hAnsi="Century Gothic" w:cs="Century Gothic"/>
          <w:b/>
        </w:rPr>
        <w:t xml:space="preserve"> </w:t>
      </w:r>
      <w:r>
        <w:rPr>
          <w:rFonts w:ascii="Century Gothic" w:eastAsia="Century Gothic" w:hAnsi="Century Gothic" w:cs="Century Gothic"/>
        </w:rPr>
        <w:t>con sustento en la siguiente:</w:t>
      </w:r>
    </w:p>
    <w:p w14:paraId="3A61A263" w14:textId="77777777" w:rsidR="00551440" w:rsidRDefault="00551440">
      <w:pPr>
        <w:spacing w:line="360" w:lineRule="auto"/>
        <w:jc w:val="both"/>
        <w:rPr>
          <w:rFonts w:ascii="Century Gothic" w:eastAsia="Century Gothic" w:hAnsi="Century Gothic" w:cs="Century Gothic"/>
          <w:b/>
        </w:rPr>
      </w:pPr>
    </w:p>
    <w:p w14:paraId="4E9F8036" w14:textId="4AAC4600" w:rsidR="00551440" w:rsidRDefault="006A0F6D">
      <w:pPr>
        <w:spacing w:line="360" w:lineRule="auto"/>
        <w:jc w:val="center"/>
        <w:rPr>
          <w:rFonts w:ascii="Century Gothic" w:eastAsia="Century Gothic" w:hAnsi="Century Gothic" w:cs="Century Gothic"/>
          <w:b/>
        </w:rPr>
      </w:pPr>
      <w:r>
        <w:rPr>
          <w:rFonts w:ascii="Century Gothic" w:eastAsia="Century Gothic" w:hAnsi="Century Gothic" w:cs="Century Gothic"/>
          <w:b/>
        </w:rPr>
        <w:t>EXPOSICIÓN DE MOTIVOS:</w:t>
      </w:r>
    </w:p>
    <w:p w14:paraId="4E064A9C" w14:textId="77777777" w:rsidR="009C0E80" w:rsidRDefault="009C0E80">
      <w:pPr>
        <w:spacing w:line="360" w:lineRule="auto"/>
        <w:jc w:val="center"/>
        <w:rPr>
          <w:rFonts w:ascii="Century Gothic" w:eastAsia="Century Gothic" w:hAnsi="Century Gothic" w:cs="Century Gothic"/>
          <w:b/>
        </w:rPr>
      </w:pPr>
    </w:p>
    <w:p w14:paraId="19ACAE3B" w14:textId="77777777" w:rsidR="00BD662D" w:rsidRDefault="00BD662D" w:rsidP="00BD662D">
      <w:pPr>
        <w:spacing w:line="360" w:lineRule="auto"/>
        <w:jc w:val="both"/>
        <w:rPr>
          <w:rFonts w:ascii="Century Gothic" w:hAnsi="Century Gothic"/>
        </w:rPr>
      </w:pPr>
      <w:bookmarkStart w:id="0" w:name="_Hlk227832330"/>
      <w:r>
        <w:rPr>
          <w:rFonts w:ascii="Century Gothic" w:hAnsi="Century Gothic"/>
        </w:rPr>
        <w:t xml:space="preserve">El desarrollo económico de un estado se encuentra estrechamente vinculado con la eficiencia de su infraestructura carretera, particularmente en una entidad como Chihuahua, cuya extensión territorial y vocación productiva demandan una red de comunicación ágil, segura y accesible. </w:t>
      </w:r>
    </w:p>
    <w:bookmarkEnd w:id="0"/>
    <w:p w14:paraId="1ABD6580" w14:textId="77777777" w:rsidR="00BD662D" w:rsidRDefault="00BD662D" w:rsidP="00BD662D">
      <w:pPr>
        <w:spacing w:line="360" w:lineRule="auto"/>
        <w:jc w:val="both"/>
        <w:rPr>
          <w:rFonts w:ascii="Century Gothic" w:hAnsi="Century Gothic"/>
        </w:rPr>
      </w:pPr>
    </w:p>
    <w:p w14:paraId="19ACD933" w14:textId="7D164874" w:rsidR="00BD662D" w:rsidRDefault="00BD662D" w:rsidP="00BD662D">
      <w:pPr>
        <w:spacing w:line="360" w:lineRule="auto"/>
        <w:jc w:val="both"/>
        <w:rPr>
          <w:rFonts w:ascii="Century Gothic" w:hAnsi="Century Gothic"/>
        </w:rPr>
      </w:pPr>
      <w:r>
        <w:rPr>
          <w:rFonts w:ascii="Century Gothic" w:hAnsi="Century Gothic"/>
        </w:rPr>
        <w:lastRenderedPageBreak/>
        <w:t>Ahora bien, las carreteras de cuota constituyen un elemento fundamental para garantizar la conectividad regional, facilitar el intercambio comercial y fortalecer las cadenas productivas; sin embargo, también representan una carga económica relevante para ciertos sectores estratégicos.</w:t>
      </w:r>
    </w:p>
    <w:p w14:paraId="5AE684CC" w14:textId="77777777" w:rsidR="00BD662D" w:rsidRDefault="00BD662D" w:rsidP="00BD662D">
      <w:pPr>
        <w:spacing w:line="360" w:lineRule="auto"/>
        <w:jc w:val="both"/>
        <w:rPr>
          <w:rFonts w:ascii="Century Gothic" w:hAnsi="Century Gothic"/>
        </w:rPr>
      </w:pPr>
    </w:p>
    <w:p w14:paraId="639EBC69" w14:textId="77777777" w:rsidR="00BD662D" w:rsidRDefault="00BD662D" w:rsidP="00BD662D">
      <w:pPr>
        <w:spacing w:line="360" w:lineRule="auto"/>
        <w:jc w:val="both"/>
        <w:rPr>
          <w:rFonts w:ascii="Century Gothic" w:hAnsi="Century Gothic"/>
        </w:rPr>
      </w:pPr>
      <w:bookmarkStart w:id="1" w:name="_Hlk227832576"/>
      <w:r>
        <w:rPr>
          <w:rFonts w:ascii="Century Gothic" w:hAnsi="Century Gothic"/>
        </w:rPr>
        <w:t xml:space="preserve">En este contexto, el sector agropecuario se posiciona como uno de los pilares esenciales de la economía estatal; las actividades agrícolas y ganaderas no solo contribuyen de manera significativa al crecimiento económico del estado, sino que también sostienen el empleo rural, la seguridad alimentaria y el equilibrio social en amplias regiones del territorio. </w:t>
      </w:r>
    </w:p>
    <w:p w14:paraId="64A69297" w14:textId="77777777" w:rsidR="00BD662D" w:rsidRDefault="00BD662D" w:rsidP="00BD662D">
      <w:pPr>
        <w:spacing w:line="360" w:lineRule="auto"/>
        <w:jc w:val="both"/>
        <w:rPr>
          <w:rFonts w:ascii="Century Gothic" w:hAnsi="Century Gothic"/>
        </w:rPr>
      </w:pPr>
    </w:p>
    <w:p w14:paraId="17154B34" w14:textId="655289F0" w:rsidR="00BD662D" w:rsidRDefault="00BD662D" w:rsidP="00BD662D">
      <w:pPr>
        <w:spacing w:line="360" w:lineRule="auto"/>
        <w:jc w:val="both"/>
        <w:rPr>
          <w:rFonts w:ascii="Century Gothic" w:hAnsi="Century Gothic"/>
        </w:rPr>
      </w:pPr>
      <w:r>
        <w:rPr>
          <w:rFonts w:ascii="Century Gothic" w:hAnsi="Century Gothic"/>
        </w:rPr>
        <w:t>No obstante, quienes integran este sector enfrentan múltiples desafíos estructurales, tales como la volatilidad de los precios, los costos de insumos, las condiciones climáticas adversas y, de manera destacada, los gastos asociados a la transportación de sus productos.</w:t>
      </w:r>
    </w:p>
    <w:p w14:paraId="2A82A949" w14:textId="77777777" w:rsidR="00BD662D" w:rsidRDefault="00BD662D" w:rsidP="00BD662D">
      <w:pPr>
        <w:spacing w:line="360" w:lineRule="auto"/>
        <w:jc w:val="both"/>
        <w:rPr>
          <w:rFonts w:ascii="Century Gothic" w:hAnsi="Century Gothic"/>
        </w:rPr>
      </w:pPr>
    </w:p>
    <w:p w14:paraId="26F2BCEB" w14:textId="6435615C" w:rsidR="00BD662D" w:rsidRDefault="00BD662D" w:rsidP="00BD662D">
      <w:pPr>
        <w:spacing w:line="360" w:lineRule="auto"/>
        <w:jc w:val="both"/>
        <w:rPr>
          <w:rFonts w:ascii="Century Gothic" w:hAnsi="Century Gothic"/>
        </w:rPr>
      </w:pPr>
      <w:r>
        <w:rPr>
          <w:rFonts w:ascii="Century Gothic" w:hAnsi="Century Gothic"/>
        </w:rPr>
        <w:t>En tal virtud, el costo del peaje en tramos carreteros de cuota incide directamente en la rentabilidad de los productores agropecuarios, particularmente en aquellos de pequeña y mediana escala, quienes dependen del traslado constante de insumos, maquinaria y mercancías para la comercialización de sus productos, situación que genera una desventaja competitiva frente a otros sectores económicos y limita el potencial de crecimiento del campo chihuahuense.</w:t>
      </w:r>
    </w:p>
    <w:bookmarkEnd w:id="1"/>
    <w:p w14:paraId="37B1EB9A" w14:textId="77777777" w:rsidR="00BD662D" w:rsidRDefault="00BD662D" w:rsidP="009C0E80">
      <w:pPr>
        <w:spacing w:line="360" w:lineRule="auto"/>
        <w:jc w:val="both"/>
        <w:rPr>
          <w:rFonts w:ascii="Century Gothic" w:eastAsia="Century Gothic" w:hAnsi="Century Gothic" w:cs="Century Gothic"/>
          <w:bCs/>
        </w:rPr>
      </w:pPr>
    </w:p>
    <w:p w14:paraId="5DB5F032" w14:textId="16D6561A" w:rsidR="009C0E80" w:rsidRDefault="009C0E80" w:rsidP="009C0E80">
      <w:pPr>
        <w:spacing w:line="360" w:lineRule="auto"/>
        <w:jc w:val="both"/>
        <w:rPr>
          <w:rFonts w:ascii="Century Gothic" w:eastAsia="Century Gothic" w:hAnsi="Century Gothic" w:cs="Century Gothic"/>
          <w:bCs/>
        </w:rPr>
      </w:pPr>
      <w:bookmarkStart w:id="2" w:name="_Hlk227832601"/>
      <w:r>
        <w:rPr>
          <w:rFonts w:ascii="Century Gothic" w:eastAsia="Century Gothic" w:hAnsi="Century Gothic" w:cs="Century Gothic"/>
          <w:bCs/>
        </w:rPr>
        <w:lastRenderedPageBreak/>
        <w:t>Tal como ya hemos manifestado en esta misma Tribuna,</w:t>
      </w:r>
      <w:r w:rsidRPr="009C0E80">
        <w:rPr>
          <w:rFonts w:ascii="Century Gothic" w:eastAsia="Century Gothic" w:hAnsi="Century Gothic" w:cs="Century Gothic"/>
          <w:bCs/>
        </w:rPr>
        <w:t xml:space="preserve"> el sector primario </w:t>
      </w:r>
      <w:r>
        <w:rPr>
          <w:rFonts w:ascii="Century Gothic" w:eastAsia="Century Gothic" w:hAnsi="Century Gothic" w:cs="Century Gothic"/>
          <w:bCs/>
        </w:rPr>
        <w:t xml:space="preserve">es y </w:t>
      </w:r>
      <w:r w:rsidRPr="009C0E80">
        <w:rPr>
          <w:rFonts w:ascii="Century Gothic" w:eastAsia="Century Gothic" w:hAnsi="Century Gothic" w:cs="Century Gothic"/>
          <w:bCs/>
        </w:rPr>
        <w:t>ha sido la columna vertebral de la economía en Chihuahua</w:t>
      </w:r>
      <w:r>
        <w:rPr>
          <w:rFonts w:ascii="Century Gothic" w:eastAsia="Century Gothic" w:hAnsi="Century Gothic" w:cs="Century Gothic"/>
          <w:bCs/>
        </w:rPr>
        <w:t xml:space="preserve">, motivo por el cual ya hemos construido acuerdos </w:t>
      </w:r>
      <w:r w:rsidRPr="009C0E80">
        <w:rPr>
          <w:rFonts w:ascii="Century Gothic" w:eastAsia="Century Gothic" w:hAnsi="Century Gothic" w:cs="Century Gothic"/>
          <w:bCs/>
        </w:rPr>
        <w:t>manifesta</w:t>
      </w:r>
      <w:r>
        <w:rPr>
          <w:rFonts w:ascii="Century Gothic" w:eastAsia="Century Gothic" w:hAnsi="Century Gothic" w:cs="Century Gothic"/>
          <w:bCs/>
        </w:rPr>
        <w:t>n</w:t>
      </w:r>
      <w:r w:rsidRPr="009C0E80">
        <w:rPr>
          <w:rFonts w:ascii="Century Gothic" w:eastAsia="Century Gothic" w:hAnsi="Century Gothic" w:cs="Century Gothic"/>
          <w:bCs/>
        </w:rPr>
        <w:t xml:space="preserve">do </w:t>
      </w:r>
      <w:r>
        <w:rPr>
          <w:rFonts w:ascii="Century Gothic" w:eastAsia="Century Gothic" w:hAnsi="Century Gothic" w:cs="Century Gothic"/>
          <w:bCs/>
        </w:rPr>
        <w:t>a través de las distintas representaciones, la</w:t>
      </w:r>
      <w:r w:rsidRPr="009C0E80">
        <w:rPr>
          <w:rFonts w:ascii="Century Gothic" w:eastAsia="Century Gothic" w:hAnsi="Century Gothic" w:cs="Century Gothic"/>
          <w:bCs/>
        </w:rPr>
        <w:t xml:space="preserve"> voluntad política para implementar una "Tarifa Cero" en el peaje carretero</w:t>
      </w:r>
      <w:r>
        <w:rPr>
          <w:rFonts w:ascii="Century Gothic" w:eastAsia="Century Gothic" w:hAnsi="Century Gothic" w:cs="Century Gothic"/>
          <w:bCs/>
        </w:rPr>
        <w:t xml:space="preserve"> para este sector.</w:t>
      </w:r>
    </w:p>
    <w:p w14:paraId="5BC444D6" w14:textId="77777777" w:rsidR="009C0E80" w:rsidRDefault="009C0E80" w:rsidP="009C0E80">
      <w:pPr>
        <w:spacing w:line="360" w:lineRule="auto"/>
        <w:jc w:val="both"/>
        <w:rPr>
          <w:rFonts w:ascii="Century Gothic" w:eastAsia="Century Gothic" w:hAnsi="Century Gothic" w:cs="Century Gothic"/>
          <w:bCs/>
        </w:rPr>
      </w:pPr>
    </w:p>
    <w:p w14:paraId="3619089F" w14:textId="73F2C849" w:rsidR="009C0E80" w:rsidRDefault="009C0E80" w:rsidP="009C0E80">
      <w:pPr>
        <w:spacing w:line="360" w:lineRule="auto"/>
        <w:jc w:val="both"/>
        <w:rPr>
          <w:rFonts w:ascii="Century Gothic" w:eastAsia="Century Gothic" w:hAnsi="Century Gothic" w:cs="Century Gothic"/>
          <w:bCs/>
        </w:rPr>
      </w:pPr>
      <w:r>
        <w:rPr>
          <w:rFonts w:ascii="Century Gothic" w:eastAsia="Century Gothic" w:hAnsi="Century Gothic" w:cs="Century Gothic"/>
          <w:bCs/>
        </w:rPr>
        <w:t>Aún así, es necesario recordar que,</w:t>
      </w:r>
      <w:r w:rsidRPr="009C0E80">
        <w:rPr>
          <w:rFonts w:ascii="Century Gothic" w:eastAsia="Century Gothic" w:hAnsi="Century Gothic" w:cs="Century Gothic"/>
          <w:bCs/>
        </w:rPr>
        <w:t xml:space="preserve"> la naturaleza jurídica del exhorto limita </w:t>
      </w:r>
      <w:r>
        <w:rPr>
          <w:rFonts w:ascii="Century Gothic" w:eastAsia="Century Gothic" w:hAnsi="Century Gothic" w:cs="Century Gothic"/>
          <w:bCs/>
        </w:rPr>
        <w:t xml:space="preserve">estas propuestas </w:t>
      </w:r>
      <w:r w:rsidRPr="009C0E80">
        <w:rPr>
          <w:rFonts w:ascii="Century Gothic" w:eastAsia="Century Gothic" w:hAnsi="Century Gothic" w:cs="Century Gothic"/>
          <w:bCs/>
        </w:rPr>
        <w:t>a un</w:t>
      </w:r>
      <w:r>
        <w:rPr>
          <w:rFonts w:ascii="Century Gothic" w:eastAsia="Century Gothic" w:hAnsi="Century Gothic" w:cs="Century Gothic"/>
          <w:bCs/>
        </w:rPr>
        <w:t xml:space="preserve"> llamado</w:t>
      </w:r>
      <w:r w:rsidRPr="009C0E80">
        <w:rPr>
          <w:rFonts w:ascii="Century Gothic" w:eastAsia="Century Gothic" w:hAnsi="Century Gothic" w:cs="Century Gothic"/>
          <w:bCs/>
        </w:rPr>
        <w:t xml:space="preserve"> </w:t>
      </w:r>
      <w:r>
        <w:rPr>
          <w:rFonts w:ascii="Century Gothic" w:eastAsia="Century Gothic" w:hAnsi="Century Gothic" w:cs="Century Gothic"/>
          <w:bCs/>
        </w:rPr>
        <w:t xml:space="preserve">vinculante, por lo que la </w:t>
      </w:r>
      <w:r w:rsidRPr="009C0E80">
        <w:rPr>
          <w:rFonts w:ascii="Century Gothic" w:eastAsia="Century Gothic" w:hAnsi="Century Gothic" w:cs="Century Gothic"/>
          <w:bCs/>
        </w:rPr>
        <w:t xml:space="preserve">incertidumbre </w:t>
      </w:r>
      <w:r>
        <w:rPr>
          <w:rFonts w:ascii="Century Gothic" w:eastAsia="Century Gothic" w:hAnsi="Century Gothic" w:cs="Century Gothic"/>
          <w:bCs/>
        </w:rPr>
        <w:t>persiste para las personas p</w:t>
      </w:r>
      <w:r w:rsidRPr="009C0E80">
        <w:rPr>
          <w:rFonts w:ascii="Century Gothic" w:eastAsia="Century Gothic" w:hAnsi="Century Gothic" w:cs="Century Gothic"/>
          <w:bCs/>
        </w:rPr>
        <w:t>roductor</w:t>
      </w:r>
      <w:r>
        <w:rPr>
          <w:rFonts w:ascii="Century Gothic" w:eastAsia="Century Gothic" w:hAnsi="Century Gothic" w:cs="Century Gothic"/>
          <w:bCs/>
        </w:rPr>
        <w:t>as agrícolas</w:t>
      </w:r>
      <w:r w:rsidRPr="009C0E80">
        <w:rPr>
          <w:rFonts w:ascii="Century Gothic" w:eastAsia="Century Gothic" w:hAnsi="Century Gothic" w:cs="Century Gothic"/>
          <w:bCs/>
        </w:rPr>
        <w:t xml:space="preserve"> dejando</w:t>
      </w:r>
      <w:r>
        <w:rPr>
          <w:rFonts w:ascii="Century Gothic" w:eastAsia="Century Gothic" w:hAnsi="Century Gothic" w:cs="Century Gothic"/>
          <w:bCs/>
        </w:rPr>
        <w:t xml:space="preserve"> los posibles</w:t>
      </w:r>
      <w:r w:rsidRPr="009C0E80">
        <w:rPr>
          <w:rFonts w:ascii="Century Gothic" w:eastAsia="Century Gothic" w:hAnsi="Century Gothic" w:cs="Century Gothic"/>
          <w:bCs/>
        </w:rPr>
        <w:t xml:space="preserve"> beneficio</w:t>
      </w:r>
      <w:r>
        <w:rPr>
          <w:rFonts w:ascii="Century Gothic" w:eastAsia="Century Gothic" w:hAnsi="Century Gothic" w:cs="Century Gothic"/>
          <w:bCs/>
        </w:rPr>
        <w:t>s</w:t>
      </w:r>
      <w:r w:rsidRPr="009C0E80">
        <w:rPr>
          <w:rFonts w:ascii="Century Gothic" w:eastAsia="Century Gothic" w:hAnsi="Century Gothic" w:cs="Century Gothic"/>
          <w:bCs/>
        </w:rPr>
        <w:t xml:space="preserve"> sujeto</w:t>
      </w:r>
      <w:r>
        <w:rPr>
          <w:rFonts w:ascii="Century Gothic" w:eastAsia="Century Gothic" w:hAnsi="Century Gothic" w:cs="Century Gothic"/>
          <w:bCs/>
        </w:rPr>
        <w:t>s</w:t>
      </w:r>
      <w:r w:rsidRPr="009C0E80">
        <w:rPr>
          <w:rFonts w:ascii="Century Gothic" w:eastAsia="Century Gothic" w:hAnsi="Century Gothic" w:cs="Century Gothic"/>
          <w:bCs/>
        </w:rPr>
        <w:t xml:space="preserve"> a la discrecionalidad, cambios de administración o </w:t>
      </w:r>
      <w:r>
        <w:rPr>
          <w:rFonts w:ascii="Century Gothic" w:eastAsia="Century Gothic" w:hAnsi="Century Gothic" w:cs="Century Gothic"/>
          <w:bCs/>
        </w:rPr>
        <w:t xml:space="preserve">incluso a </w:t>
      </w:r>
      <w:r w:rsidRPr="009C0E80">
        <w:rPr>
          <w:rFonts w:ascii="Century Gothic" w:eastAsia="Century Gothic" w:hAnsi="Century Gothic" w:cs="Century Gothic"/>
          <w:bCs/>
        </w:rPr>
        <w:t>presiones financieras momentáneas.</w:t>
      </w:r>
    </w:p>
    <w:bookmarkEnd w:id="2"/>
    <w:p w14:paraId="43FA9B92" w14:textId="002EFE0B" w:rsidR="009C0E80" w:rsidRDefault="009C0E80" w:rsidP="009C0E80">
      <w:pPr>
        <w:spacing w:line="360" w:lineRule="auto"/>
        <w:jc w:val="both"/>
        <w:rPr>
          <w:rFonts w:ascii="Century Gothic" w:eastAsia="Century Gothic" w:hAnsi="Century Gothic" w:cs="Century Gothic"/>
          <w:bCs/>
        </w:rPr>
      </w:pPr>
    </w:p>
    <w:p w14:paraId="25D4A2D8" w14:textId="23F209FD" w:rsidR="009C0E80" w:rsidRDefault="009C2BCF" w:rsidP="009C0E80">
      <w:pPr>
        <w:spacing w:line="360" w:lineRule="auto"/>
        <w:jc w:val="both"/>
        <w:rPr>
          <w:rFonts w:ascii="Century Gothic" w:eastAsia="Century Gothic" w:hAnsi="Century Gothic" w:cs="Century Gothic"/>
          <w:bCs/>
        </w:rPr>
      </w:pPr>
      <w:r>
        <w:rPr>
          <w:rFonts w:ascii="Century Gothic" w:eastAsia="Century Gothic" w:hAnsi="Century Gothic" w:cs="Century Gothic"/>
          <w:bCs/>
        </w:rPr>
        <w:t>A propósito de lo anterior</w:t>
      </w:r>
      <w:r w:rsidR="009C0E80">
        <w:rPr>
          <w:rFonts w:ascii="Century Gothic" w:eastAsia="Century Gothic" w:hAnsi="Century Gothic" w:cs="Century Gothic"/>
          <w:bCs/>
        </w:rPr>
        <w:t xml:space="preserve">, es indispensable </w:t>
      </w:r>
      <w:r w:rsidR="009C0E80" w:rsidRPr="009C0E80">
        <w:rPr>
          <w:rFonts w:ascii="Century Gothic" w:eastAsia="Century Gothic" w:hAnsi="Century Gothic" w:cs="Century Gothic"/>
          <w:bCs/>
        </w:rPr>
        <w:t>reconoce</w:t>
      </w:r>
      <w:r w:rsidR="009C0E80">
        <w:rPr>
          <w:rFonts w:ascii="Century Gothic" w:eastAsia="Century Gothic" w:hAnsi="Century Gothic" w:cs="Century Gothic"/>
          <w:bCs/>
        </w:rPr>
        <w:t>r</w:t>
      </w:r>
      <w:r w:rsidR="009C0E80" w:rsidRPr="009C0E80">
        <w:rPr>
          <w:rFonts w:ascii="Century Gothic" w:eastAsia="Century Gothic" w:hAnsi="Century Gothic" w:cs="Century Gothic"/>
          <w:bCs/>
        </w:rPr>
        <w:t xml:space="preserve"> la vulnerabilidad del campo frente a riesgos </w:t>
      </w:r>
      <w:r w:rsidR="009C0E80">
        <w:rPr>
          <w:rFonts w:ascii="Century Gothic" w:eastAsia="Century Gothic" w:hAnsi="Century Gothic" w:cs="Century Gothic"/>
          <w:bCs/>
        </w:rPr>
        <w:t xml:space="preserve">no solo </w:t>
      </w:r>
      <w:r w:rsidR="009C0E80" w:rsidRPr="009C0E80">
        <w:rPr>
          <w:rFonts w:ascii="Century Gothic" w:eastAsia="Century Gothic" w:hAnsi="Century Gothic" w:cs="Century Gothic"/>
          <w:bCs/>
        </w:rPr>
        <w:t>climáticos</w:t>
      </w:r>
      <w:r w:rsidR="009C0E80">
        <w:rPr>
          <w:rFonts w:ascii="Century Gothic" w:eastAsia="Century Gothic" w:hAnsi="Century Gothic" w:cs="Century Gothic"/>
          <w:bCs/>
        </w:rPr>
        <w:t xml:space="preserve">, sino respecto a la </w:t>
      </w:r>
      <w:r w:rsidR="009C0E80" w:rsidRPr="009C0E80">
        <w:rPr>
          <w:rFonts w:ascii="Century Gothic" w:eastAsia="Century Gothic" w:hAnsi="Century Gothic" w:cs="Century Gothic"/>
          <w:bCs/>
        </w:rPr>
        <w:t xml:space="preserve">volatilidad de precios, </w:t>
      </w:r>
      <w:r w:rsidR="009C0E80">
        <w:rPr>
          <w:rFonts w:ascii="Century Gothic" w:eastAsia="Century Gothic" w:hAnsi="Century Gothic" w:cs="Century Gothic"/>
          <w:bCs/>
        </w:rPr>
        <w:t>implementando entonces</w:t>
      </w:r>
      <w:r w:rsidR="009C0E80" w:rsidRPr="009C0E80">
        <w:rPr>
          <w:rFonts w:ascii="Century Gothic" w:eastAsia="Century Gothic" w:hAnsi="Century Gothic" w:cs="Century Gothic"/>
          <w:bCs/>
        </w:rPr>
        <w:t xml:space="preserve"> mecanismo</w:t>
      </w:r>
      <w:r w:rsidR="009C0E80">
        <w:rPr>
          <w:rFonts w:ascii="Century Gothic" w:eastAsia="Century Gothic" w:hAnsi="Century Gothic" w:cs="Century Gothic"/>
          <w:bCs/>
        </w:rPr>
        <w:t>s</w:t>
      </w:r>
      <w:r w:rsidR="009C0E80" w:rsidRPr="009C0E80">
        <w:rPr>
          <w:rFonts w:ascii="Century Gothic" w:eastAsia="Century Gothic" w:hAnsi="Century Gothic" w:cs="Century Gothic"/>
          <w:bCs/>
        </w:rPr>
        <w:t xml:space="preserve"> de protección para </w:t>
      </w:r>
      <w:r w:rsidR="009C0E80">
        <w:rPr>
          <w:rFonts w:ascii="Century Gothic" w:eastAsia="Century Gothic" w:hAnsi="Century Gothic" w:cs="Century Gothic"/>
          <w:bCs/>
        </w:rPr>
        <w:t>las personas productoras agrícolas, fortaleciendo al agro y</w:t>
      </w:r>
      <w:r w:rsidR="009C0E80" w:rsidRPr="009C0E80">
        <w:rPr>
          <w:rFonts w:ascii="Century Gothic" w:eastAsia="Century Gothic" w:hAnsi="Century Gothic" w:cs="Century Gothic"/>
          <w:bCs/>
        </w:rPr>
        <w:t xml:space="preserve"> evita</w:t>
      </w:r>
      <w:r w:rsidR="009C0E80">
        <w:rPr>
          <w:rFonts w:ascii="Century Gothic" w:eastAsia="Century Gothic" w:hAnsi="Century Gothic" w:cs="Century Gothic"/>
          <w:bCs/>
        </w:rPr>
        <w:t>ndo</w:t>
      </w:r>
      <w:r w:rsidR="009C0E80" w:rsidRPr="009C0E80">
        <w:rPr>
          <w:rFonts w:ascii="Century Gothic" w:eastAsia="Century Gothic" w:hAnsi="Century Gothic" w:cs="Century Gothic"/>
          <w:bCs/>
        </w:rPr>
        <w:t xml:space="preserve"> el abandono del campo y la migración urbana.</w:t>
      </w:r>
    </w:p>
    <w:p w14:paraId="0F570BFC" w14:textId="03FF3141" w:rsidR="009C0E80" w:rsidRDefault="009C0E80" w:rsidP="009C0E80">
      <w:pPr>
        <w:spacing w:line="360" w:lineRule="auto"/>
        <w:jc w:val="both"/>
        <w:rPr>
          <w:rFonts w:ascii="Century Gothic" w:eastAsia="Century Gothic" w:hAnsi="Century Gothic" w:cs="Century Gothic"/>
          <w:bCs/>
        </w:rPr>
      </w:pPr>
    </w:p>
    <w:p w14:paraId="425E9E4D" w14:textId="05D4D25A" w:rsidR="009C0E80" w:rsidRDefault="009C0E80" w:rsidP="009C0E80">
      <w:pPr>
        <w:spacing w:line="360" w:lineRule="auto"/>
        <w:jc w:val="both"/>
        <w:rPr>
          <w:rFonts w:ascii="Century Gothic" w:eastAsia="Century Gothic" w:hAnsi="Century Gothic" w:cs="Century Gothic"/>
          <w:bCs/>
        </w:rPr>
      </w:pPr>
      <w:bookmarkStart w:id="3" w:name="_Hlk227832617"/>
      <w:r>
        <w:rPr>
          <w:rFonts w:ascii="Century Gothic" w:eastAsia="Century Gothic" w:hAnsi="Century Gothic" w:cs="Century Gothic"/>
          <w:bCs/>
        </w:rPr>
        <w:t>En ese orden de ideas, a través de esta</w:t>
      </w:r>
      <w:r w:rsidRPr="009C0E80">
        <w:rPr>
          <w:rFonts w:ascii="Century Gothic" w:eastAsia="Century Gothic" w:hAnsi="Century Gothic" w:cs="Century Gothic"/>
          <w:bCs/>
        </w:rPr>
        <w:t xml:space="preserve"> propuesta</w:t>
      </w:r>
      <w:r>
        <w:rPr>
          <w:rFonts w:ascii="Century Gothic" w:eastAsia="Century Gothic" w:hAnsi="Century Gothic" w:cs="Century Gothic"/>
          <w:bCs/>
        </w:rPr>
        <w:t xml:space="preserve"> </w:t>
      </w:r>
      <w:r w:rsidRPr="009C0E80">
        <w:rPr>
          <w:rFonts w:ascii="Century Gothic" w:eastAsia="Century Gothic" w:hAnsi="Century Gothic" w:cs="Century Gothic"/>
          <w:bCs/>
        </w:rPr>
        <w:t>busca</w:t>
      </w:r>
      <w:r>
        <w:rPr>
          <w:rFonts w:ascii="Century Gothic" w:eastAsia="Century Gothic" w:hAnsi="Century Gothic" w:cs="Century Gothic"/>
          <w:bCs/>
        </w:rPr>
        <w:t>mos</w:t>
      </w:r>
      <w:r w:rsidRPr="009C0E80">
        <w:rPr>
          <w:rFonts w:ascii="Century Gothic" w:eastAsia="Century Gothic" w:hAnsi="Century Gothic" w:cs="Century Gothic"/>
          <w:bCs/>
        </w:rPr>
        <w:t xml:space="preserve"> elevar el beneficio de la "tarifa cero" en el peaje carretero de un exhorto político a una obligatoriedad legal establecida en la Ley </w:t>
      </w:r>
      <w:r w:rsidR="00BD662D">
        <w:rPr>
          <w:rFonts w:ascii="Century Gothic" w:eastAsia="Century Gothic" w:hAnsi="Century Gothic" w:cs="Century Gothic"/>
          <w:bCs/>
        </w:rPr>
        <w:t xml:space="preserve">Estatal </w:t>
      </w:r>
      <w:r w:rsidRPr="009C0E80">
        <w:rPr>
          <w:rFonts w:ascii="Century Gothic" w:eastAsia="Century Gothic" w:hAnsi="Century Gothic" w:cs="Century Gothic"/>
          <w:bCs/>
        </w:rPr>
        <w:t>de Derechos.</w:t>
      </w:r>
    </w:p>
    <w:bookmarkEnd w:id="3"/>
    <w:p w14:paraId="6A95E323" w14:textId="77777777" w:rsidR="009C0E80" w:rsidRDefault="009C0E80" w:rsidP="009C0E80">
      <w:pPr>
        <w:spacing w:line="360" w:lineRule="auto"/>
        <w:jc w:val="both"/>
        <w:rPr>
          <w:rFonts w:ascii="Century Gothic" w:eastAsia="Century Gothic" w:hAnsi="Century Gothic" w:cs="Century Gothic"/>
          <w:bCs/>
        </w:rPr>
      </w:pPr>
    </w:p>
    <w:p w14:paraId="26CAABDE" w14:textId="72731F07" w:rsidR="009C0E80" w:rsidRDefault="009C0E80" w:rsidP="009C0E80">
      <w:pPr>
        <w:spacing w:line="360" w:lineRule="auto"/>
        <w:jc w:val="both"/>
        <w:rPr>
          <w:rFonts w:ascii="Century Gothic" w:eastAsia="Century Gothic" w:hAnsi="Century Gothic" w:cs="Century Gothic"/>
          <w:bCs/>
        </w:rPr>
      </w:pPr>
      <w:r>
        <w:rPr>
          <w:rFonts w:ascii="Century Gothic" w:eastAsia="Century Gothic" w:hAnsi="Century Gothic" w:cs="Century Gothic"/>
          <w:bCs/>
        </w:rPr>
        <w:t>Con el firme objet</w:t>
      </w:r>
      <w:r w:rsidRPr="009C0E80">
        <w:rPr>
          <w:rFonts w:ascii="Century Gothic" w:eastAsia="Century Gothic" w:hAnsi="Century Gothic" w:cs="Century Gothic"/>
          <w:bCs/>
        </w:rPr>
        <w:t xml:space="preserve">ivo </w:t>
      </w:r>
      <w:r>
        <w:rPr>
          <w:rFonts w:ascii="Century Gothic" w:eastAsia="Century Gothic" w:hAnsi="Century Gothic" w:cs="Century Gothic"/>
          <w:bCs/>
        </w:rPr>
        <w:t>d</w:t>
      </w:r>
      <w:r w:rsidRPr="009C0E80">
        <w:rPr>
          <w:rFonts w:ascii="Century Gothic" w:eastAsia="Century Gothic" w:hAnsi="Century Gothic" w:cs="Century Gothic"/>
          <w:bCs/>
        </w:rPr>
        <w:t>e brindar certidumbre jurídica y económica de forma permanente a l</w:t>
      </w:r>
      <w:r>
        <w:rPr>
          <w:rFonts w:ascii="Century Gothic" w:eastAsia="Century Gothic" w:hAnsi="Century Gothic" w:cs="Century Gothic"/>
          <w:bCs/>
        </w:rPr>
        <w:t xml:space="preserve">as personas que se dedican tanto a la producción como al </w:t>
      </w:r>
      <w:r w:rsidRPr="009C0E80">
        <w:rPr>
          <w:rFonts w:ascii="Century Gothic" w:eastAsia="Century Gothic" w:hAnsi="Century Gothic" w:cs="Century Gothic"/>
          <w:bCs/>
        </w:rPr>
        <w:t xml:space="preserve">transporte del sector primario en Chihuahua, </w:t>
      </w:r>
      <w:r>
        <w:rPr>
          <w:rFonts w:ascii="Century Gothic" w:eastAsia="Century Gothic" w:hAnsi="Century Gothic" w:cs="Century Gothic"/>
          <w:bCs/>
        </w:rPr>
        <w:t>se impulsa</w:t>
      </w:r>
      <w:r w:rsidRPr="009C0E80">
        <w:rPr>
          <w:rFonts w:ascii="Century Gothic" w:eastAsia="Century Gothic" w:hAnsi="Century Gothic" w:cs="Century Gothic"/>
          <w:bCs/>
        </w:rPr>
        <w:t xml:space="preserve"> la competitividad </w:t>
      </w:r>
      <w:r>
        <w:rPr>
          <w:rFonts w:ascii="Century Gothic" w:eastAsia="Century Gothic" w:hAnsi="Century Gothic" w:cs="Century Gothic"/>
          <w:bCs/>
        </w:rPr>
        <w:lastRenderedPageBreak/>
        <w:t>del campo a la vez que se m</w:t>
      </w:r>
      <w:r w:rsidRPr="009C0E80">
        <w:rPr>
          <w:rFonts w:ascii="Century Gothic" w:eastAsia="Century Gothic" w:hAnsi="Century Gothic" w:cs="Century Gothic"/>
          <w:bCs/>
        </w:rPr>
        <w:t xml:space="preserve">itigan riesgos como la inflación o la volatilidad climática. </w:t>
      </w:r>
    </w:p>
    <w:p w14:paraId="79E2620D" w14:textId="77777777" w:rsidR="009C0E80" w:rsidRDefault="009C0E80" w:rsidP="009C0E80">
      <w:pPr>
        <w:spacing w:line="360" w:lineRule="auto"/>
        <w:jc w:val="both"/>
        <w:rPr>
          <w:rFonts w:ascii="Century Gothic" w:eastAsia="Century Gothic" w:hAnsi="Century Gothic" w:cs="Century Gothic"/>
          <w:bCs/>
        </w:rPr>
      </w:pPr>
    </w:p>
    <w:p w14:paraId="70112E0D" w14:textId="329E4E37" w:rsidR="009C0E80" w:rsidRDefault="009C0E80" w:rsidP="009C0E80">
      <w:pPr>
        <w:spacing w:line="360" w:lineRule="auto"/>
        <w:jc w:val="both"/>
        <w:rPr>
          <w:rFonts w:ascii="Century Gothic" w:eastAsia="Century Gothic" w:hAnsi="Century Gothic" w:cs="Century Gothic"/>
          <w:bCs/>
        </w:rPr>
      </w:pPr>
      <w:bookmarkStart w:id="4" w:name="_Hlk227832674"/>
      <w:r w:rsidRPr="009C0E80">
        <w:rPr>
          <w:rFonts w:ascii="Century Gothic" w:eastAsia="Century Gothic" w:hAnsi="Century Gothic" w:cs="Century Gothic"/>
          <w:bCs/>
        </w:rPr>
        <w:t xml:space="preserve">Para asegurar </w:t>
      </w:r>
      <w:r>
        <w:rPr>
          <w:rFonts w:ascii="Century Gothic" w:eastAsia="Century Gothic" w:hAnsi="Century Gothic" w:cs="Century Gothic"/>
          <w:bCs/>
        </w:rPr>
        <w:t>la</w:t>
      </w:r>
      <w:r w:rsidRPr="009C0E80">
        <w:rPr>
          <w:rFonts w:ascii="Century Gothic" w:eastAsia="Century Gothic" w:hAnsi="Century Gothic" w:cs="Century Gothic"/>
          <w:bCs/>
        </w:rPr>
        <w:t xml:space="preserve"> viabilidad</w:t>
      </w:r>
      <w:r>
        <w:rPr>
          <w:rFonts w:ascii="Century Gothic" w:eastAsia="Century Gothic" w:hAnsi="Century Gothic" w:cs="Century Gothic"/>
          <w:bCs/>
        </w:rPr>
        <w:t xml:space="preserve"> de esta medida, se propone que los posibles impactos sean </w:t>
      </w:r>
      <w:r w:rsidRPr="009C0E80">
        <w:rPr>
          <w:rFonts w:ascii="Century Gothic" w:eastAsia="Century Gothic" w:hAnsi="Century Gothic" w:cs="Century Gothic"/>
          <w:bCs/>
        </w:rPr>
        <w:t>financia</w:t>
      </w:r>
      <w:r>
        <w:rPr>
          <w:rFonts w:ascii="Century Gothic" w:eastAsia="Century Gothic" w:hAnsi="Century Gothic" w:cs="Century Gothic"/>
          <w:bCs/>
        </w:rPr>
        <w:t>dos</w:t>
      </w:r>
      <w:r w:rsidRPr="009C0E80">
        <w:rPr>
          <w:rFonts w:ascii="Century Gothic" w:eastAsia="Century Gothic" w:hAnsi="Century Gothic" w:cs="Century Gothic"/>
          <w:bCs/>
        </w:rPr>
        <w:t xml:space="preserve"> </w:t>
      </w:r>
      <w:r>
        <w:rPr>
          <w:rFonts w:ascii="Century Gothic" w:eastAsia="Century Gothic" w:hAnsi="Century Gothic" w:cs="Century Gothic"/>
          <w:bCs/>
        </w:rPr>
        <w:t>con la suma de</w:t>
      </w:r>
      <w:r w:rsidRPr="009C0E80">
        <w:rPr>
          <w:rFonts w:ascii="Century Gothic" w:eastAsia="Century Gothic" w:hAnsi="Century Gothic" w:cs="Century Gothic"/>
          <w:bCs/>
        </w:rPr>
        <w:t xml:space="preserve"> los excedentes líquidos o remanentes de operación del Fideicomiso Carretero, garantizando que no se afecten los compromisos financieros de la bursatilización mientras se moderniza la administración pública a través de un padrón único tecnológico y auditable.</w:t>
      </w:r>
    </w:p>
    <w:bookmarkEnd w:id="4"/>
    <w:p w14:paraId="7F763E2F" w14:textId="77777777" w:rsidR="009C0E80" w:rsidRDefault="009C0E80" w:rsidP="009C0E80">
      <w:pPr>
        <w:spacing w:line="360" w:lineRule="auto"/>
        <w:jc w:val="both"/>
        <w:rPr>
          <w:rFonts w:ascii="Century Gothic" w:eastAsia="Century Gothic" w:hAnsi="Century Gothic" w:cs="Century Gothic"/>
          <w:bCs/>
        </w:rPr>
      </w:pPr>
    </w:p>
    <w:p w14:paraId="34C2DFDF" w14:textId="292084A2" w:rsidR="009C0E80" w:rsidRPr="009C0E80" w:rsidRDefault="009C0E80" w:rsidP="009C0E80">
      <w:pPr>
        <w:spacing w:line="360" w:lineRule="auto"/>
        <w:jc w:val="both"/>
        <w:rPr>
          <w:rFonts w:ascii="Century Gothic" w:eastAsia="Century Gothic" w:hAnsi="Century Gothic" w:cs="Century Gothic"/>
          <w:bCs/>
        </w:rPr>
      </w:pPr>
      <w:r>
        <w:rPr>
          <w:rFonts w:ascii="Century Gothic" w:eastAsia="Century Gothic" w:hAnsi="Century Gothic" w:cs="Century Gothic"/>
          <w:bCs/>
        </w:rPr>
        <w:t xml:space="preserve">En ese orden de ideas, buscamos reformar la Ley </w:t>
      </w:r>
      <w:r w:rsidR="00BD662D">
        <w:rPr>
          <w:rFonts w:ascii="Century Gothic" w:eastAsia="Century Gothic" w:hAnsi="Century Gothic" w:cs="Century Gothic"/>
          <w:bCs/>
        </w:rPr>
        <w:t xml:space="preserve">Estatal </w:t>
      </w:r>
      <w:r>
        <w:rPr>
          <w:rFonts w:ascii="Century Gothic" w:eastAsia="Century Gothic" w:hAnsi="Century Gothic" w:cs="Century Gothic"/>
          <w:bCs/>
        </w:rPr>
        <w:t xml:space="preserve">de Derechos para plasmar un beneficio para las personas productoras agrícolas, </w:t>
      </w:r>
      <w:r w:rsidRPr="009C0E80">
        <w:rPr>
          <w:rFonts w:ascii="Century Gothic" w:eastAsia="Century Gothic" w:hAnsi="Century Gothic" w:cs="Century Gothic"/>
          <w:bCs/>
        </w:rPr>
        <w:t>bajo el principio de neutralidad financier</w:t>
      </w:r>
      <w:r>
        <w:rPr>
          <w:rFonts w:ascii="Century Gothic" w:eastAsia="Century Gothic" w:hAnsi="Century Gothic" w:cs="Century Gothic"/>
          <w:bCs/>
        </w:rPr>
        <w:t xml:space="preserve">a, sin pretender </w:t>
      </w:r>
      <w:r w:rsidRPr="009C0E80">
        <w:rPr>
          <w:rFonts w:ascii="Century Gothic" w:eastAsia="Century Gothic" w:hAnsi="Century Gothic" w:cs="Century Gothic"/>
          <w:bCs/>
        </w:rPr>
        <w:t>reducir la recaudación bruta del Fideicomiso Carretero sino optimizar la distribución de sus excedentes líquidos</w:t>
      </w:r>
      <w:r>
        <w:rPr>
          <w:rFonts w:ascii="Century Gothic" w:eastAsia="Century Gothic" w:hAnsi="Century Gothic" w:cs="Century Gothic"/>
          <w:bCs/>
        </w:rPr>
        <w:t xml:space="preserve">. </w:t>
      </w:r>
    </w:p>
    <w:p w14:paraId="33134CDF" w14:textId="77777777" w:rsidR="009C0E80" w:rsidRPr="009C0E80" w:rsidRDefault="009C0E80" w:rsidP="009C0E80">
      <w:pPr>
        <w:spacing w:line="360" w:lineRule="auto"/>
        <w:jc w:val="both"/>
        <w:rPr>
          <w:rFonts w:ascii="Century Gothic" w:eastAsia="Century Gothic" w:hAnsi="Century Gothic" w:cs="Century Gothic"/>
          <w:bCs/>
        </w:rPr>
      </w:pPr>
    </w:p>
    <w:p w14:paraId="27BE129E" w14:textId="6ED29699" w:rsidR="009C0E80" w:rsidRPr="009C0E80" w:rsidRDefault="009C0E80" w:rsidP="009C0E80">
      <w:pPr>
        <w:spacing w:line="360" w:lineRule="auto"/>
        <w:jc w:val="both"/>
        <w:rPr>
          <w:rFonts w:ascii="Century Gothic" w:eastAsia="Century Gothic" w:hAnsi="Century Gothic" w:cs="Century Gothic"/>
          <w:bCs/>
        </w:rPr>
      </w:pPr>
      <w:r w:rsidRPr="009C0E80">
        <w:rPr>
          <w:rFonts w:ascii="Century Gothic" w:eastAsia="Century Gothic" w:hAnsi="Century Gothic" w:cs="Century Gothic"/>
          <w:bCs/>
        </w:rPr>
        <w:t xml:space="preserve">Para asegurar el control y la trazabilidad, la reforma vincula la exención </w:t>
      </w:r>
      <w:r>
        <w:rPr>
          <w:rFonts w:ascii="Century Gothic" w:eastAsia="Century Gothic" w:hAnsi="Century Gothic" w:cs="Century Gothic"/>
          <w:bCs/>
        </w:rPr>
        <w:t>a un padrón de beneficiarios utilizando la información y mecanismos ya existentes</w:t>
      </w:r>
      <w:r w:rsidRPr="009C0E80">
        <w:rPr>
          <w:rFonts w:ascii="Century Gothic" w:eastAsia="Century Gothic" w:hAnsi="Century Gothic" w:cs="Century Gothic"/>
          <w:bCs/>
        </w:rPr>
        <w:t xml:space="preserve"> mediante la interoperabilidad entre la Secretaría de Hacienda y la Secretaría de Desarrollo Rural</w:t>
      </w:r>
      <w:r>
        <w:rPr>
          <w:rFonts w:ascii="Century Gothic" w:eastAsia="Century Gothic" w:hAnsi="Century Gothic" w:cs="Century Gothic"/>
          <w:bCs/>
        </w:rPr>
        <w:t xml:space="preserve">, </w:t>
      </w:r>
      <w:r w:rsidRPr="009C0E80">
        <w:rPr>
          <w:rFonts w:ascii="Century Gothic" w:eastAsia="Century Gothic" w:hAnsi="Century Gothic" w:cs="Century Gothic"/>
          <w:bCs/>
        </w:rPr>
        <w:t>garantiza</w:t>
      </w:r>
      <w:r>
        <w:rPr>
          <w:rFonts w:ascii="Century Gothic" w:eastAsia="Century Gothic" w:hAnsi="Century Gothic" w:cs="Century Gothic"/>
          <w:bCs/>
        </w:rPr>
        <w:t>ndo</w:t>
      </w:r>
      <w:r w:rsidRPr="009C0E80">
        <w:rPr>
          <w:rFonts w:ascii="Century Gothic" w:eastAsia="Century Gothic" w:hAnsi="Century Gothic" w:cs="Century Gothic"/>
          <w:bCs/>
        </w:rPr>
        <w:t xml:space="preserve"> que el beneficio llegue exclusivamente a quienes lo necesitan</w:t>
      </w:r>
      <w:r>
        <w:rPr>
          <w:rFonts w:ascii="Century Gothic" w:eastAsia="Century Gothic" w:hAnsi="Century Gothic" w:cs="Century Gothic"/>
          <w:bCs/>
        </w:rPr>
        <w:t>.</w:t>
      </w:r>
    </w:p>
    <w:p w14:paraId="796C9526" w14:textId="1E98AF9B" w:rsidR="009C0E80" w:rsidRDefault="009C0E80" w:rsidP="009C0E80">
      <w:pPr>
        <w:spacing w:line="360" w:lineRule="auto"/>
        <w:jc w:val="both"/>
        <w:rPr>
          <w:rFonts w:ascii="Century Gothic" w:eastAsia="Century Gothic" w:hAnsi="Century Gothic" w:cs="Century Gothic"/>
          <w:bCs/>
        </w:rPr>
      </w:pPr>
    </w:p>
    <w:p w14:paraId="70C2C3B5" w14:textId="77777777" w:rsidR="00BD662D" w:rsidRDefault="00BD662D" w:rsidP="00BD662D">
      <w:pPr>
        <w:spacing w:line="360" w:lineRule="auto"/>
        <w:jc w:val="both"/>
        <w:rPr>
          <w:rFonts w:ascii="Century Gothic" w:hAnsi="Century Gothic"/>
        </w:rPr>
      </w:pPr>
      <w:r>
        <w:rPr>
          <w:rFonts w:ascii="Century Gothic" w:hAnsi="Century Gothic"/>
        </w:rPr>
        <w:t xml:space="preserve">Cabe destacar que la iniciativa respeta el marco de competencias en materia de concesiones federales, estableciendo que cualquier modificación en las tarifas de tramos concesionados deberá contar con la </w:t>
      </w:r>
      <w:r>
        <w:rPr>
          <w:rFonts w:ascii="Century Gothic" w:hAnsi="Century Gothic"/>
        </w:rPr>
        <w:lastRenderedPageBreak/>
        <w:t>autorización correspondiente de la autoridad federal competente, salvaguardando así la legalidad y coordinación entre órdenes de gobierno.</w:t>
      </w:r>
    </w:p>
    <w:p w14:paraId="373EA1B4" w14:textId="77777777" w:rsidR="00BD662D" w:rsidRDefault="00BD662D" w:rsidP="00BD662D">
      <w:pPr>
        <w:spacing w:line="360" w:lineRule="auto"/>
        <w:jc w:val="both"/>
        <w:rPr>
          <w:rFonts w:ascii="Century Gothic" w:hAnsi="Century Gothic"/>
        </w:rPr>
      </w:pPr>
    </w:p>
    <w:p w14:paraId="7ADAE9B1" w14:textId="26356931" w:rsidR="00BD662D" w:rsidRDefault="00BD662D" w:rsidP="00BD662D">
      <w:pPr>
        <w:spacing w:line="360" w:lineRule="auto"/>
        <w:jc w:val="both"/>
        <w:rPr>
          <w:rFonts w:ascii="Century Gothic" w:hAnsi="Century Gothic"/>
        </w:rPr>
      </w:pPr>
      <w:bookmarkStart w:id="5" w:name="_Hlk227832710"/>
      <w:r>
        <w:rPr>
          <w:rFonts w:ascii="Century Gothic" w:hAnsi="Century Gothic"/>
        </w:rPr>
        <w:t>En suma, la reforma propuesta no solo atiende una demanda legítima del sector agropecuario, sino que también constituye una política pública orientada a promover la equidad, la competitividad y el desarrollo sostenible del estado; al reducir las cargas económicas que enfrentan los productores del campo, se impulsa una economía más justa, se fortalecen las cadenas productivas y se contribuye al bienestar de miles de familias chihuahuenses que dependen directa o indirectamente de esta actividad.</w:t>
      </w:r>
    </w:p>
    <w:p w14:paraId="3F6B9DFC" w14:textId="77777777" w:rsidR="00BD662D" w:rsidRDefault="00BD662D" w:rsidP="009C0E80">
      <w:pPr>
        <w:spacing w:line="360" w:lineRule="auto"/>
        <w:jc w:val="both"/>
        <w:rPr>
          <w:rFonts w:ascii="Century Gothic" w:eastAsia="Century Gothic" w:hAnsi="Century Gothic" w:cs="Century Gothic"/>
          <w:bCs/>
        </w:rPr>
      </w:pPr>
    </w:p>
    <w:p w14:paraId="7ABD7E5E" w14:textId="43C84190" w:rsidR="009C0E80" w:rsidRDefault="00BD662D" w:rsidP="009C0E80">
      <w:pPr>
        <w:spacing w:line="360" w:lineRule="auto"/>
        <w:jc w:val="both"/>
        <w:rPr>
          <w:rFonts w:ascii="Century Gothic" w:eastAsia="Century Gothic" w:hAnsi="Century Gothic" w:cs="Century Gothic"/>
          <w:bCs/>
        </w:rPr>
      </w:pPr>
      <w:r>
        <w:rPr>
          <w:rFonts w:ascii="Century Gothic" w:eastAsia="Century Gothic" w:hAnsi="Century Gothic" w:cs="Century Gothic"/>
          <w:bCs/>
        </w:rPr>
        <w:t>Finalmente, es importante mencionar que l</w:t>
      </w:r>
      <w:r w:rsidR="009C0E80" w:rsidRPr="009C0E80">
        <w:rPr>
          <w:rFonts w:ascii="Century Gothic" w:eastAsia="Century Gothic" w:hAnsi="Century Gothic" w:cs="Century Gothic"/>
          <w:bCs/>
        </w:rPr>
        <w:t>a bursatilización es una herramienta financiera del pasado que hoy nos da certidumbre, pero no debe ser un techo que limite nuestro crecimiento</w:t>
      </w:r>
      <w:r w:rsidR="009C0E80">
        <w:rPr>
          <w:rFonts w:ascii="Century Gothic" w:eastAsia="Century Gothic" w:hAnsi="Century Gothic" w:cs="Century Gothic"/>
          <w:bCs/>
        </w:rPr>
        <w:t xml:space="preserve">; </w:t>
      </w:r>
      <w:r w:rsidR="009C0E80" w:rsidRPr="009C0E80">
        <w:rPr>
          <w:rFonts w:ascii="Century Gothic" w:eastAsia="Century Gothic" w:hAnsi="Century Gothic" w:cs="Century Gothic"/>
          <w:bCs/>
        </w:rPr>
        <w:t xml:space="preserve">Al utilizar los remanentes para apoyar al campo, que es nuestro motor económico, estamos </w:t>
      </w:r>
      <w:r w:rsidR="009C0E80">
        <w:rPr>
          <w:rFonts w:ascii="Century Gothic" w:eastAsia="Century Gothic" w:hAnsi="Century Gothic" w:cs="Century Gothic"/>
          <w:bCs/>
        </w:rPr>
        <w:t xml:space="preserve">pasando del discurso a los hechos, </w:t>
      </w:r>
      <w:r w:rsidR="009C0E80" w:rsidRPr="009C0E80">
        <w:rPr>
          <w:rFonts w:ascii="Century Gothic" w:eastAsia="Century Gothic" w:hAnsi="Century Gothic" w:cs="Century Gothic"/>
          <w:bCs/>
        </w:rPr>
        <w:t>transformando una deuda del pasado en una inversión de futuro.</w:t>
      </w:r>
    </w:p>
    <w:bookmarkEnd w:id="5"/>
    <w:p w14:paraId="78058BA0" w14:textId="77777777" w:rsidR="009C0E80" w:rsidRPr="009C0E80" w:rsidRDefault="009C0E80" w:rsidP="009C0E80">
      <w:pPr>
        <w:spacing w:line="360" w:lineRule="auto"/>
        <w:jc w:val="both"/>
        <w:rPr>
          <w:rFonts w:ascii="Century Gothic" w:eastAsia="Century Gothic" w:hAnsi="Century Gothic" w:cs="Century Gothic"/>
          <w:bCs/>
        </w:rPr>
      </w:pPr>
    </w:p>
    <w:p w14:paraId="4FF0F2AC" w14:textId="6EE4E0A2" w:rsidR="00C24B2F" w:rsidRDefault="009C0E80" w:rsidP="008309D5">
      <w:pPr>
        <w:spacing w:line="360" w:lineRule="auto"/>
        <w:jc w:val="both"/>
        <w:rPr>
          <w:rFonts w:ascii="Century Gothic" w:eastAsia="Century Gothic" w:hAnsi="Century Gothic" w:cs="Century Gothic"/>
        </w:rPr>
      </w:pPr>
      <w:bookmarkStart w:id="6" w:name="_Hlk227832736"/>
      <w:r>
        <w:rPr>
          <w:rFonts w:ascii="Century Gothic" w:eastAsia="Century Gothic" w:hAnsi="Century Gothic" w:cs="Century Gothic"/>
          <w:bCs/>
        </w:rPr>
        <w:t>En tal virtud, l</w:t>
      </w:r>
      <w:r w:rsidRPr="009C0E80">
        <w:rPr>
          <w:rFonts w:ascii="Century Gothic" w:eastAsia="Century Gothic" w:hAnsi="Century Gothic" w:cs="Century Gothic"/>
          <w:bCs/>
        </w:rPr>
        <w:t xml:space="preserve">a presente reforma busca trasladar </w:t>
      </w:r>
      <w:r>
        <w:rPr>
          <w:rFonts w:ascii="Century Gothic" w:eastAsia="Century Gothic" w:hAnsi="Century Gothic" w:cs="Century Gothic"/>
          <w:bCs/>
        </w:rPr>
        <w:t>un beneficio que ya hemos acordado como necesario, d</w:t>
      </w:r>
      <w:r w:rsidRPr="009C0E80">
        <w:rPr>
          <w:rFonts w:ascii="Century Gothic" w:eastAsia="Century Gothic" w:hAnsi="Century Gothic" w:cs="Century Gothic"/>
          <w:bCs/>
        </w:rPr>
        <w:t>e la voluntad política a la obligatoriedad legal, brindando seguridad jurídica y un blindaje permanente a los derechos de quienes integran el sector agropecuario</w:t>
      </w:r>
      <w:r>
        <w:rPr>
          <w:rFonts w:ascii="Century Gothic" w:eastAsia="Century Gothic" w:hAnsi="Century Gothic" w:cs="Century Gothic"/>
          <w:bCs/>
        </w:rPr>
        <w:t>, por lo que</w:t>
      </w:r>
      <w:r w:rsidR="00B35035">
        <w:rPr>
          <w:rFonts w:ascii="Century Gothic" w:hAnsi="Century Gothic"/>
        </w:rPr>
        <w:t xml:space="preserve"> nos</w:t>
      </w:r>
      <w:r w:rsidR="00C24B2F">
        <w:rPr>
          <w:rFonts w:ascii="Century Gothic" w:hAnsi="Century Gothic"/>
        </w:rPr>
        <w:t xml:space="preserve"> permitimos someter a consideración del Pleno, </w:t>
      </w:r>
      <w:r w:rsidR="00C24B2F">
        <w:rPr>
          <w:rFonts w:ascii="Century Gothic" w:eastAsia="Century Gothic" w:hAnsi="Century Gothic" w:cs="Century Gothic"/>
        </w:rPr>
        <w:t>el siguiente proyecto con carácter de:</w:t>
      </w:r>
    </w:p>
    <w:p w14:paraId="5D8A9B5D" w14:textId="748808AD" w:rsidR="00BD662D" w:rsidRDefault="00BD662D" w:rsidP="00BD662D">
      <w:pPr>
        <w:spacing w:line="360" w:lineRule="auto"/>
        <w:ind w:left="720" w:hanging="720"/>
        <w:jc w:val="both"/>
        <w:rPr>
          <w:rFonts w:ascii="Century Gothic" w:eastAsia="Century Gothic" w:hAnsi="Century Gothic" w:cs="Century Gothic"/>
          <w:bCs/>
        </w:rPr>
      </w:pPr>
    </w:p>
    <w:p w14:paraId="21C1CD1C" w14:textId="77777777" w:rsidR="00BD662D" w:rsidRPr="008309D5" w:rsidRDefault="00BD662D" w:rsidP="00BD662D">
      <w:pPr>
        <w:spacing w:line="360" w:lineRule="auto"/>
        <w:ind w:left="720" w:hanging="720"/>
        <w:jc w:val="both"/>
        <w:rPr>
          <w:rFonts w:ascii="Century Gothic" w:eastAsia="Century Gothic" w:hAnsi="Century Gothic" w:cs="Century Gothic"/>
          <w:bCs/>
        </w:rPr>
      </w:pPr>
    </w:p>
    <w:p w14:paraId="699AA1B3" w14:textId="143ECE75" w:rsidR="00C24B2F" w:rsidRDefault="00C24B2F" w:rsidP="00C24B2F">
      <w:pPr>
        <w:spacing w:before="240" w:after="240" w:line="360" w:lineRule="auto"/>
        <w:jc w:val="center"/>
        <w:rPr>
          <w:rFonts w:ascii="Century Gothic" w:eastAsia="Century Gothic" w:hAnsi="Century Gothic" w:cs="Century Gothic"/>
          <w:b/>
        </w:rPr>
      </w:pPr>
      <w:r>
        <w:rPr>
          <w:rFonts w:ascii="Century Gothic" w:eastAsia="Century Gothic" w:hAnsi="Century Gothic" w:cs="Century Gothic"/>
          <w:b/>
        </w:rPr>
        <w:lastRenderedPageBreak/>
        <w:t>D E C R E T O:</w:t>
      </w:r>
    </w:p>
    <w:p w14:paraId="609FA3C0" w14:textId="747E034A" w:rsidR="00A63CFE" w:rsidRPr="009C0E80" w:rsidRDefault="00A63CFE" w:rsidP="00A63CFE">
      <w:pPr>
        <w:spacing w:line="360" w:lineRule="auto"/>
        <w:jc w:val="both"/>
        <w:rPr>
          <w:rFonts w:ascii="Century Gothic" w:eastAsia="Century Gothic" w:hAnsi="Century Gothic" w:cs="Century Gothic"/>
          <w:bCs/>
        </w:rPr>
      </w:pPr>
      <w:r w:rsidRPr="009C0E80">
        <w:rPr>
          <w:rFonts w:ascii="Century Gothic" w:eastAsia="Century Gothic" w:hAnsi="Century Gothic" w:cs="Century Gothic"/>
          <w:b/>
        </w:rPr>
        <w:t xml:space="preserve">ARTÍCULO </w:t>
      </w:r>
      <w:r w:rsidR="009C0E80" w:rsidRPr="009C0E80">
        <w:rPr>
          <w:rFonts w:ascii="Century Gothic" w:eastAsia="Century Gothic" w:hAnsi="Century Gothic" w:cs="Century Gothic"/>
          <w:b/>
        </w:rPr>
        <w:t>ÚNICO</w:t>
      </w:r>
      <w:r w:rsidRPr="009C0E80">
        <w:rPr>
          <w:rFonts w:ascii="Century Gothic" w:eastAsia="Century Gothic" w:hAnsi="Century Gothic" w:cs="Century Gothic"/>
          <w:b/>
        </w:rPr>
        <w:t xml:space="preserve">. </w:t>
      </w:r>
      <w:r w:rsidR="009C0E80" w:rsidRPr="009C0E80">
        <w:rPr>
          <w:rFonts w:ascii="Century Gothic" w:eastAsia="Century Gothic" w:hAnsi="Century Gothic" w:cs="Century Gothic"/>
          <w:bCs/>
        </w:rPr>
        <w:t>Se reforma el artículo 197-2 de la Ley Estatal de Derechos para quedar redactado de la siguiente manera:</w:t>
      </w:r>
    </w:p>
    <w:bookmarkEnd w:id="6"/>
    <w:p w14:paraId="3B0696CF" w14:textId="16AA2E14" w:rsidR="009C0E80" w:rsidRPr="009C0E80" w:rsidRDefault="009C0E80" w:rsidP="003E3EC0">
      <w:pPr>
        <w:spacing w:before="240" w:after="240" w:line="360" w:lineRule="auto"/>
        <w:ind w:left="720"/>
        <w:jc w:val="both"/>
        <w:rPr>
          <w:rFonts w:ascii="Century Gothic" w:eastAsia="Century Gothic" w:hAnsi="Century Gothic" w:cs="Century Gothic"/>
          <w:bCs/>
          <w:sz w:val="22"/>
          <w:szCs w:val="22"/>
        </w:rPr>
      </w:pPr>
      <w:r w:rsidRPr="009C0E80">
        <w:rPr>
          <w:rFonts w:ascii="Century Gothic" w:eastAsia="Century Gothic" w:hAnsi="Century Gothic" w:cs="Century Gothic"/>
          <w:b/>
          <w:sz w:val="22"/>
          <w:szCs w:val="22"/>
        </w:rPr>
        <w:t xml:space="preserve">Artículo 197-2. </w:t>
      </w:r>
      <w:r w:rsidRPr="009C0E80">
        <w:rPr>
          <w:rFonts w:ascii="Century Gothic" w:eastAsia="Century Gothic" w:hAnsi="Century Gothic" w:cs="Century Gothic"/>
          <w:bCs/>
          <w:sz w:val="22"/>
          <w:szCs w:val="22"/>
        </w:rPr>
        <w:t>Por los servicios prestados en los tramos carreteros Sueco- Villa Ahumada, Delicias-Conchos, Conchos-Camargo y Camargo- Jiménez y de carreteras de cuota estatal de los tramos carreteros señalados a continuación, se cobrarán las cuotas o tarifas establecidas en acuerdo que para tal efecto emita el Ejecutivo:</w:t>
      </w:r>
    </w:p>
    <w:p w14:paraId="06D46642"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I. Chihuahua-Sacramento.</w:t>
      </w:r>
    </w:p>
    <w:p w14:paraId="1D63AA66"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II. Ojo Laguna-Flores Magón.</w:t>
      </w:r>
    </w:p>
    <w:p w14:paraId="138CDC48"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III. Santa Isabel-Cuauhtémoc.</w:t>
      </w:r>
    </w:p>
    <w:p w14:paraId="1DEB65BD"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IV. Jiménez-Savalza.</w:t>
      </w:r>
    </w:p>
    <w:p w14:paraId="6AAAC43F"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V. Flores Magón-Galeana.</w:t>
      </w:r>
    </w:p>
    <w:p w14:paraId="343794C1" w14:textId="77777777" w:rsidR="009C0E80" w:rsidRPr="009C0E80" w:rsidRDefault="009C0E80" w:rsidP="009C0E80">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VI. Samalayuca-San Jerónimo.</w:t>
      </w:r>
    </w:p>
    <w:p w14:paraId="2199FAC5" w14:textId="3C296407" w:rsidR="009C0E80" w:rsidRPr="009C0E80" w:rsidRDefault="009C0E80" w:rsidP="00115D94">
      <w:pPr>
        <w:spacing w:before="240" w:after="240" w:line="360" w:lineRule="auto"/>
        <w:ind w:left="720" w:firstLine="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VII. Chihuahua-Ojinaga.</w:t>
      </w:r>
    </w:p>
    <w:p w14:paraId="5696F108" w14:textId="75517418" w:rsidR="009C0E80" w:rsidRPr="009C0E80" w:rsidRDefault="009C0E80" w:rsidP="003E3EC0">
      <w:pPr>
        <w:spacing w:before="240" w:after="240" w:line="360" w:lineRule="auto"/>
        <w:ind w:left="72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t>El costo de las tarifas se dará a conocer mediante acuerdo que para tal efecto publique el Ejecutivo en el Periódico Oficial del Estado; para el caso de las concesiones federales, se requerirá la autorización correspondiente por parte de la Secretaría de Infraestructura, Comunicaciones y</w:t>
      </w:r>
      <w:r>
        <w:rPr>
          <w:rFonts w:ascii="Century Gothic" w:eastAsia="Century Gothic" w:hAnsi="Century Gothic" w:cs="Century Gothic"/>
          <w:bCs/>
          <w:sz w:val="22"/>
          <w:szCs w:val="22"/>
        </w:rPr>
        <w:t xml:space="preserve"> </w:t>
      </w:r>
      <w:r w:rsidRPr="009C0E80">
        <w:rPr>
          <w:rFonts w:ascii="Century Gothic" w:eastAsia="Century Gothic" w:hAnsi="Century Gothic" w:cs="Century Gothic"/>
          <w:bCs/>
          <w:sz w:val="22"/>
          <w:szCs w:val="22"/>
        </w:rPr>
        <w:t>Transportes, en el supuesto del incremento en el costo de las tarifas de los tramos de carreteras de cuota concesionadas federal.</w:t>
      </w:r>
    </w:p>
    <w:p w14:paraId="44AC35D2" w14:textId="50DFBB59" w:rsidR="009C0E80" w:rsidRPr="009C0E80" w:rsidRDefault="009C0E80" w:rsidP="009C0E80">
      <w:pPr>
        <w:spacing w:before="240" w:after="240" w:line="360" w:lineRule="auto"/>
        <w:ind w:left="1440"/>
        <w:jc w:val="both"/>
        <w:rPr>
          <w:rFonts w:ascii="Century Gothic" w:eastAsia="Century Gothic" w:hAnsi="Century Gothic" w:cs="Century Gothic"/>
          <w:bCs/>
          <w:sz w:val="22"/>
          <w:szCs w:val="22"/>
        </w:rPr>
      </w:pPr>
      <w:r w:rsidRPr="009C0E80">
        <w:rPr>
          <w:rFonts w:ascii="Century Gothic" w:eastAsia="Century Gothic" w:hAnsi="Century Gothic" w:cs="Century Gothic"/>
          <w:bCs/>
          <w:sz w:val="22"/>
          <w:szCs w:val="22"/>
        </w:rPr>
        <w:lastRenderedPageBreak/>
        <w:t>Estos derechos se pagarán en las casetas de cobro de la Secretaría de Hacienda del Poder Ejecutivo del Estado de Chihuahua.</w:t>
      </w:r>
    </w:p>
    <w:p w14:paraId="1D999022" w14:textId="1E4A9913" w:rsidR="009C0E80" w:rsidRPr="009C0E80" w:rsidRDefault="009C0E80" w:rsidP="009C0E80">
      <w:pPr>
        <w:spacing w:before="240" w:after="240" w:line="360" w:lineRule="auto"/>
        <w:ind w:left="1440"/>
        <w:jc w:val="both"/>
        <w:rPr>
          <w:rFonts w:ascii="Century Gothic" w:eastAsia="Century Gothic" w:hAnsi="Century Gothic" w:cs="Century Gothic"/>
          <w:b/>
          <w:sz w:val="22"/>
          <w:szCs w:val="22"/>
        </w:rPr>
      </w:pPr>
      <w:bookmarkStart w:id="7" w:name="_Hlk227832796"/>
      <w:r w:rsidRPr="009C0E80">
        <w:rPr>
          <w:rFonts w:ascii="Century Gothic" w:eastAsia="Century Gothic" w:hAnsi="Century Gothic" w:cs="Century Gothic"/>
          <w:b/>
          <w:sz w:val="22"/>
          <w:szCs w:val="22"/>
        </w:rPr>
        <w:t>Se otorgará la exención total del pago de derechos de peaje</w:t>
      </w:r>
      <w:r>
        <w:rPr>
          <w:rFonts w:ascii="Century Gothic" w:eastAsia="Century Gothic" w:hAnsi="Century Gothic" w:cs="Century Gothic"/>
          <w:b/>
          <w:sz w:val="22"/>
          <w:szCs w:val="22"/>
        </w:rPr>
        <w:t xml:space="preserve"> </w:t>
      </w:r>
      <w:r w:rsidRPr="009C0E80">
        <w:rPr>
          <w:rFonts w:ascii="Century Gothic" w:eastAsia="Century Gothic" w:hAnsi="Century Gothic" w:cs="Century Gothic"/>
          <w:b/>
          <w:sz w:val="22"/>
          <w:szCs w:val="22"/>
        </w:rPr>
        <w:t>a las personas físicas</w:t>
      </w:r>
      <w:r>
        <w:rPr>
          <w:rFonts w:ascii="Century Gothic" w:eastAsia="Century Gothic" w:hAnsi="Century Gothic" w:cs="Century Gothic"/>
          <w:b/>
          <w:sz w:val="22"/>
          <w:szCs w:val="22"/>
        </w:rPr>
        <w:t xml:space="preserve"> y morales</w:t>
      </w:r>
      <w:r w:rsidRPr="009C0E80">
        <w:rPr>
          <w:rFonts w:ascii="Century Gothic" w:eastAsia="Century Gothic" w:hAnsi="Century Gothic" w:cs="Century Gothic"/>
          <w:b/>
          <w:sz w:val="22"/>
          <w:szCs w:val="22"/>
        </w:rPr>
        <w:t xml:space="preserve"> </w:t>
      </w:r>
      <w:r w:rsidR="009C2BCF">
        <w:rPr>
          <w:rFonts w:ascii="Century Gothic" w:eastAsia="Century Gothic" w:hAnsi="Century Gothic" w:cs="Century Gothic"/>
          <w:b/>
          <w:sz w:val="22"/>
          <w:szCs w:val="22"/>
        </w:rPr>
        <w:t>cuya actividad sea la</w:t>
      </w:r>
      <w:r w:rsidRPr="009C0E80">
        <w:rPr>
          <w:rFonts w:ascii="Century Gothic" w:eastAsia="Century Gothic" w:hAnsi="Century Gothic" w:cs="Century Gothic"/>
          <w:b/>
          <w:sz w:val="22"/>
          <w:szCs w:val="22"/>
        </w:rPr>
        <w:t xml:space="preserve"> produc</w:t>
      </w:r>
      <w:r w:rsidR="009C2BCF">
        <w:rPr>
          <w:rFonts w:ascii="Century Gothic" w:eastAsia="Century Gothic" w:hAnsi="Century Gothic" w:cs="Century Gothic"/>
          <w:b/>
          <w:sz w:val="22"/>
          <w:szCs w:val="22"/>
        </w:rPr>
        <w:t>ción</w:t>
      </w:r>
      <w:r w:rsidRPr="009C0E80">
        <w:rPr>
          <w:rFonts w:ascii="Century Gothic" w:eastAsia="Century Gothic" w:hAnsi="Century Gothic" w:cs="Century Gothic"/>
          <w:b/>
          <w:sz w:val="22"/>
          <w:szCs w:val="22"/>
        </w:rPr>
        <w:t xml:space="preserve"> </w:t>
      </w:r>
      <w:r w:rsidR="007C6A7C">
        <w:rPr>
          <w:rFonts w:ascii="Century Gothic" w:eastAsia="Century Gothic" w:hAnsi="Century Gothic" w:cs="Century Gothic"/>
          <w:b/>
          <w:sz w:val="22"/>
          <w:szCs w:val="22"/>
        </w:rPr>
        <w:t xml:space="preserve">y transporte </w:t>
      </w:r>
      <w:r w:rsidRPr="009C0E80">
        <w:rPr>
          <w:rFonts w:ascii="Century Gothic" w:eastAsia="Century Gothic" w:hAnsi="Century Gothic" w:cs="Century Gothic"/>
          <w:b/>
          <w:sz w:val="22"/>
          <w:szCs w:val="22"/>
        </w:rPr>
        <w:t>de productos agropecuarios</w:t>
      </w:r>
      <w:r w:rsidR="007C6A7C">
        <w:rPr>
          <w:rFonts w:ascii="Century Gothic" w:eastAsia="Century Gothic" w:hAnsi="Century Gothic" w:cs="Century Gothic"/>
          <w:b/>
          <w:sz w:val="22"/>
          <w:szCs w:val="22"/>
        </w:rPr>
        <w:t xml:space="preserve">, así como a los </w:t>
      </w:r>
      <w:r w:rsidRPr="009C0E80">
        <w:rPr>
          <w:rFonts w:ascii="Century Gothic" w:eastAsia="Century Gothic" w:hAnsi="Century Gothic" w:cs="Century Gothic"/>
          <w:b/>
          <w:sz w:val="22"/>
          <w:szCs w:val="22"/>
        </w:rPr>
        <w:t>vehículos de uso estrictamente ag</w:t>
      </w:r>
      <w:r w:rsidR="007C6A7C">
        <w:rPr>
          <w:rFonts w:ascii="Century Gothic" w:eastAsia="Century Gothic" w:hAnsi="Century Gothic" w:cs="Century Gothic"/>
          <w:b/>
          <w:sz w:val="22"/>
          <w:szCs w:val="22"/>
        </w:rPr>
        <w:t>rícola</w:t>
      </w:r>
      <w:r w:rsidRPr="009C0E80">
        <w:rPr>
          <w:rFonts w:ascii="Century Gothic" w:eastAsia="Century Gothic" w:hAnsi="Century Gothic" w:cs="Century Gothic"/>
          <w:b/>
          <w:sz w:val="22"/>
          <w:szCs w:val="22"/>
        </w:rPr>
        <w:t xml:space="preserve">, en los términos y condiciones que establezca el </w:t>
      </w:r>
      <w:r w:rsidR="009C2BCF">
        <w:rPr>
          <w:rFonts w:ascii="Century Gothic" w:eastAsia="Century Gothic" w:hAnsi="Century Gothic" w:cs="Century Gothic"/>
          <w:b/>
          <w:sz w:val="22"/>
          <w:szCs w:val="22"/>
        </w:rPr>
        <w:t>a</w:t>
      </w:r>
      <w:r w:rsidRPr="009C0E80">
        <w:rPr>
          <w:rFonts w:ascii="Century Gothic" w:eastAsia="Century Gothic" w:hAnsi="Century Gothic" w:cs="Century Gothic"/>
          <w:b/>
          <w:sz w:val="22"/>
          <w:szCs w:val="22"/>
        </w:rPr>
        <w:t>cuerdo correspondiente.</w:t>
      </w:r>
    </w:p>
    <w:p w14:paraId="273B2FD6" w14:textId="064F3F7F" w:rsidR="009C0E80" w:rsidRPr="009C0E80" w:rsidRDefault="009C0E80" w:rsidP="009C0E80">
      <w:pPr>
        <w:spacing w:before="240" w:after="240" w:line="360" w:lineRule="auto"/>
        <w:ind w:left="1440"/>
        <w:jc w:val="both"/>
        <w:rPr>
          <w:rFonts w:ascii="Century Gothic" w:eastAsia="Century Gothic" w:hAnsi="Century Gothic" w:cs="Century Gothic"/>
          <w:b/>
          <w:sz w:val="22"/>
          <w:szCs w:val="22"/>
        </w:rPr>
      </w:pPr>
      <w:r w:rsidRPr="009C0E80">
        <w:rPr>
          <w:rFonts w:ascii="Century Gothic" w:eastAsia="Century Gothic" w:hAnsi="Century Gothic" w:cs="Century Gothic"/>
          <w:b/>
          <w:sz w:val="22"/>
          <w:szCs w:val="22"/>
        </w:rPr>
        <w:t>Para la aplicación de la exención prevista en el párrafo anterior,</w:t>
      </w:r>
      <w:r>
        <w:rPr>
          <w:rFonts w:ascii="Century Gothic" w:eastAsia="Century Gothic" w:hAnsi="Century Gothic" w:cs="Century Gothic"/>
          <w:b/>
          <w:sz w:val="22"/>
          <w:szCs w:val="22"/>
        </w:rPr>
        <w:t xml:space="preserve"> y a efecto de integrar un </w:t>
      </w:r>
      <w:r w:rsidR="007C6A7C">
        <w:rPr>
          <w:rFonts w:ascii="Century Gothic" w:eastAsia="Century Gothic" w:hAnsi="Century Gothic" w:cs="Century Gothic"/>
          <w:b/>
          <w:sz w:val="22"/>
          <w:szCs w:val="22"/>
        </w:rPr>
        <w:t xml:space="preserve">registro </w:t>
      </w:r>
      <w:r>
        <w:rPr>
          <w:rFonts w:ascii="Century Gothic" w:eastAsia="Century Gothic" w:hAnsi="Century Gothic" w:cs="Century Gothic"/>
          <w:b/>
          <w:sz w:val="22"/>
          <w:szCs w:val="22"/>
        </w:rPr>
        <w:t>único de beneficiarios, las secretarías estatales de Hacienda y de Desarrollo Rural, se coordinarán para integrar</w:t>
      </w:r>
      <w:r w:rsidR="007C6A7C">
        <w:rPr>
          <w:rFonts w:ascii="Century Gothic" w:eastAsia="Century Gothic" w:hAnsi="Century Gothic" w:cs="Century Gothic"/>
          <w:b/>
          <w:sz w:val="22"/>
          <w:szCs w:val="22"/>
        </w:rPr>
        <w:t xml:space="preserve">, </w:t>
      </w:r>
      <w:r>
        <w:rPr>
          <w:rFonts w:ascii="Century Gothic" w:eastAsia="Century Gothic" w:hAnsi="Century Gothic" w:cs="Century Gothic"/>
          <w:b/>
          <w:sz w:val="22"/>
          <w:szCs w:val="22"/>
        </w:rPr>
        <w:t xml:space="preserve">validar y actualizar </w:t>
      </w:r>
      <w:r w:rsidR="007C6A7C">
        <w:rPr>
          <w:rFonts w:ascii="Century Gothic" w:eastAsia="Century Gothic" w:hAnsi="Century Gothic" w:cs="Century Gothic"/>
          <w:b/>
          <w:sz w:val="22"/>
          <w:szCs w:val="22"/>
        </w:rPr>
        <w:t xml:space="preserve">la información disponible </w:t>
      </w:r>
      <w:r>
        <w:rPr>
          <w:rFonts w:ascii="Century Gothic" w:eastAsia="Century Gothic" w:hAnsi="Century Gothic" w:cs="Century Gothic"/>
          <w:b/>
          <w:sz w:val="22"/>
          <w:szCs w:val="22"/>
        </w:rPr>
        <w:t>ya existente, tal como el Padrón Único de Productores del Estado</w:t>
      </w:r>
      <w:r w:rsidR="007C6A7C">
        <w:rPr>
          <w:rFonts w:ascii="Century Gothic" w:eastAsia="Century Gothic" w:hAnsi="Century Gothic" w:cs="Century Gothic"/>
          <w:b/>
          <w:sz w:val="22"/>
          <w:szCs w:val="22"/>
        </w:rPr>
        <w:t>,</w:t>
      </w:r>
      <w:r>
        <w:rPr>
          <w:rFonts w:ascii="Century Gothic" w:eastAsia="Century Gothic" w:hAnsi="Century Gothic" w:cs="Century Gothic"/>
          <w:b/>
          <w:sz w:val="22"/>
          <w:szCs w:val="22"/>
        </w:rPr>
        <w:t xml:space="preserve"> a fin de garantizar la </w:t>
      </w:r>
      <w:r w:rsidRPr="009C0E80">
        <w:rPr>
          <w:rFonts w:ascii="Century Gothic" w:eastAsia="Century Gothic" w:hAnsi="Century Gothic" w:cs="Century Gothic"/>
          <w:b/>
          <w:sz w:val="22"/>
          <w:szCs w:val="22"/>
        </w:rPr>
        <w:t xml:space="preserve">operabilidad, </w:t>
      </w:r>
      <w:r>
        <w:rPr>
          <w:rFonts w:ascii="Century Gothic" w:eastAsia="Century Gothic" w:hAnsi="Century Gothic" w:cs="Century Gothic"/>
          <w:b/>
          <w:sz w:val="22"/>
          <w:szCs w:val="22"/>
        </w:rPr>
        <w:t xml:space="preserve">la </w:t>
      </w:r>
      <w:r w:rsidRPr="009C0E80">
        <w:rPr>
          <w:rFonts w:ascii="Century Gothic" w:eastAsia="Century Gothic" w:hAnsi="Century Gothic" w:cs="Century Gothic"/>
          <w:b/>
          <w:sz w:val="22"/>
          <w:szCs w:val="22"/>
        </w:rPr>
        <w:t xml:space="preserve">verificación en tiempo real y </w:t>
      </w:r>
      <w:r>
        <w:rPr>
          <w:rFonts w:ascii="Century Gothic" w:eastAsia="Century Gothic" w:hAnsi="Century Gothic" w:cs="Century Gothic"/>
          <w:b/>
          <w:sz w:val="22"/>
          <w:szCs w:val="22"/>
        </w:rPr>
        <w:t xml:space="preserve">la </w:t>
      </w:r>
      <w:r w:rsidRPr="009C0E80">
        <w:rPr>
          <w:rFonts w:ascii="Century Gothic" w:eastAsia="Century Gothic" w:hAnsi="Century Gothic" w:cs="Century Gothic"/>
          <w:b/>
          <w:sz w:val="22"/>
          <w:szCs w:val="22"/>
        </w:rPr>
        <w:t>protección de datos personales.</w:t>
      </w:r>
    </w:p>
    <w:p w14:paraId="1B48948D" w14:textId="170A2898" w:rsidR="009C0E80" w:rsidRPr="009C0E80" w:rsidRDefault="009C0E80" w:rsidP="00BC7B52">
      <w:pPr>
        <w:spacing w:before="240" w:after="240" w:line="360" w:lineRule="auto"/>
        <w:ind w:left="1440"/>
        <w:jc w:val="both"/>
        <w:rPr>
          <w:rFonts w:ascii="Century Gothic" w:eastAsia="Century Gothic" w:hAnsi="Century Gothic" w:cs="Century Gothic"/>
          <w:b/>
          <w:sz w:val="22"/>
          <w:szCs w:val="22"/>
        </w:rPr>
      </w:pPr>
      <w:r w:rsidRPr="009C0E80">
        <w:rPr>
          <w:rFonts w:ascii="Century Gothic" w:eastAsia="Century Gothic" w:hAnsi="Century Gothic" w:cs="Century Gothic"/>
          <w:b/>
          <w:sz w:val="22"/>
          <w:szCs w:val="22"/>
        </w:rPr>
        <w:t xml:space="preserve">El costo de dicha exención será cubierto mediante una partida presupuestal específica, la cual se financiará con los remanentes de operación del </w:t>
      </w:r>
      <w:r w:rsidR="00E00094">
        <w:rPr>
          <w:rFonts w:ascii="Century Gothic" w:eastAsia="Century Gothic" w:hAnsi="Century Gothic" w:cs="Century Gothic"/>
          <w:b/>
          <w:sz w:val="22"/>
          <w:szCs w:val="22"/>
        </w:rPr>
        <w:t>f</w:t>
      </w:r>
      <w:r w:rsidRPr="009C0E80">
        <w:rPr>
          <w:rFonts w:ascii="Century Gothic" w:eastAsia="Century Gothic" w:hAnsi="Century Gothic" w:cs="Century Gothic"/>
          <w:b/>
          <w:sz w:val="22"/>
          <w:szCs w:val="22"/>
        </w:rPr>
        <w:t xml:space="preserve">ideicomiso </w:t>
      </w:r>
      <w:r w:rsidR="00E00094">
        <w:rPr>
          <w:rFonts w:ascii="Century Gothic" w:eastAsia="Century Gothic" w:hAnsi="Century Gothic" w:cs="Century Gothic"/>
          <w:b/>
          <w:sz w:val="22"/>
          <w:szCs w:val="22"/>
        </w:rPr>
        <w:t>c</w:t>
      </w:r>
      <w:r w:rsidRPr="009C0E80">
        <w:rPr>
          <w:rFonts w:ascii="Century Gothic" w:eastAsia="Century Gothic" w:hAnsi="Century Gothic" w:cs="Century Gothic"/>
          <w:b/>
          <w:sz w:val="22"/>
          <w:szCs w:val="22"/>
        </w:rPr>
        <w:t>arretero estatal, garantizando en todo momento el cumplimiento de las obligaciones financieras vinculadas a la bursatilización.</w:t>
      </w:r>
      <w:r w:rsidR="00F401BF">
        <w:rPr>
          <w:rFonts w:ascii="Century Gothic" w:eastAsia="Century Gothic" w:hAnsi="Century Gothic" w:cs="Century Gothic"/>
          <w:b/>
          <w:sz w:val="22"/>
          <w:szCs w:val="22"/>
        </w:rPr>
        <w:t xml:space="preserve">  </w:t>
      </w:r>
    </w:p>
    <w:p w14:paraId="709B5A8C" w14:textId="4A779361" w:rsidR="009C0E80" w:rsidRDefault="009C0E80" w:rsidP="009C0E80">
      <w:pPr>
        <w:spacing w:before="240" w:after="240" w:line="360" w:lineRule="auto"/>
        <w:jc w:val="center"/>
        <w:rPr>
          <w:rFonts w:ascii="Century Gothic" w:eastAsia="Century Gothic" w:hAnsi="Century Gothic" w:cs="Century Gothic"/>
          <w:b/>
          <w:bCs/>
          <w:highlight w:val="white"/>
          <w:lang w:val="en-US"/>
        </w:rPr>
      </w:pPr>
      <w:r w:rsidRPr="007241A6">
        <w:rPr>
          <w:rFonts w:ascii="Century Gothic" w:eastAsia="Century Gothic" w:hAnsi="Century Gothic" w:cs="Century Gothic"/>
          <w:b/>
          <w:bCs/>
          <w:highlight w:val="white"/>
          <w:lang w:val="en-US"/>
        </w:rPr>
        <w:t>T R A N S I T O R I O S.</w:t>
      </w:r>
    </w:p>
    <w:p w14:paraId="0B3A75E2" w14:textId="7A2C96E3" w:rsidR="009C0E80" w:rsidRPr="009C0E80" w:rsidRDefault="009C0E80" w:rsidP="009C0E80">
      <w:pPr>
        <w:spacing w:before="240" w:after="240" w:line="360" w:lineRule="auto"/>
        <w:jc w:val="both"/>
        <w:rPr>
          <w:rFonts w:ascii="Century Gothic" w:eastAsia="Century Gothic" w:hAnsi="Century Gothic" w:cs="Century Gothic"/>
          <w:bCs/>
        </w:rPr>
      </w:pPr>
      <w:r w:rsidRPr="009C0E80">
        <w:rPr>
          <w:rFonts w:ascii="Century Gothic" w:eastAsia="Century Gothic" w:hAnsi="Century Gothic" w:cs="Century Gothic"/>
          <w:b/>
        </w:rPr>
        <w:t xml:space="preserve">PRIMERO. </w:t>
      </w:r>
      <w:r w:rsidRPr="009C0E80">
        <w:rPr>
          <w:rFonts w:ascii="Century Gothic" w:eastAsia="Century Gothic" w:hAnsi="Century Gothic" w:cs="Century Gothic"/>
          <w:bCs/>
        </w:rPr>
        <w:t>El presente decreto entrará en vigor al día siguiente de su publicación en el Periódico Oficial del Estado.</w:t>
      </w:r>
    </w:p>
    <w:p w14:paraId="18660CE2" w14:textId="4FC894BD" w:rsidR="009C0E80" w:rsidRPr="009C0E80" w:rsidRDefault="009C0E80" w:rsidP="009C0E80">
      <w:pPr>
        <w:spacing w:before="240" w:after="240" w:line="360" w:lineRule="auto"/>
        <w:jc w:val="both"/>
        <w:rPr>
          <w:rFonts w:ascii="Century Gothic" w:eastAsia="Century Gothic" w:hAnsi="Century Gothic" w:cs="Century Gothic"/>
          <w:bCs/>
        </w:rPr>
      </w:pPr>
      <w:r w:rsidRPr="009C0E80">
        <w:rPr>
          <w:rFonts w:ascii="Century Gothic" w:eastAsia="Century Gothic" w:hAnsi="Century Gothic" w:cs="Century Gothic"/>
          <w:b/>
        </w:rPr>
        <w:lastRenderedPageBreak/>
        <w:t xml:space="preserve">SEGUNDO. </w:t>
      </w:r>
      <w:r w:rsidRPr="009C0E80">
        <w:rPr>
          <w:rFonts w:ascii="Century Gothic" w:eastAsia="Century Gothic" w:hAnsi="Century Gothic" w:cs="Century Gothic"/>
          <w:bCs/>
        </w:rPr>
        <w:t xml:space="preserve">La Secretaría de Hacienda emitirá, dentro de los treinta días naturales siguientes a la entrada en vigor del presente decreto, el acuerdo correspondiente que contemple los requisitos, procedimiento de inscripción, mecanismos de verificación en caseta, así como las posibles sanciones por uso indebido del beneficio. </w:t>
      </w:r>
    </w:p>
    <w:p w14:paraId="1E08F24D" w14:textId="4787724A" w:rsidR="009C0E80" w:rsidRPr="009C0E80" w:rsidRDefault="009C0E80" w:rsidP="009C0E80">
      <w:pPr>
        <w:spacing w:before="240" w:after="240" w:line="360" w:lineRule="auto"/>
        <w:jc w:val="both"/>
        <w:rPr>
          <w:rFonts w:ascii="Century Gothic" w:eastAsia="Century Gothic" w:hAnsi="Century Gothic" w:cs="Century Gothic"/>
          <w:bCs/>
        </w:rPr>
      </w:pPr>
      <w:r w:rsidRPr="009C0E80">
        <w:rPr>
          <w:rFonts w:ascii="Century Gothic" w:eastAsia="Century Gothic" w:hAnsi="Century Gothic" w:cs="Century Gothic"/>
          <w:bCs/>
        </w:rPr>
        <w:t>El Acuerdo en mención se publicará en el Periódico Oficial del Estado y será de observancia obligatoria.</w:t>
      </w:r>
    </w:p>
    <w:p w14:paraId="3712CAB4" w14:textId="5CFEEE40" w:rsidR="002877F0" w:rsidRPr="009C0E80" w:rsidRDefault="009C0E80" w:rsidP="009C0E80">
      <w:pPr>
        <w:spacing w:before="240" w:after="240" w:line="360" w:lineRule="auto"/>
        <w:jc w:val="both"/>
        <w:rPr>
          <w:rFonts w:ascii="Century Gothic" w:eastAsia="Century Gothic" w:hAnsi="Century Gothic" w:cs="Century Gothic"/>
          <w:bCs/>
        </w:rPr>
      </w:pPr>
      <w:r w:rsidRPr="009C0E80">
        <w:rPr>
          <w:rFonts w:ascii="Century Gothic" w:eastAsia="Century Gothic" w:hAnsi="Century Gothic" w:cs="Century Gothic"/>
          <w:b/>
        </w:rPr>
        <w:t xml:space="preserve">ECONOMICO. </w:t>
      </w:r>
      <w:r w:rsidRPr="009C0E80">
        <w:rPr>
          <w:rFonts w:ascii="Century Gothic" w:eastAsia="Century Gothic" w:hAnsi="Century Gothic" w:cs="Century Gothic"/>
          <w:bCs/>
        </w:rPr>
        <w:t>Aprobado que sea, túrnese a la Secretaría de Asuntos Legislativos para que se elabore la Minuta de Decreto en los términos en los que deba publicarse.</w:t>
      </w:r>
    </w:p>
    <w:p w14:paraId="3B06F40D" w14:textId="77777777" w:rsidR="009C0E80" w:rsidRPr="009C0E80" w:rsidRDefault="009C0E80" w:rsidP="009C0E80">
      <w:pPr>
        <w:spacing w:before="240" w:after="240" w:line="360" w:lineRule="auto"/>
        <w:ind w:left="720"/>
        <w:jc w:val="both"/>
        <w:rPr>
          <w:rFonts w:ascii="Century Gothic" w:eastAsia="Century Gothic" w:hAnsi="Century Gothic" w:cs="Century Gothic"/>
          <w:bCs/>
          <w:sz w:val="22"/>
          <w:szCs w:val="22"/>
        </w:rPr>
      </w:pPr>
    </w:p>
    <w:p w14:paraId="04A35059" w14:textId="0325F6FF" w:rsidR="00C24B2F" w:rsidRDefault="00C24B2F" w:rsidP="00C24B2F">
      <w:pPr>
        <w:spacing w:before="240" w:after="240" w:line="360" w:lineRule="auto"/>
        <w:jc w:val="both"/>
        <w:rPr>
          <w:rFonts w:ascii="Century Gothic" w:eastAsia="Century Gothic" w:hAnsi="Century Gothic" w:cs="Century Gothic"/>
        </w:rPr>
      </w:pPr>
      <w:r>
        <w:rPr>
          <w:rFonts w:ascii="Century Gothic" w:eastAsia="Century Gothic" w:hAnsi="Century Gothic" w:cs="Century Gothic"/>
          <w:b/>
        </w:rPr>
        <w:t>D A D O</w:t>
      </w:r>
      <w:r>
        <w:rPr>
          <w:rFonts w:ascii="Century Gothic" w:eastAsia="Century Gothic" w:hAnsi="Century Gothic" w:cs="Century Gothic"/>
        </w:rPr>
        <w:t xml:space="preserve"> en el Salón de Sesiones del Poder Legislativo en la Ciudad de Chihuahua, Chih., a los </w:t>
      </w:r>
      <w:r w:rsidR="009C0E80">
        <w:rPr>
          <w:rFonts w:ascii="Century Gothic" w:eastAsia="Century Gothic" w:hAnsi="Century Gothic" w:cs="Century Gothic"/>
        </w:rPr>
        <w:t>2</w:t>
      </w:r>
      <w:r w:rsidR="001C2F23">
        <w:rPr>
          <w:rFonts w:ascii="Century Gothic" w:eastAsia="Century Gothic" w:hAnsi="Century Gothic" w:cs="Century Gothic"/>
        </w:rPr>
        <w:t>8</w:t>
      </w:r>
      <w:r>
        <w:rPr>
          <w:rFonts w:ascii="Century Gothic" w:eastAsia="Century Gothic" w:hAnsi="Century Gothic" w:cs="Century Gothic"/>
        </w:rPr>
        <w:t xml:space="preserve"> días del mes de </w:t>
      </w:r>
      <w:r w:rsidR="009C0E80">
        <w:rPr>
          <w:rFonts w:ascii="Century Gothic" w:eastAsia="Century Gothic" w:hAnsi="Century Gothic" w:cs="Century Gothic"/>
        </w:rPr>
        <w:t>abril</w:t>
      </w:r>
      <w:r>
        <w:rPr>
          <w:rFonts w:ascii="Century Gothic" w:eastAsia="Century Gothic" w:hAnsi="Century Gothic" w:cs="Century Gothic"/>
          <w:b/>
        </w:rPr>
        <w:t xml:space="preserve"> </w:t>
      </w:r>
      <w:r>
        <w:rPr>
          <w:rFonts w:ascii="Century Gothic" w:eastAsia="Century Gothic" w:hAnsi="Century Gothic" w:cs="Century Gothic"/>
        </w:rPr>
        <w:t xml:space="preserve">del año dos mil </w:t>
      </w:r>
      <w:r w:rsidR="009C0E80">
        <w:rPr>
          <w:rFonts w:ascii="Century Gothic" w:eastAsia="Century Gothic" w:hAnsi="Century Gothic" w:cs="Century Gothic"/>
        </w:rPr>
        <w:t>veintiséis</w:t>
      </w:r>
      <w:r>
        <w:rPr>
          <w:rFonts w:ascii="Century Gothic" w:eastAsia="Century Gothic" w:hAnsi="Century Gothic" w:cs="Century Gothic"/>
        </w:rPr>
        <w:t xml:space="preserve">. </w:t>
      </w:r>
    </w:p>
    <w:bookmarkEnd w:id="7"/>
    <w:p w14:paraId="1C344F43" w14:textId="77777777" w:rsidR="00551440" w:rsidRDefault="006A0F6D">
      <w:pPr>
        <w:jc w:val="center"/>
        <w:rPr>
          <w:rFonts w:ascii="Century Gothic" w:eastAsia="Century Gothic" w:hAnsi="Century Gothic" w:cs="Century Gothic"/>
          <w:b/>
        </w:rPr>
      </w:pPr>
      <w:r>
        <w:rPr>
          <w:rFonts w:ascii="Century Gothic" w:eastAsia="Century Gothic" w:hAnsi="Century Gothic" w:cs="Century Gothic"/>
          <w:b/>
        </w:rPr>
        <w:t>ATENTAMENTE,</w:t>
      </w:r>
    </w:p>
    <w:p w14:paraId="1DD17A2F" w14:textId="4A0969DD" w:rsidR="00551440" w:rsidRDefault="00551440">
      <w:pPr>
        <w:jc w:val="center"/>
        <w:rPr>
          <w:rFonts w:ascii="Century Gothic" w:eastAsia="Century Gothic" w:hAnsi="Century Gothic" w:cs="Century Gothic"/>
          <w:b/>
        </w:rPr>
      </w:pPr>
    </w:p>
    <w:p w14:paraId="662F20DE" w14:textId="390CDFD5" w:rsidR="00444252" w:rsidRDefault="00444252">
      <w:pPr>
        <w:jc w:val="center"/>
        <w:rPr>
          <w:rFonts w:ascii="Century Gothic" w:eastAsia="Century Gothic" w:hAnsi="Century Gothic" w:cs="Century Gothic"/>
          <w:b/>
        </w:rPr>
      </w:pPr>
    </w:p>
    <w:p w14:paraId="3DF3B988" w14:textId="77777777" w:rsidR="00444252" w:rsidRDefault="00444252">
      <w:pPr>
        <w:jc w:val="center"/>
        <w:rPr>
          <w:rFonts w:ascii="Century Gothic" w:eastAsia="Century Gothic" w:hAnsi="Century Gothic" w:cs="Century Gothic"/>
          <w:b/>
        </w:rPr>
      </w:pPr>
    </w:p>
    <w:p w14:paraId="08492370" w14:textId="77777777" w:rsidR="00551440" w:rsidRDefault="00551440">
      <w:pPr>
        <w:jc w:val="center"/>
        <w:rPr>
          <w:rFonts w:ascii="Century Gothic" w:eastAsia="Century Gothic" w:hAnsi="Century Gothic" w:cs="Century Gothic"/>
          <w:b/>
        </w:rPr>
      </w:pPr>
    </w:p>
    <w:p w14:paraId="78E1224D" w14:textId="77777777" w:rsidR="00551440" w:rsidRDefault="006A0F6D">
      <w:pPr>
        <w:jc w:val="center"/>
        <w:rPr>
          <w:rFonts w:ascii="Century Gothic" w:eastAsia="Century Gothic" w:hAnsi="Century Gothic" w:cs="Century Gothic"/>
          <w:b/>
        </w:rPr>
      </w:pPr>
      <w:r>
        <w:rPr>
          <w:rFonts w:ascii="Century Gothic" w:eastAsia="Century Gothic" w:hAnsi="Century Gothic" w:cs="Century Gothic"/>
          <w:b/>
        </w:rPr>
        <w:t>DIP. OSCAR DANIEL AVITIA ARELLANES.</w:t>
      </w:r>
    </w:p>
    <w:p w14:paraId="6FEDE106" w14:textId="77777777" w:rsidR="00551440" w:rsidRDefault="00551440">
      <w:pPr>
        <w:rPr>
          <w:rFonts w:ascii="Century Gothic" w:eastAsia="Century Gothic" w:hAnsi="Century Gothic" w:cs="Century Gothic"/>
          <w:b/>
        </w:rPr>
      </w:pPr>
    </w:p>
    <w:tbl>
      <w:tblPr>
        <w:tblStyle w:val="a0"/>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551440" w14:paraId="5CE56C3D"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13DEA987"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601A6DBE"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70F0F9B9"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67A91708"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Magdalena Rentería Pérez</w:t>
            </w:r>
          </w:p>
        </w:tc>
      </w:tr>
      <w:tr w:rsidR="00551440" w14:paraId="50B6F337"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876544C"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lastRenderedPageBreak/>
              <w:t xml:space="preserve"> </w:t>
            </w:r>
          </w:p>
          <w:p w14:paraId="1E8CD648" w14:textId="77777777"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Brenda Francisca Ríos Prieto</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1C054680"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116E54C6" w14:textId="41D312A4"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Dip. Elizabeth </w:t>
            </w:r>
            <w:r w:rsidR="00380A4B">
              <w:rPr>
                <w:rFonts w:ascii="Century Gothic" w:eastAsia="Century Gothic" w:hAnsi="Century Gothic" w:cs="Century Gothic"/>
                <w:b/>
                <w:shd w:val="clear" w:color="auto" w:fill="FEFFFF"/>
              </w:rPr>
              <w:t>Guzmán</w:t>
            </w:r>
            <w:r>
              <w:rPr>
                <w:rFonts w:ascii="Century Gothic" w:eastAsia="Century Gothic" w:hAnsi="Century Gothic" w:cs="Century Gothic"/>
                <w:b/>
                <w:shd w:val="clear" w:color="auto" w:fill="FEFFFF"/>
              </w:rPr>
              <w:t xml:space="preserve"> Argueta</w:t>
            </w:r>
          </w:p>
        </w:tc>
      </w:tr>
      <w:tr w:rsidR="00551440" w14:paraId="0AA6018C"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59D632B"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51F22876" w14:textId="77777777"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207076A"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72B45176"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Herminia Gómez Carrasco</w:t>
            </w:r>
          </w:p>
        </w:tc>
      </w:tr>
      <w:tr w:rsidR="00551440" w14:paraId="45357C28"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D961E12"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230C5396" w14:textId="2006198B"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Dip. Leticia Ortega </w:t>
            </w:r>
            <w:r w:rsidR="00380A4B">
              <w:rPr>
                <w:rFonts w:ascii="Century Gothic" w:eastAsia="Century Gothic" w:hAnsi="Century Gothic" w:cs="Century Gothic"/>
                <w:b/>
                <w:shd w:val="clear" w:color="auto" w:fill="FEFFFF"/>
              </w:rPr>
              <w:t>Máynez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2AEF5A11"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3B5EF6F9"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María Antonieta Pérez Reyes</w:t>
            </w:r>
          </w:p>
        </w:tc>
      </w:tr>
      <w:tr w:rsidR="00551440" w14:paraId="69257EA5"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FE8F23C"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16A1AA43" w14:textId="77777777"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30D843C" w14:textId="77777777" w:rsidR="00551440" w:rsidRDefault="006A0F6D">
            <w:pPr>
              <w:spacing w:before="240" w:after="12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p w14:paraId="4896DEF8" w14:textId="77777777"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Dip. Pedro Torres Estrada</w:t>
            </w:r>
          </w:p>
          <w:p w14:paraId="5EF49C85" w14:textId="77777777" w:rsidR="00551440" w:rsidRDefault="006A0F6D">
            <w:pPr>
              <w:spacing w:before="240" w:after="240" w:line="360" w:lineRule="auto"/>
              <w:jc w:val="center"/>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 xml:space="preserve"> </w:t>
            </w:r>
          </w:p>
        </w:tc>
      </w:tr>
      <w:tr w:rsidR="00551440" w14:paraId="4B5830F9"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E786219" w14:textId="77777777" w:rsidR="00551440" w:rsidRDefault="006A0F6D">
            <w:pPr>
              <w:spacing w:before="240" w:after="120" w:line="360" w:lineRule="auto"/>
              <w:rPr>
                <w:rFonts w:ascii="Century Gothic" w:eastAsia="Century Gothic" w:hAnsi="Century Gothic" w:cs="Century Gothic"/>
                <w:b/>
                <w:shd w:val="clear" w:color="auto" w:fill="FEFFFF"/>
              </w:rPr>
            </w:pPr>
            <w:r>
              <w:rPr>
                <w:rFonts w:ascii="Century Gothic" w:eastAsia="Century Gothic" w:hAnsi="Century Gothic" w:cs="Century Gothic"/>
                <w:b/>
                <w:shd w:val="clear" w:color="auto" w:fill="FEFFFF"/>
              </w:rPr>
              <w:t>Dip. Rosana Díaz Reyes</w:t>
            </w:r>
          </w:p>
        </w:tc>
      </w:tr>
    </w:tbl>
    <w:p w14:paraId="115B9CC6" w14:textId="77777777" w:rsidR="00551440" w:rsidRDefault="00551440">
      <w:pPr>
        <w:jc w:val="center"/>
        <w:rPr>
          <w:rFonts w:ascii="Century Gothic" w:eastAsia="Century Gothic" w:hAnsi="Century Gothic" w:cs="Century Gothic"/>
          <w:b/>
        </w:rPr>
      </w:pPr>
    </w:p>
    <w:p w14:paraId="029A0304" w14:textId="77777777" w:rsidR="00551440" w:rsidRDefault="00551440">
      <w:pPr>
        <w:spacing w:after="240"/>
        <w:rPr>
          <w:rFonts w:ascii="Century Gothic" w:eastAsia="Century Gothic" w:hAnsi="Century Gothic" w:cs="Century Gothic"/>
        </w:rPr>
      </w:pPr>
    </w:p>
    <w:p w14:paraId="697274EF" w14:textId="77777777" w:rsidR="00551440" w:rsidRDefault="00551440">
      <w:pPr>
        <w:spacing w:after="240"/>
        <w:rPr>
          <w:rFonts w:ascii="Century Gothic" w:eastAsia="Century Gothic" w:hAnsi="Century Gothic" w:cs="Century Gothic"/>
        </w:rPr>
      </w:pPr>
    </w:p>
    <w:p w14:paraId="66FCF5C7" w14:textId="77777777" w:rsidR="00551440" w:rsidRDefault="006A0F6D">
      <w:pPr>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 </w:t>
      </w:r>
    </w:p>
    <w:sectPr w:rsidR="00551440" w:rsidSect="005819DD">
      <w:headerReference w:type="default" r:id="rId9"/>
      <w:footerReference w:type="default" r:id="rId10"/>
      <w:pgSz w:w="12240" w:h="15840"/>
      <w:pgMar w:top="2835"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5BC90" w14:textId="77777777" w:rsidR="002E1F8D" w:rsidRDefault="002E1F8D">
      <w:r>
        <w:separator/>
      </w:r>
    </w:p>
  </w:endnote>
  <w:endnote w:type="continuationSeparator" w:id="0">
    <w:p w14:paraId="7F3592DB" w14:textId="77777777" w:rsidR="002E1F8D" w:rsidRDefault="002E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9AB4F2-A17A-46AF-A8DF-95A958A994EB}"/>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2" w:fontKey="{9807EBD9-6B53-4698-9542-21B2619BA863}"/>
  </w:font>
  <w:font w:name="Segoe UI">
    <w:panose1 w:val="020B0502040204020203"/>
    <w:charset w:val="00"/>
    <w:family w:val="swiss"/>
    <w:pitch w:val="variable"/>
    <w:sig w:usb0="E4002EFF" w:usb1="C000E47F" w:usb2="00000009" w:usb3="00000000" w:csb0="000001FF" w:csb1="00000000"/>
    <w:embedRegular r:id="rId3" w:fontKey="{BFBF788B-7337-4FD1-AD77-6134F797633F}"/>
  </w:font>
  <w:font w:name="Georgia">
    <w:panose1 w:val="02040502050405020303"/>
    <w:charset w:val="00"/>
    <w:family w:val="roman"/>
    <w:pitch w:val="variable"/>
    <w:sig w:usb0="00000287" w:usb1="00000000" w:usb2="00000000" w:usb3="00000000" w:csb0="0000009F" w:csb1="00000000"/>
    <w:embedRegular r:id="rId4" w:fontKey="{37CC56B4-44BC-4520-B06D-236CC1CBC0D3}"/>
    <w:embedItalic r:id="rId5" w:fontKey="{106AB626-F809-4545-B44C-2D8B07918D96}"/>
  </w:font>
  <w:font w:name="Century Gothic">
    <w:panose1 w:val="020B0502020202020204"/>
    <w:charset w:val="00"/>
    <w:family w:val="swiss"/>
    <w:pitch w:val="variable"/>
    <w:sig w:usb0="00000287" w:usb1="00000000" w:usb2="00000000" w:usb3="00000000" w:csb0="0000009F" w:csb1="00000000"/>
    <w:embedRegular r:id="rId6" w:fontKey="{93CCEBB7-176D-4995-9AC2-464DE0770DBD}"/>
    <w:embedBold r:id="rId7" w:fontKey="{BAFB7C70-27B3-46B3-BAA6-6F05065C2E18}"/>
    <w:embedItalic r:id="rId8" w:fontKey="{33428590-7DB1-4B46-9684-C9C09F14BD06}"/>
  </w:font>
  <w:font w:name="Rage Italic">
    <w:panose1 w:val="03070502040507070304"/>
    <w:charset w:val="00"/>
    <w:family w:val="script"/>
    <w:pitch w:val="variable"/>
    <w:sig w:usb0="00000003" w:usb1="00000000" w:usb2="00000000" w:usb3="00000000" w:csb0="00000001" w:csb1="00000000"/>
    <w:embedRegular r:id="rId9" w:fontKey="{13968825-2D46-4F30-8826-9995C502167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6A3B" w14:textId="77777777" w:rsidR="00551440" w:rsidRDefault="006A0F6D">
    <w:pPr>
      <w:pBdr>
        <w:top w:val="nil"/>
        <w:left w:val="nil"/>
        <w:bottom w:val="nil"/>
        <w:right w:val="nil"/>
        <w:between w:val="nil"/>
      </w:pBdr>
      <w:tabs>
        <w:tab w:val="center" w:pos="4419"/>
        <w:tab w:val="right" w:pos="8838"/>
      </w:tabs>
      <w:jc w:val="right"/>
      <w:rPr>
        <w:rFonts w:ascii="Arial" w:eastAsia="Arial" w:hAnsi="Arial" w:cs="Arial"/>
        <w:b/>
        <w:color w:val="000000"/>
        <w:sz w:val="20"/>
        <w:szCs w:val="20"/>
      </w:rPr>
    </w:pPr>
    <w:r>
      <w:rPr>
        <w:rFonts w:ascii="Arial" w:eastAsia="Arial" w:hAnsi="Arial" w:cs="Arial"/>
        <w:b/>
        <w:color w:val="000000"/>
        <w:sz w:val="20"/>
        <w:szCs w:val="20"/>
      </w:rPr>
      <w:t xml:space="preserve">pág.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80A4B">
      <w:rPr>
        <w:rFonts w:ascii="Arial" w:eastAsia="Arial" w:hAnsi="Arial" w:cs="Arial"/>
        <w:b/>
        <w:noProof/>
        <w:color w:val="000000"/>
        <w:sz w:val="20"/>
        <w:szCs w:val="20"/>
      </w:rPr>
      <w:t>1</w:t>
    </w:r>
    <w:r>
      <w:rPr>
        <w:rFonts w:ascii="Arial" w:eastAsia="Arial" w:hAnsi="Arial" w:cs="Arial"/>
        <w:b/>
        <w:color w:val="000000"/>
        <w:sz w:val="20"/>
        <w:szCs w:val="20"/>
      </w:rPr>
      <w:fldChar w:fldCharType="end"/>
    </w:r>
  </w:p>
  <w:p w14:paraId="1A89408A" w14:textId="77777777" w:rsidR="00551440" w:rsidRDefault="0055144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7FEA" w14:textId="77777777" w:rsidR="002E1F8D" w:rsidRDefault="002E1F8D">
      <w:r>
        <w:separator/>
      </w:r>
    </w:p>
  </w:footnote>
  <w:footnote w:type="continuationSeparator" w:id="0">
    <w:p w14:paraId="0A241491" w14:textId="77777777" w:rsidR="002E1F8D" w:rsidRDefault="002E1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F141" w14:textId="77777777" w:rsidR="00D42C83" w:rsidRDefault="00D42C83" w:rsidP="00D42C83">
    <w:pPr>
      <w:ind w:left="1" w:hanging="3"/>
      <w:jc w:val="right"/>
      <w:rPr>
        <w:rFonts w:ascii="Rage Italic" w:eastAsia="Rage Italic" w:hAnsi="Rage Italic" w:cs="Rage Italic"/>
        <w:color w:val="000000"/>
        <w:sz w:val="28"/>
        <w:szCs w:val="28"/>
      </w:rPr>
    </w:pPr>
  </w:p>
  <w:p w14:paraId="118F3208" w14:textId="77777777" w:rsidR="00D42C83" w:rsidRDefault="00D42C83" w:rsidP="00D42C83">
    <w:pPr>
      <w:ind w:left="1" w:hanging="3"/>
      <w:jc w:val="right"/>
      <w:rPr>
        <w:rFonts w:ascii="Rage Italic" w:eastAsia="Rage Italic" w:hAnsi="Rage Italic" w:cs="Rage Italic"/>
        <w:color w:val="000000"/>
        <w:sz w:val="28"/>
        <w:szCs w:val="28"/>
      </w:rPr>
    </w:pPr>
  </w:p>
  <w:p w14:paraId="6D68FF53" w14:textId="5CBB1E88" w:rsidR="00551440" w:rsidRDefault="006A0F6D" w:rsidP="00D42C83">
    <w:pPr>
      <w:ind w:left="1" w:hanging="3"/>
      <w:jc w:val="right"/>
      <w:rPr>
        <w:color w:val="000000"/>
      </w:rPr>
    </w:pPr>
    <w:r>
      <w:rPr>
        <w:noProof/>
      </w:rPr>
      <w:drawing>
        <wp:inline distT="114300" distB="114300" distL="114300" distR="114300" wp14:anchorId="5D5F5FDB" wp14:editId="2EED3D29">
          <wp:extent cx="810577" cy="81057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7018086A" w14:textId="77777777" w:rsidR="00551440" w:rsidRDefault="00551440">
    <w:pPr>
      <w:pBdr>
        <w:top w:val="nil"/>
        <w:left w:val="nil"/>
        <w:bottom w:val="nil"/>
        <w:right w:val="nil"/>
        <w:between w:val="nil"/>
      </w:pBdr>
      <w:tabs>
        <w:tab w:val="center" w:pos="4419"/>
        <w:tab w:val="right" w:pos="8838"/>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60741D"/>
    <w:multiLevelType w:val="multilevel"/>
    <w:tmpl w:val="8B70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7E0FCE"/>
    <w:multiLevelType w:val="multilevel"/>
    <w:tmpl w:val="2250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D14CCD"/>
    <w:multiLevelType w:val="hybridMultilevel"/>
    <w:tmpl w:val="F70419F4"/>
    <w:lvl w:ilvl="0" w:tplc="BCEADC82">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40"/>
    <w:rsid w:val="00001E57"/>
    <w:rsid w:val="00021A27"/>
    <w:rsid w:val="000E0054"/>
    <w:rsid w:val="00115D94"/>
    <w:rsid w:val="001B562E"/>
    <w:rsid w:val="001C2F23"/>
    <w:rsid w:val="0021761B"/>
    <w:rsid w:val="00245957"/>
    <w:rsid w:val="00246B19"/>
    <w:rsid w:val="002877F0"/>
    <w:rsid w:val="0029181A"/>
    <w:rsid w:val="0029290A"/>
    <w:rsid w:val="002E1F8D"/>
    <w:rsid w:val="003309AC"/>
    <w:rsid w:val="00380A4B"/>
    <w:rsid w:val="003E3EC0"/>
    <w:rsid w:val="003E5386"/>
    <w:rsid w:val="00414D1E"/>
    <w:rsid w:val="00424E91"/>
    <w:rsid w:val="00443863"/>
    <w:rsid w:val="00444252"/>
    <w:rsid w:val="00513715"/>
    <w:rsid w:val="005144D9"/>
    <w:rsid w:val="00551440"/>
    <w:rsid w:val="00556D90"/>
    <w:rsid w:val="0056710C"/>
    <w:rsid w:val="005819DD"/>
    <w:rsid w:val="00597A58"/>
    <w:rsid w:val="005D059E"/>
    <w:rsid w:val="005D78DB"/>
    <w:rsid w:val="005E7869"/>
    <w:rsid w:val="00606AE6"/>
    <w:rsid w:val="00632D7F"/>
    <w:rsid w:val="00641134"/>
    <w:rsid w:val="00654C18"/>
    <w:rsid w:val="00686841"/>
    <w:rsid w:val="006A0F6D"/>
    <w:rsid w:val="007450F5"/>
    <w:rsid w:val="007B0244"/>
    <w:rsid w:val="007B0B80"/>
    <w:rsid w:val="007B64FB"/>
    <w:rsid w:val="007C6A7C"/>
    <w:rsid w:val="008309D5"/>
    <w:rsid w:val="00897C4E"/>
    <w:rsid w:val="008C0368"/>
    <w:rsid w:val="0091448B"/>
    <w:rsid w:val="009A100D"/>
    <w:rsid w:val="009C0E80"/>
    <w:rsid w:val="009C2BCF"/>
    <w:rsid w:val="009E5792"/>
    <w:rsid w:val="00A200A6"/>
    <w:rsid w:val="00A63CFE"/>
    <w:rsid w:val="00A85716"/>
    <w:rsid w:val="00AD6B22"/>
    <w:rsid w:val="00B06AE7"/>
    <w:rsid w:val="00B16AE8"/>
    <w:rsid w:val="00B35035"/>
    <w:rsid w:val="00BC01B2"/>
    <w:rsid w:val="00BC7B52"/>
    <w:rsid w:val="00BD662D"/>
    <w:rsid w:val="00BF533B"/>
    <w:rsid w:val="00C24B2F"/>
    <w:rsid w:val="00D42C83"/>
    <w:rsid w:val="00DB3F07"/>
    <w:rsid w:val="00E00094"/>
    <w:rsid w:val="00F401BF"/>
    <w:rsid w:val="00F81257"/>
    <w:rsid w:val="00FF45FB"/>
    <w:rsid w:val="00FF69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8C56C"/>
  <w15:docId w15:val="{FCA78D34-48A3-5346-9AD6-7A19BCCAB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9B1"/>
    <w:pPr>
      <w:spacing w:after="0" w:line="240" w:lineRule="auto"/>
    </w:pPr>
    <w:rPr>
      <w:rFonts w:ascii="Times New Roman" w:eastAsia="Times New Roman" w:hAnsi="Times New Roman" w:cs="Times New Roman"/>
      <w:sz w:val="24"/>
      <w:szCs w:val="24"/>
      <w:lang w:val="es-MX"/>
    </w:rPr>
  </w:style>
  <w:style w:type="paragraph" w:styleId="Ttulo1">
    <w:name w:val="heading 1"/>
    <w:basedOn w:val="Normal"/>
    <w:link w:val="Ttulo1Car"/>
    <w:uiPriority w:val="9"/>
    <w:qFormat/>
    <w:rsid w:val="00F0073E"/>
    <w:pPr>
      <w:widowControl w:val="0"/>
      <w:autoSpaceDE w:val="0"/>
      <w:autoSpaceDN w:val="0"/>
      <w:spacing w:before="9"/>
      <w:ind w:left="134"/>
      <w:outlineLvl w:val="0"/>
    </w:pPr>
    <w:rPr>
      <w:rFonts w:ascii="Arial MT" w:eastAsia="Arial MT" w:hAnsi="Arial MT" w:cs="Arial MT"/>
      <w:sz w:val="25"/>
      <w:szCs w:val="25"/>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DB4FA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F0073E"/>
    <w:rPr>
      <w:rFonts w:ascii="Arial MT" w:eastAsia="Arial MT" w:hAnsi="Arial MT" w:cs="Arial MT"/>
      <w:sz w:val="25"/>
      <w:szCs w:val="25"/>
      <w:lang w:val="es-ES"/>
    </w:rPr>
  </w:style>
  <w:style w:type="paragraph" w:styleId="Textonotapie">
    <w:name w:val="footnote text"/>
    <w:basedOn w:val="Normal"/>
    <w:link w:val="TextonotapieCar"/>
    <w:uiPriority w:val="99"/>
    <w:semiHidden/>
    <w:unhideWhenUsed/>
    <w:rsid w:val="002953CA"/>
    <w:rPr>
      <w:sz w:val="20"/>
      <w:szCs w:val="20"/>
    </w:rPr>
  </w:style>
  <w:style w:type="character" w:customStyle="1" w:styleId="TextonotapieCar">
    <w:name w:val="Texto nota pie Car"/>
    <w:basedOn w:val="Fuentedeprrafopredeter"/>
    <w:link w:val="Textonotapie"/>
    <w:uiPriority w:val="99"/>
    <w:semiHidden/>
    <w:rsid w:val="002953CA"/>
    <w:rPr>
      <w:sz w:val="20"/>
      <w:szCs w:val="20"/>
    </w:rPr>
  </w:style>
  <w:style w:type="character" w:styleId="Refdenotaalpie">
    <w:name w:val="footnote reference"/>
    <w:basedOn w:val="Fuentedeprrafopredeter"/>
    <w:uiPriority w:val="99"/>
    <w:semiHidden/>
    <w:unhideWhenUsed/>
    <w:rsid w:val="002953CA"/>
    <w:rPr>
      <w:vertAlign w:val="superscript"/>
    </w:rPr>
  </w:style>
  <w:style w:type="character" w:styleId="Hipervnculo">
    <w:name w:val="Hyperlink"/>
    <w:basedOn w:val="Fuentedeprrafopredeter"/>
    <w:uiPriority w:val="99"/>
    <w:unhideWhenUsed/>
    <w:rsid w:val="002953CA"/>
    <w:rPr>
      <w:color w:val="0563C1" w:themeColor="hyperlink"/>
      <w:u w:val="single"/>
    </w:rPr>
  </w:style>
  <w:style w:type="paragraph" w:styleId="Textodeglobo">
    <w:name w:val="Balloon Text"/>
    <w:basedOn w:val="Normal"/>
    <w:link w:val="TextodegloboCar"/>
    <w:uiPriority w:val="99"/>
    <w:semiHidden/>
    <w:unhideWhenUsed/>
    <w:rsid w:val="002D2E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2EAC"/>
    <w:rPr>
      <w:rFonts w:ascii="Segoe UI" w:hAnsi="Segoe UI" w:cs="Segoe UI"/>
      <w:sz w:val="18"/>
      <w:szCs w:val="18"/>
    </w:rPr>
  </w:style>
  <w:style w:type="paragraph" w:styleId="Encabezado">
    <w:name w:val="header"/>
    <w:basedOn w:val="Normal"/>
    <w:link w:val="EncabezadoCar"/>
    <w:uiPriority w:val="99"/>
    <w:unhideWhenUsed/>
    <w:rsid w:val="00570DC5"/>
    <w:pPr>
      <w:tabs>
        <w:tab w:val="center" w:pos="4419"/>
        <w:tab w:val="right" w:pos="8838"/>
      </w:tabs>
    </w:pPr>
  </w:style>
  <w:style w:type="character" w:customStyle="1" w:styleId="EncabezadoCar">
    <w:name w:val="Encabezado Car"/>
    <w:basedOn w:val="Fuentedeprrafopredeter"/>
    <w:link w:val="Encabezado"/>
    <w:uiPriority w:val="99"/>
    <w:rsid w:val="00570DC5"/>
  </w:style>
  <w:style w:type="paragraph" w:styleId="Piedepgina">
    <w:name w:val="footer"/>
    <w:basedOn w:val="Normal"/>
    <w:link w:val="PiedepginaCar"/>
    <w:uiPriority w:val="99"/>
    <w:unhideWhenUsed/>
    <w:rsid w:val="00570DC5"/>
    <w:pPr>
      <w:tabs>
        <w:tab w:val="center" w:pos="4419"/>
        <w:tab w:val="right" w:pos="8838"/>
      </w:tabs>
    </w:pPr>
  </w:style>
  <w:style w:type="character" w:customStyle="1" w:styleId="PiedepginaCar">
    <w:name w:val="Pie de página Car"/>
    <w:basedOn w:val="Fuentedeprrafopredeter"/>
    <w:link w:val="Piedepgina"/>
    <w:uiPriority w:val="99"/>
    <w:rsid w:val="00570DC5"/>
  </w:style>
  <w:style w:type="table" w:styleId="Tablaconcuadrcula">
    <w:name w:val="Table Grid"/>
    <w:basedOn w:val="Tablanormal"/>
    <w:uiPriority w:val="39"/>
    <w:rsid w:val="00F5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65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C2022"/>
    <w:rPr>
      <w:color w:val="954F72" w:themeColor="followedHyperlink"/>
      <w:u w:val="single"/>
    </w:rPr>
  </w:style>
  <w:style w:type="paragraph" w:styleId="Prrafodelista">
    <w:name w:val="List Paragraph"/>
    <w:aliases w:val="Imagen,Tabla de contenido"/>
    <w:basedOn w:val="Normal"/>
    <w:link w:val="PrrafodelistaCar"/>
    <w:uiPriority w:val="34"/>
    <w:qFormat/>
    <w:rsid w:val="00CF3743"/>
    <w:pPr>
      <w:ind w:left="720"/>
      <w:contextualSpacing/>
    </w:pPr>
  </w:style>
  <w:style w:type="character" w:customStyle="1" w:styleId="PrrafodelistaCar">
    <w:name w:val="Párrafo de lista Car"/>
    <w:aliases w:val="Imagen Car,Tabla de contenido Car"/>
    <w:link w:val="Prrafodelista"/>
    <w:uiPriority w:val="34"/>
    <w:locked/>
    <w:rsid w:val="004A6D84"/>
  </w:style>
  <w:style w:type="paragraph" w:customStyle="1" w:styleId="TableParagraph">
    <w:name w:val="Table Paragraph"/>
    <w:basedOn w:val="Normal"/>
    <w:uiPriority w:val="1"/>
    <w:qFormat/>
    <w:rsid w:val="00F0073E"/>
    <w:pPr>
      <w:widowControl w:val="0"/>
      <w:autoSpaceDE w:val="0"/>
      <w:autoSpaceDN w:val="0"/>
    </w:pPr>
    <w:rPr>
      <w:lang w:val="es-ES"/>
    </w:rPr>
  </w:style>
  <w:style w:type="paragraph" w:styleId="Textoindependiente">
    <w:name w:val="Body Text"/>
    <w:basedOn w:val="Normal"/>
    <w:link w:val="TextoindependienteCar"/>
    <w:uiPriority w:val="1"/>
    <w:qFormat/>
    <w:rsid w:val="00F0073E"/>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0073E"/>
    <w:rPr>
      <w:rFonts w:ascii="Arial MT" w:eastAsia="Arial MT" w:hAnsi="Arial MT" w:cs="Arial MT"/>
      <w:sz w:val="24"/>
      <w:szCs w:val="24"/>
      <w:lang w:val="es-ES"/>
    </w:rPr>
  </w:style>
  <w:style w:type="character" w:styleId="Refdecomentario">
    <w:name w:val="annotation reference"/>
    <w:basedOn w:val="Fuentedeprrafopredeter"/>
    <w:uiPriority w:val="99"/>
    <w:semiHidden/>
    <w:unhideWhenUsed/>
    <w:rsid w:val="002149E5"/>
    <w:rPr>
      <w:sz w:val="16"/>
      <w:szCs w:val="16"/>
    </w:rPr>
  </w:style>
  <w:style w:type="paragraph" w:styleId="Textocomentario">
    <w:name w:val="annotation text"/>
    <w:basedOn w:val="Normal"/>
    <w:link w:val="TextocomentarioCar"/>
    <w:uiPriority w:val="99"/>
    <w:semiHidden/>
    <w:unhideWhenUsed/>
    <w:rsid w:val="002149E5"/>
    <w:rPr>
      <w:sz w:val="20"/>
      <w:szCs w:val="20"/>
    </w:rPr>
  </w:style>
  <w:style w:type="character" w:customStyle="1" w:styleId="TextocomentarioCar">
    <w:name w:val="Texto comentario Car"/>
    <w:basedOn w:val="Fuentedeprrafopredeter"/>
    <w:link w:val="Textocomentario"/>
    <w:uiPriority w:val="99"/>
    <w:semiHidden/>
    <w:rsid w:val="002149E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49E5"/>
    <w:rPr>
      <w:b/>
      <w:bCs/>
    </w:rPr>
  </w:style>
  <w:style w:type="character" w:customStyle="1" w:styleId="AsuntodelcomentarioCar">
    <w:name w:val="Asunto del comentario Car"/>
    <w:basedOn w:val="TextocomentarioCar"/>
    <w:link w:val="Asuntodelcomentario"/>
    <w:uiPriority w:val="99"/>
    <w:semiHidden/>
    <w:rsid w:val="002149E5"/>
    <w:rPr>
      <w:b/>
      <w:bCs/>
      <w:sz w:val="20"/>
      <w:szCs w:val="20"/>
      <w:lang w:val="es-ES_tradnl"/>
    </w:rPr>
  </w:style>
  <w:style w:type="character" w:customStyle="1" w:styleId="Ttulo3Car">
    <w:name w:val="Título 3 Car"/>
    <w:basedOn w:val="Fuentedeprrafopredeter"/>
    <w:link w:val="Ttulo3"/>
    <w:uiPriority w:val="9"/>
    <w:semiHidden/>
    <w:rsid w:val="00DB4FA6"/>
    <w:rPr>
      <w:rFonts w:asciiTheme="majorHAnsi" w:eastAsiaTheme="majorEastAsia" w:hAnsiTheme="majorHAnsi" w:cstheme="majorBidi"/>
      <w:color w:val="1F4D78" w:themeColor="accent1" w:themeShade="7F"/>
      <w:sz w:val="24"/>
      <w:szCs w:val="24"/>
      <w:lang w:val="es-ES_tradnl"/>
    </w:rPr>
  </w:style>
  <w:style w:type="paragraph" w:styleId="Textonotaalfinal">
    <w:name w:val="endnote text"/>
    <w:basedOn w:val="Normal"/>
    <w:link w:val="TextonotaalfinalCar"/>
    <w:uiPriority w:val="99"/>
    <w:semiHidden/>
    <w:unhideWhenUsed/>
    <w:rsid w:val="00030373"/>
    <w:rPr>
      <w:sz w:val="20"/>
      <w:szCs w:val="20"/>
    </w:rPr>
  </w:style>
  <w:style w:type="character" w:customStyle="1" w:styleId="TextonotaalfinalCar">
    <w:name w:val="Texto nota al final Car"/>
    <w:basedOn w:val="Fuentedeprrafopredeter"/>
    <w:link w:val="Textonotaalfinal"/>
    <w:uiPriority w:val="99"/>
    <w:semiHidden/>
    <w:rsid w:val="00030373"/>
    <w:rPr>
      <w:sz w:val="20"/>
      <w:szCs w:val="20"/>
      <w:lang w:val="es-ES_tradnl"/>
    </w:rPr>
  </w:style>
  <w:style w:type="character" w:styleId="Refdenotaalfinal">
    <w:name w:val="endnote reference"/>
    <w:basedOn w:val="Fuentedeprrafopredeter"/>
    <w:uiPriority w:val="99"/>
    <w:semiHidden/>
    <w:unhideWhenUsed/>
    <w:rsid w:val="00030373"/>
    <w:rPr>
      <w:vertAlign w:val="superscript"/>
    </w:rPr>
  </w:style>
  <w:style w:type="character" w:styleId="Textoennegrita">
    <w:name w:val="Strong"/>
    <w:basedOn w:val="Fuentedeprrafopredeter"/>
    <w:uiPriority w:val="22"/>
    <w:qFormat/>
    <w:rsid w:val="00262EDE"/>
    <w:rPr>
      <w:b/>
      <w:bCs/>
    </w:rPr>
  </w:style>
  <w:style w:type="paragraph" w:styleId="NormalWeb">
    <w:name w:val="Normal (Web)"/>
    <w:basedOn w:val="Normal"/>
    <w:uiPriority w:val="99"/>
    <w:unhideWhenUsed/>
    <w:rsid w:val="00262EDE"/>
    <w:pPr>
      <w:spacing w:before="100" w:beforeAutospacing="1" w:after="100" w:afterAutospacing="1"/>
    </w:pPr>
  </w:style>
  <w:style w:type="character" w:customStyle="1" w:styleId="apple-converted-space">
    <w:name w:val="apple-converted-space"/>
    <w:basedOn w:val="Fuentedeprrafopredeter"/>
    <w:rsid w:val="00B435E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customStyle="1" w:styleId="no-indent">
    <w:name w:val="no-indent"/>
    <w:basedOn w:val="Normal"/>
    <w:rsid w:val="00D870D5"/>
    <w:pPr>
      <w:spacing w:before="100" w:beforeAutospacing="1" w:after="100" w:afterAutospacing="1"/>
    </w:pPr>
  </w:style>
  <w:style w:type="character" w:customStyle="1" w:styleId="credito">
    <w:name w:val="credito"/>
    <w:basedOn w:val="Fuentedeprrafopredeter"/>
    <w:rsid w:val="00D870D5"/>
  </w:style>
  <w:style w:type="character" w:styleId="nfasis">
    <w:name w:val="Emphasis"/>
    <w:basedOn w:val="Fuentedeprrafopredeter"/>
    <w:uiPriority w:val="20"/>
    <w:qFormat/>
    <w:rsid w:val="00691835"/>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69181">
      <w:bodyDiv w:val="1"/>
      <w:marLeft w:val="0"/>
      <w:marRight w:val="0"/>
      <w:marTop w:val="0"/>
      <w:marBottom w:val="0"/>
      <w:divBdr>
        <w:top w:val="none" w:sz="0" w:space="0" w:color="auto"/>
        <w:left w:val="none" w:sz="0" w:space="0" w:color="auto"/>
        <w:bottom w:val="none" w:sz="0" w:space="0" w:color="auto"/>
        <w:right w:val="none" w:sz="0" w:space="0" w:color="auto"/>
      </w:divBdr>
    </w:div>
    <w:div w:id="422919252">
      <w:bodyDiv w:val="1"/>
      <w:marLeft w:val="0"/>
      <w:marRight w:val="0"/>
      <w:marTop w:val="0"/>
      <w:marBottom w:val="0"/>
      <w:divBdr>
        <w:top w:val="none" w:sz="0" w:space="0" w:color="auto"/>
        <w:left w:val="none" w:sz="0" w:space="0" w:color="auto"/>
        <w:bottom w:val="none" w:sz="0" w:space="0" w:color="auto"/>
        <w:right w:val="none" w:sz="0" w:space="0" w:color="auto"/>
      </w:divBdr>
    </w:div>
    <w:div w:id="525942502">
      <w:bodyDiv w:val="1"/>
      <w:marLeft w:val="0"/>
      <w:marRight w:val="0"/>
      <w:marTop w:val="0"/>
      <w:marBottom w:val="0"/>
      <w:divBdr>
        <w:top w:val="none" w:sz="0" w:space="0" w:color="auto"/>
        <w:left w:val="none" w:sz="0" w:space="0" w:color="auto"/>
        <w:bottom w:val="none" w:sz="0" w:space="0" w:color="auto"/>
        <w:right w:val="none" w:sz="0" w:space="0" w:color="auto"/>
      </w:divBdr>
    </w:div>
    <w:div w:id="870218496">
      <w:bodyDiv w:val="1"/>
      <w:marLeft w:val="0"/>
      <w:marRight w:val="0"/>
      <w:marTop w:val="0"/>
      <w:marBottom w:val="0"/>
      <w:divBdr>
        <w:top w:val="none" w:sz="0" w:space="0" w:color="auto"/>
        <w:left w:val="none" w:sz="0" w:space="0" w:color="auto"/>
        <w:bottom w:val="none" w:sz="0" w:space="0" w:color="auto"/>
        <w:right w:val="none" w:sz="0" w:space="0" w:color="auto"/>
      </w:divBdr>
    </w:div>
    <w:div w:id="876508636">
      <w:bodyDiv w:val="1"/>
      <w:marLeft w:val="0"/>
      <w:marRight w:val="0"/>
      <w:marTop w:val="0"/>
      <w:marBottom w:val="0"/>
      <w:divBdr>
        <w:top w:val="none" w:sz="0" w:space="0" w:color="auto"/>
        <w:left w:val="none" w:sz="0" w:space="0" w:color="auto"/>
        <w:bottom w:val="none" w:sz="0" w:space="0" w:color="auto"/>
        <w:right w:val="none" w:sz="0" w:space="0" w:color="auto"/>
      </w:divBdr>
    </w:div>
    <w:div w:id="1275556690">
      <w:bodyDiv w:val="1"/>
      <w:marLeft w:val="0"/>
      <w:marRight w:val="0"/>
      <w:marTop w:val="0"/>
      <w:marBottom w:val="0"/>
      <w:divBdr>
        <w:top w:val="none" w:sz="0" w:space="0" w:color="auto"/>
        <w:left w:val="none" w:sz="0" w:space="0" w:color="auto"/>
        <w:bottom w:val="none" w:sz="0" w:space="0" w:color="auto"/>
        <w:right w:val="none" w:sz="0" w:space="0" w:color="auto"/>
      </w:divBdr>
    </w:div>
    <w:div w:id="1535726879">
      <w:bodyDiv w:val="1"/>
      <w:marLeft w:val="0"/>
      <w:marRight w:val="0"/>
      <w:marTop w:val="0"/>
      <w:marBottom w:val="0"/>
      <w:divBdr>
        <w:top w:val="none" w:sz="0" w:space="0" w:color="auto"/>
        <w:left w:val="none" w:sz="0" w:space="0" w:color="auto"/>
        <w:bottom w:val="none" w:sz="0" w:space="0" w:color="auto"/>
        <w:right w:val="none" w:sz="0" w:space="0" w:color="auto"/>
      </w:divBdr>
    </w:div>
    <w:div w:id="1624725026">
      <w:bodyDiv w:val="1"/>
      <w:marLeft w:val="0"/>
      <w:marRight w:val="0"/>
      <w:marTop w:val="0"/>
      <w:marBottom w:val="0"/>
      <w:divBdr>
        <w:top w:val="none" w:sz="0" w:space="0" w:color="auto"/>
        <w:left w:val="none" w:sz="0" w:space="0" w:color="auto"/>
        <w:bottom w:val="none" w:sz="0" w:space="0" w:color="auto"/>
        <w:right w:val="none" w:sz="0" w:space="0" w:color="auto"/>
      </w:divBdr>
    </w:div>
    <w:div w:id="2064404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PA4R/kqXnGZi6Mh+mNMli1BeQ==">CgMxLjA4AHIhMUNFdm9iZUFfWEtRMmFYR1hiQ3JOdmhQUk5nWG5XSVlj</go:docsCustomData>
</go:gDocsCustomXmlDataStorage>
</file>

<file path=customXml/itemProps1.xml><?xml version="1.0" encoding="utf-8"?>
<ds:datastoreItem xmlns:ds="http://schemas.openxmlformats.org/officeDocument/2006/customXml" ds:itemID="{CC8D3FFB-649D-4E5A-BF9A-EC8015D4A2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9</Pages>
  <Words>1592</Words>
  <Characters>8756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Cruces Franco</dc:creator>
  <cp:lastModifiedBy>Laura Lorena González García</cp:lastModifiedBy>
  <cp:revision>7</cp:revision>
  <cp:lastPrinted>2026-04-23T16:14:00Z</cp:lastPrinted>
  <dcterms:created xsi:type="dcterms:W3CDTF">2026-04-22T19:39:00Z</dcterms:created>
  <dcterms:modified xsi:type="dcterms:W3CDTF">2026-04-23T17:19:00Z</dcterms:modified>
</cp:coreProperties>
</file>