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794E" w14:textId="2D08B1BA" w:rsidR="000D1D5F" w:rsidRDefault="000D1D5F" w:rsidP="000D1D5F">
      <w:pPr>
        <w:tabs>
          <w:tab w:val="left" w:pos="540"/>
        </w:tabs>
        <w:jc w:val="both"/>
        <w:rPr>
          <w:rFonts w:ascii="10.5" w:hAnsi="10.5"/>
          <w:b/>
          <w:sz w:val="26"/>
          <w:szCs w:val="26"/>
        </w:rPr>
      </w:pPr>
    </w:p>
    <w:p w14:paraId="6EA3183A" w14:textId="3DD31E49" w:rsidR="00996B61" w:rsidRDefault="00996B61" w:rsidP="00996B61">
      <w:pPr>
        <w:spacing w:line="360" w:lineRule="auto"/>
        <w:jc w:val="right"/>
        <w:rPr>
          <w:rFonts w:ascii="Avenir Next LT Pro" w:eastAsia="Calibri" w:hAnsi="Avenir Next LT Pro" w:cs="Arial"/>
        </w:rPr>
      </w:pPr>
      <w:r>
        <w:rPr>
          <w:rFonts w:ascii="Avenir Next LT Pro" w:eastAsia="Calibri" w:hAnsi="Avenir Next LT Pro" w:cs="Arial"/>
        </w:rPr>
        <w:t xml:space="preserve">Chihuahua, Chihuahua a </w:t>
      </w:r>
      <w:r w:rsidR="0048614F">
        <w:rPr>
          <w:rFonts w:ascii="Avenir Next LT Pro" w:eastAsia="Calibri" w:hAnsi="Avenir Next LT Pro" w:cs="Arial"/>
        </w:rPr>
        <w:t xml:space="preserve">07 de </w:t>
      </w:r>
      <w:proofErr w:type="gramStart"/>
      <w:r w:rsidR="0048614F">
        <w:rPr>
          <w:rFonts w:ascii="Avenir Next LT Pro" w:eastAsia="Calibri" w:hAnsi="Avenir Next LT Pro" w:cs="Arial"/>
        </w:rPr>
        <w:t>Abril</w:t>
      </w:r>
      <w:proofErr w:type="gramEnd"/>
      <w:r w:rsidR="00DB34B5">
        <w:rPr>
          <w:rFonts w:ascii="Avenir Next LT Pro" w:eastAsia="Calibri" w:hAnsi="Avenir Next LT Pro" w:cs="Arial"/>
        </w:rPr>
        <w:t xml:space="preserve"> de 2026</w:t>
      </w:r>
    </w:p>
    <w:p w14:paraId="55EDF7AA" w14:textId="77777777" w:rsidR="00996B61" w:rsidRDefault="00996B61" w:rsidP="00996B61">
      <w:pPr>
        <w:spacing w:line="360" w:lineRule="auto"/>
        <w:jc w:val="right"/>
        <w:rPr>
          <w:rFonts w:ascii="Avenir Next LT Pro" w:eastAsia="Calibri" w:hAnsi="Avenir Next LT Pro" w:cs="Arial"/>
        </w:rPr>
      </w:pPr>
    </w:p>
    <w:p w14:paraId="364C48C3" w14:textId="77777777" w:rsidR="0048614F" w:rsidRDefault="0048614F" w:rsidP="0048614F">
      <w:pPr>
        <w:spacing w:line="360" w:lineRule="auto"/>
        <w:jc w:val="both"/>
        <w:rPr>
          <w:rFonts w:ascii="Avenir Next LT Pro" w:eastAsia="Calibri" w:hAnsi="Avenir Next LT Pro" w:cs="Arial"/>
          <w:b/>
          <w:bCs/>
        </w:rPr>
      </w:pPr>
      <w:r>
        <w:rPr>
          <w:rFonts w:ascii="Avenir Next LT Pro" w:eastAsia="Calibri" w:hAnsi="Avenir Next LT Pro" w:cs="Arial"/>
          <w:b/>
          <w:bCs/>
        </w:rPr>
        <w:t>H. CONGRESO DEL ESTADO</w:t>
      </w:r>
    </w:p>
    <w:p w14:paraId="279029BF" w14:textId="77777777" w:rsidR="0048614F" w:rsidRDefault="0048614F" w:rsidP="0048614F">
      <w:pPr>
        <w:spacing w:line="360" w:lineRule="auto"/>
        <w:jc w:val="both"/>
        <w:rPr>
          <w:rFonts w:ascii="Avenir Next LT Pro" w:eastAsia="Calibri" w:hAnsi="Avenir Next LT Pro" w:cs="Arial"/>
          <w:b/>
          <w:bCs/>
        </w:rPr>
      </w:pPr>
      <w:r>
        <w:rPr>
          <w:rFonts w:ascii="Avenir Next LT Pro" w:eastAsia="Calibri" w:hAnsi="Avenir Next LT Pro" w:cs="Arial"/>
          <w:b/>
          <w:bCs/>
        </w:rPr>
        <w:t xml:space="preserve">P R E S E N T E.- </w:t>
      </w:r>
    </w:p>
    <w:p w14:paraId="609E541C" w14:textId="77777777" w:rsidR="0048614F" w:rsidRDefault="0048614F" w:rsidP="0048614F">
      <w:pPr>
        <w:spacing w:line="360" w:lineRule="auto"/>
        <w:jc w:val="both"/>
        <w:rPr>
          <w:rFonts w:ascii="Avenir Next LT Pro" w:eastAsia="Verdana" w:hAnsi="Avenir Next LT Pro" w:cs="Arial"/>
          <w:color w:val="000000"/>
        </w:rPr>
      </w:pPr>
      <w:r>
        <w:rPr>
          <w:rFonts w:ascii="Avenir Next LT Pro" w:eastAsia="Calibri" w:hAnsi="Avenir Next LT Pro" w:cs="Arial"/>
          <w:b/>
          <w:bCs/>
        </w:rPr>
        <w:t>JOSÉ LUIS VILLALOBOS GARCÍA</w:t>
      </w:r>
      <w:r>
        <w:rPr>
          <w:rFonts w:ascii="Avenir Next LT Pro" w:eastAsia="Calibri" w:hAnsi="Avenir Next LT Pro" w:cs="Arial"/>
        </w:rPr>
        <w:t>,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rPr>
        <w:t>; INICIATIVA CON CARÁCTER DE DECRETO A EFECTO</w:t>
      </w:r>
      <w:bookmarkStart w:id="0" w:name="_Hlk196247125"/>
      <w:r>
        <w:rPr>
          <w:rFonts w:ascii="Avenir Next LT Pro" w:eastAsia="Calibri" w:hAnsi="Avenir Next LT Pro" w:cs="Arial"/>
          <w:b/>
          <w:bCs/>
        </w:rPr>
        <w:t xml:space="preserve"> DE </w:t>
      </w:r>
      <w:bookmarkEnd w:id="0"/>
      <w:r>
        <w:rPr>
          <w:rFonts w:ascii="Avenir Next LT Pro" w:eastAsia="Calibri" w:hAnsi="Avenir Next LT Pro" w:cs="Arial"/>
          <w:b/>
          <w:bCs/>
        </w:rPr>
        <w:t xml:space="preserve">REFORMAR </w:t>
      </w:r>
      <w:r w:rsidRPr="000278F7">
        <w:rPr>
          <w:rFonts w:ascii="Avenir Next LT Pro" w:eastAsia="Calibri" w:hAnsi="Avenir Next LT Pro" w:cs="Arial"/>
          <w:b/>
          <w:bCs/>
        </w:rPr>
        <w:t>LA LEY DE DERECHOS DE LAS PERSONAS MAYORES EN EL ESTADO DE CHIHUAHUA, EN MATERIA DE  ORIENTACIÓN, ACOMPAÑAMIENTO Y SIMPLIFICACIÓN ADMINISTRATIVA.</w:t>
      </w:r>
      <w:r>
        <w:rPr>
          <w:rFonts w:ascii="Avenir Next LT Pro" w:eastAsia="Calibri" w:hAnsi="Avenir Next LT Pro" w:cs="Arial"/>
          <w:b/>
          <w:bCs/>
        </w:rPr>
        <w:t xml:space="preserve"> </w:t>
      </w:r>
      <w:r>
        <w:rPr>
          <w:rFonts w:ascii="Avenir Next LT Pro" w:eastAsia="Calibri" w:hAnsi="Avenir Next LT Pro" w:cs="Arial"/>
        </w:rPr>
        <w:t xml:space="preserve">Lo anterior </w:t>
      </w:r>
      <w:r>
        <w:rPr>
          <w:rFonts w:ascii="Avenir Next LT Pro" w:eastAsia="Verdana" w:hAnsi="Avenir Next LT Pro" w:cs="Arial"/>
          <w:color w:val="000000"/>
        </w:rPr>
        <w:t xml:space="preserve">por los motivos y fundamentos que a continuación se expresan. </w:t>
      </w:r>
    </w:p>
    <w:p w14:paraId="44A94AD6" w14:textId="77777777" w:rsidR="0048614F" w:rsidRPr="006A6859" w:rsidRDefault="0048614F" w:rsidP="0048614F">
      <w:pPr>
        <w:spacing w:line="360" w:lineRule="auto"/>
        <w:jc w:val="both"/>
        <w:rPr>
          <w:rFonts w:ascii="Avenir Next LT Pro" w:eastAsia="Calibri" w:hAnsi="Avenir Next LT Pro" w:cs="Arial"/>
          <w:b/>
          <w:bCs/>
        </w:rPr>
      </w:pPr>
    </w:p>
    <w:p w14:paraId="350D9A34" w14:textId="77777777" w:rsidR="0048614F" w:rsidRDefault="0048614F" w:rsidP="0048614F">
      <w:pPr>
        <w:widowControl w:val="0"/>
        <w:spacing w:line="360" w:lineRule="auto"/>
        <w:jc w:val="center"/>
        <w:rPr>
          <w:rFonts w:ascii="Avenir Next LT Pro" w:eastAsia="Verdana" w:hAnsi="Avenir Next LT Pro" w:cs="Arial"/>
          <w:b/>
          <w:color w:val="000000"/>
        </w:rPr>
      </w:pPr>
      <w:r>
        <w:rPr>
          <w:rFonts w:ascii="Avenir Next LT Pro" w:eastAsia="Verdana" w:hAnsi="Avenir Next LT Pro" w:cs="Arial"/>
          <w:b/>
          <w:color w:val="000000"/>
        </w:rPr>
        <w:t>EXPOSICIÓN DE MOTIVOS</w:t>
      </w:r>
    </w:p>
    <w:p w14:paraId="3E962DCE" w14:textId="77777777" w:rsidR="0048614F" w:rsidRDefault="0048614F" w:rsidP="0048614F">
      <w:pPr>
        <w:widowControl w:val="0"/>
        <w:spacing w:line="360" w:lineRule="auto"/>
        <w:jc w:val="center"/>
        <w:rPr>
          <w:rFonts w:ascii="Avenir Next LT Pro" w:eastAsia="Calibri" w:hAnsi="Avenir Next LT Pro" w:cs="Arial"/>
          <w:b/>
          <w:bCs/>
        </w:rPr>
      </w:pPr>
    </w:p>
    <w:p w14:paraId="65E1832C" w14:textId="24593FE7" w:rsidR="0048614F" w:rsidRPr="00C92070" w:rsidRDefault="0048614F" w:rsidP="0048614F">
      <w:pPr>
        <w:spacing w:line="360" w:lineRule="auto"/>
        <w:jc w:val="both"/>
        <w:rPr>
          <w:rFonts w:ascii="Avenir Next LT Pro" w:eastAsia="Calibri" w:hAnsi="Avenir Next LT Pro"/>
        </w:rPr>
      </w:pPr>
      <w:r w:rsidRPr="00C92070">
        <w:rPr>
          <w:rFonts w:ascii="Avenir Next LT Pro" w:eastAsia="Calibri" w:hAnsi="Avenir Next LT Pro"/>
        </w:rPr>
        <w:t xml:space="preserve">La transformación demográfica de México ha dejado de ser una proyección para convertirse en una realidad inminente que exige una reconfiguración urgente de las políticas públicas. </w:t>
      </w:r>
      <w:r w:rsidR="00CF6D43">
        <w:rPr>
          <w:rFonts w:ascii="Avenir Next LT Pro" w:eastAsia="Calibri" w:hAnsi="Avenir Next LT Pro"/>
        </w:rPr>
        <w:t>Nuestro</w:t>
      </w:r>
      <w:r w:rsidRPr="00C92070">
        <w:rPr>
          <w:rFonts w:ascii="Avenir Next LT Pro" w:eastAsia="Calibri" w:hAnsi="Avenir Next LT Pro"/>
        </w:rPr>
        <w:t xml:space="preserve"> país ha transitado de una estructura poblacional predominantemente joven a un acelerado proceso de envejecimiento: mientras que en el año 2000 la edad mediana era de 22 años, actualmente se sitúa en 30.5 y se estima que para 2050 ascenderá a 43 años. Según las estimaciones más recientes del Consejo Nacional de Población (CONAPO, 2025), México cuenta </w:t>
      </w:r>
      <w:r w:rsidRPr="00C92070">
        <w:rPr>
          <w:rFonts w:ascii="Avenir Next LT Pro" w:eastAsia="Calibri" w:hAnsi="Avenir Next LT Pro"/>
        </w:rPr>
        <w:lastRenderedPageBreak/>
        <w:t xml:space="preserve">hoy con más de 17.1 millones de personas adultas mayores, constituyendo el 12.8% de la población total. Este cambio estructural prevé que para 2030 el segmento de personas mayores supere al de los jóvenes menores de 14 años, alcanzando un 34.2% para el año 2070. </w:t>
      </w:r>
      <w:r>
        <w:rPr>
          <w:rStyle w:val="Refdenotaalpie"/>
          <w:rFonts w:ascii="Avenir Next LT Pro" w:eastAsia="Calibri" w:hAnsi="Avenir Next LT Pro"/>
        </w:rPr>
        <w:footnoteReference w:id="1"/>
      </w:r>
    </w:p>
    <w:p w14:paraId="604A3308" w14:textId="77777777" w:rsidR="005A032D" w:rsidRDefault="005A032D" w:rsidP="0048614F">
      <w:pPr>
        <w:spacing w:line="360" w:lineRule="auto"/>
        <w:jc w:val="both"/>
        <w:rPr>
          <w:rFonts w:ascii="Avenir Next LT Pro" w:eastAsia="Calibri" w:hAnsi="Avenir Next LT Pro"/>
        </w:rPr>
      </w:pPr>
    </w:p>
    <w:p w14:paraId="1772175D" w14:textId="105321F3" w:rsidR="0048614F" w:rsidRPr="00C92070" w:rsidRDefault="0048614F" w:rsidP="0048614F">
      <w:pPr>
        <w:spacing w:line="360" w:lineRule="auto"/>
        <w:jc w:val="both"/>
        <w:rPr>
          <w:rFonts w:ascii="Avenir Next LT Pro" w:eastAsia="Calibri" w:hAnsi="Avenir Next LT Pro"/>
        </w:rPr>
      </w:pPr>
      <w:r w:rsidRPr="00C92070">
        <w:rPr>
          <w:rFonts w:ascii="Avenir Next LT Pro" w:eastAsia="Calibri" w:hAnsi="Avenir Next LT Pro"/>
        </w:rPr>
        <w:t>Esta tendencia se replica en el contexto estatal, donde el índice de envejecimiento, que hoy se ubica en 34.22 adultos mayores por cada 100 menores, crecerá exponencialmente hasta 131.27 para el año 2050. Actualmente, 484,210 adultos mayores residen en el estado</w:t>
      </w:r>
      <w:r>
        <w:rPr>
          <w:rStyle w:val="Refdenotaalpie"/>
          <w:rFonts w:ascii="Avenir Next LT Pro" w:eastAsia="Calibri" w:hAnsi="Avenir Next LT Pro"/>
        </w:rPr>
        <w:footnoteReference w:id="2"/>
      </w:r>
      <w:r w:rsidRPr="00C92070">
        <w:rPr>
          <w:rFonts w:ascii="Avenir Next LT Pro" w:eastAsia="Calibri" w:hAnsi="Avenir Next LT Pro"/>
        </w:rPr>
        <w:t>, enfrentando el reto de que la longevidad ganada vaya acompañada de dignidad y pleno ejercicio de derechos.</w:t>
      </w:r>
    </w:p>
    <w:p w14:paraId="0EF6FF3D" w14:textId="77777777" w:rsidR="0048614F" w:rsidRDefault="0048614F" w:rsidP="0048614F">
      <w:pPr>
        <w:spacing w:line="360" w:lineRule="auto"/>
        <w:jc w:val="both"/>
        <w:rPr>
          <w:rFonts w:ascii="Avenir Next LT Pro" w:eastAsia="Calibri" w:hAnsi="Avenir Next LT Pro"/>
        </w:rPr>
      </w:pPr>
      <w:r w:rsidRPr="00C92070">
        <w:rPr>
          <w:rFonts w:ascii="Avenir Next LT Pro" w:eastAsia="Calibri" w:hAnsi="Avenir Next LT Pro"/>
        </w:rPr>
        <w:t xml:space="preserve">Ante este escenario, es imperativo acudir al </w:t>
      </w:r>
      <w:r w:rsidRPr="00C92070">
        <w:rPr>
          <w:rFonts w:ascii="Avenir Next LT Pro" w:eastAsia="Calibri" w:hAnsi="Avenir Next LT Pro"/>
          <w:i/>
          <w:iCs/>
        </w:rPr>
        <w:t>corpus iuris</w:t>
      </w:r>
      <w:r w:rsidRPr="00C92070">
        <w:rPr>
          <w:rFonts w:ascii="Avenir Next LT Pro" w:eastAsia="Calibri" w:hAnsi="Avenir Next LT Pro"/>
        </w:rPr>
        <w:t xml:space="preserve"> internacional, el cual ha evolucionado para reconocer que la edad avanzada no debe ser causa de disminución de derechos. La Convención Interamericana sobre la Protección de los Derechos Humanos de las Personas Mayores, establece un cambio de paradigma, dejando atrás la visión asistencialista para adoptar un enfoque de derechos humanos que obliga a los Estados a realizar "ajustes razonables" para eliminar la discriminación, entendida también como aquellas barreras administrativas que excluyen a este grupo poblacional. </w:t>
      </w:r>
    </w:p>
    <w:p w14:paraId="6B1FC92B" w14:textId="77777777" w:rsidR="00A26478" w:rsidRPr="00C92070" w:rsidRDefault="00A26478" w:rsidP="0048614F">
      <w:pPr>
        <w:spacing w:line="360" w:lineRule="auto"/>
        <w:jc w:val="both"/>
        <w:rPr>
          <w:rFonts w:ascii="Avenir Next LT Pro" w:eastAsia="Calibri" w:hAnsi="Avenir Next LT Pro"/>
        </w:rPr>
      </w:pPr>
    </w:p>
    <w:p w14:paraId="34AA8055" w14:textId="77777777" w:rsidR="0048614F" w:rsidRDefault="0048614F" w:rsidP="0048614F">
      <w:pPr>
        <w:spacing w:line="360" w:lineRule="auto"/>
        <w:jc w:val="both"/>
        <w:rPr>
          <w:rFonts w:ascii="Avenir Next LT Pro" w:eastAsia="Calibri" w:hAnsi="Avenir Next LT Pro"/>
        </w:rPr>
      </w:pPr>
      <w:r w:rsidRPr="00C92070">
        <w:rPr>
          <w:rFonts w:ascii="Avenir Next LT Pro" w:eastAsia="Calibri" w:hAnsi="Avenir Next LT Pro"/>
        </w:rPr>
        <w:t xml:space="preserve">Adicionalmente, el Pacto Internacional de Derechos Económicos, Sociales y Culturales también reconoce el derecho de las personas adultas mayores a vivir con dignidad, seguridad y autonomía. Estos acuerdos exigen que los Estados </w:t>
      </w:r>
      <w:r w:rsidRPr="00C92070">
        <w:rPr>
          <w:rFonts w:ascii="Avenir Next LT Pro" w:eastAsia="Calibri" w:hAnsi="Avenir Next LT Pro"/>
        </w:rPr>
        <w:lastRenderedPageBreak/>
        <w:t>adopten medidas para eliminar cualquier forma de discriminación por motivos de edad. La Declaración Universal de los Derechos Humanos, en su artículo 25, igualmente establece el derecho a un nivel de vida adecuado, incluyendo el acceso a seguridad social y servicios sociales.</w:t>
      </w:r>
    </w:p>
    <w:p w14:paraId="3E28876C" w14:textId="77777777" w:rsidR="00503936" w:rsidRPr="00C92070" w:rsidRDefault="00503936" w:rsidP="0048614F">
      <w:pPr>
        <w:spacing w:line="360" w:lineRule="auto"/>
        <w:jc w:val="both"/>
        <w:rPr>
          <w:rFonts w:ascii="Avenir Next LT Pro" w:eastAsia="Calibri" w:hAnsi="Avenir Next LT Pro"/>
        </w:rPr>
      </w:pPr>
    </w:p>
    <w:p w14:paraId="0C0A0710" w14:textId="77777777" w:rsidR="0048614F" w:rsidRDefault="0048614F" w:rsidP="0048614F">
      <w:pPr>
        <w:spacing w:line="360" w:lineRule="auto"/>
        <w:jc w:val="both"/>
        <w:rPr>
          <w:rFonts w:ascii="Avenir Next LT Pro" w:eastAsia="Calibri" w:hAnsi="Avenir Next LT Pro"/>
        </w:rPr>
      </w:pPr>
      <w:r w:rsidRPr="00C92070">
        <w:rPr>
          <w:rFonts w:ascii="Avenir Next LT Pro" w:eastAsia="Calibri" w:hAnsi="Avenir Next LT Pro"/>
        </w:rPr>
        <w:t>De acuerdo con el artículo 2 de la Convención Americana sobre Derechos Humanos, los Estados deben adoptar "medidas legislativas o de otro carácter" que fueren necesarias para hacer efectivos los derechos reconocidos por la propia Convención. Esto incluye garantizar la participación activa de las personas mayores en la sociedad, facilitando su acceso a servicios esenciales. Asimismo, deben proporcionar información clara y accesible que les permita tomar decisiones informadas.</w:t>
      </w:r>
    </w:p>
    <w:p w14:paraId="36C80A91" w14:textId="77777777" w:rsidR="00503936" w:rsidRPr="00C92070" w:rsidRDefault="00503936" w:rsidP="0048614F">
      <w:pPr>
        <w:spacing w:line="360" w:lineRule="auto"/>
        <w:jc w:val="both"/>
        <w:rPr>
          <w:rFonts w:ascii="Avenir Next LT Pro" w:eastAsia="Calibri" w:hAnsi="Avenir Next LT Pro"/>
        </w:rPr>
      </w:pPr>
    </w:p>
    <w:p w14:paraId="77BD9D8B" w14:textId="3C279E5D" w:rsidR="0048614F" w:rsidRPr="00C92070" w:rsidRDefault="0048614F" w:rsidP="0048614F">
      <w:pPr>
        <w:spacing w:line="360" w:lineRule="auto"/>
        <w:jc w:val="both"/>
        <w:rPr>
          <w:rFonts w:ascii="Avenir Next LT Pro" w:eastAsia="Calibri" w:hAnsi="Avenir Next LT Pro"/>
        </w:rPr>
      </w:pPr>
      <w:r w:rsidRPr="00C92070">
        <w:rPr>
          <w:rFonts w:ascii="Avenir Next LT Pro" w:eastAsia="Calibri" w:hAnsi="Avenir Next LT Pro"/>
        </w:rPr>
        <w:t>Bajo esta lógica de progresividad, diversas entidades federativas ya han comenzado a armonizar sus leyes para enfrentar estos desafíos. Ejemplos claros se observan en la Ciudad de México, donde la Ley de Reconocimiento de los Derechos de las Personas Mayores promueve módulos de atención especializada para asegurar agilidad y dignidad; en Jalisco, cuya legislación reconoce el derecho específico a recibir orientación en trámites administrativos; y en Querétaro, que fomenta la asistencia y colaboración interinstitucional para crear entornos accesibles. Estas experiencias demuestran que es posible y necesario avanzar hacia una administración pública empática y adaptada.</w:t>
      </w:r>
    </w:p>
    <w:p w14:paraId="55AB24DF" w14:textId="77777777" w:rsidR="00ED7B0D" w:rsidRDefault="00ED7B0D" w:rsidP="0048614F">
      <w:pPr>
        <w:spacing w:line="360" w:lineRule="auto"/>
        <w:jc w:val="both"/>
        <w:rPr>
          <w:rFonts w:ascii="Avenir Next LT Pro" w:eastAsia="Calibri" w:hAnsi="Avenir Next LT Pro"/>
        </w:rPr>
      </w:pPr>
    </w:p>
    <w:p w14:paraId="4051C832" w14:textId="50AF8F3B" w:rsidR="0048614F" w:rsidRDefault="0048614F" w:rsidP="0048614F">
      <w:pPr>
        <w:spacing w:line="360" w:lineRule="auto"/>
        <w:jc w:val="both"/>
        <w:rPr>
          <w:rFonts w:ascii="Avenir Next LT Pro" w:eastAsia="Calibri" w:hAnsi="Avenir Next LT Pro"/>
        </w:rPr>
      </w:pPr>
      <w:r w:rsidRPr="00C92070">
        <w:rPr>
          <w:rFonts w:ascii="Avenir Next LT Pro" w:eastAsia="Calibri" w:hAnsi="Avenir Next LT Pro"/>
        </w:rPr>
        <w:t xml:space="preserve">En Chihuahua </w:t>
      </w:r>
      <w:r w:rsidR="00ED7B0D">
        <w:rPr>
          <w:rFonts w:ascii="Avenir Next LT Pro" w:eastAsia="Calibri" w:hAnsi="Avenir Next LT Pro"/>
        </w:rPr>
        <w:t xml:space="preserve">se </w:t>
      </w:r>
      <w:r w:rsidRPr="00C92070">
        <w:rPr>
          <w:rFonts w:ascii="Avenir Next LT Pro" w:eastAsia="Calibri" w:hAnsi="Avenir Next LT Pro"/>
        </w:rPr>
        <w:t xml:space="preserve">ha consolidado un marco legal robusto. La Ley de Derechos de las Personas Mayores vigente reconoce a este grupo como sujetos plenos de derechos y establece la obligación de garantizar su Protección Integral con un enfoque preferente y diferencial. Reforzando este compromiso, esta H. Soberanía </w:t>
      </w:r>
      <w:r w:rsidRPr="00C92070">
        <w:rPr>
          <w:rFonts w:ascii="Avenir Next LT Pro" w:eastAsia="Calibri" w:hAnsi="Avenir Next LT Pro"/>
        </w:rPr>
        <w:lastRenderedPageBreak/>
        <w:t>aprobó recientemente una reforma al Código Municipal para el Estado de Chihuahua, con el fin de establecer mecanismos de atención digna y preferente en todos los trámites y servicios de la Administración Pública Municipal. Sin embargo, a pesar de estos avances normativos, la realidad operativa demuestra que las personas mayores siguen enfrentando obstáculos significativos derivados de la complejidad burocrática y la falta de orientación específica.</w:t>
      </w:r>
    </w:p>
    <w:p w14:paraId="53804DE4" w14:textId="77777777" w:rsidR="00ED7B0D" w:rsidRPr="00C92070" w:rsidRDefault="00ED7B0D" w:rsidP="0048614F">
      <w:pPr>
        <w:spacing w:line="360" w:lineRule="auto"/>
        <w:jc w:val="both"/>
        <w:rPr>
          <w:rFonts w:ascii="Avenir Next LT Pro" w:eastAsia="Calibri" w:hAnsi="Avenir Next LT Pro"/>
        </w:rPr>
      </w:pPr>
    </w:p>
    <w:p w14:paraId="1C79F2D1" w14:textId="77777777" w:rsidR="0048614F" w:rsidRDefault="0048614F" w:rsidP="0048614F">
      <w:pPr>
        <w:spacing w:line="360" w:lineRule="auto"/>
        <w:jc w:val="both"/>
        <w:rPr>
          <w:rFonts w:ascii="Avenir Next LT Pro" w:eastAsia="Calibri" w:hAnsi="Avenir Next LT Pro"/>
        </w:rPr>
      </w:pPr>
      <w:r w:rsidRPr="00C92070">
        <w:rPr>
          <w:rFonts w:ascii="Avenir Next LT Pro" w:eastAsia="Calibri" w:hAnsi="Avenir Next LT Pro"/>
        </w:rPr>
        <w:t xml:space="preserve">Es innegable que la modernización administrativa y la creciente digitalización de los servicios públicos, si bien eficientes para el grueso de la población, han generado una "brecha de implementación" para las personas mayores. La tecnificación del lenguaje oficial, la dispersión de las dependencias, la exigencia de requisitos documentales en ocasiones excesivos y la migración de trámites a plataformas digitales sin la debida asistencia presencial, constituyen barreras invisibles pero infranqueables. </w:t>
      </w:r>
    </w:p>
    <w:p w14:paraId="4692E492" w14:textId="77777777" w:rsidR="00474B7F" w:rsidRPr="00C92070" w:rsidRDefault="00474B7F" w:rsidP="0048614F">
      <w:pPr>
        <w:spacing w:line="360" w:lineRule="auto"/>
        <w:jc w:val="both"/>
        <w:rPr>
          <w:rFonts w:ascii="Avenir Next LT Pro" w:eastAsia="Calibri" w:hAnsi="Avenir Next LT Pro"/>
        </w:rPr>
      </w:pPr>
    </w:p>
    <w:p w14:paraId="0D650ECD" w14:textId="1326A19E" w:rsidR="0048614F" w:rsidRDefault="0048614F" w:rsidP="0048614F">
      <w:pPr>
        <w:spacing w:line="360" w:lineRule="auto"/>
        <w:jc w:val="both"/>
        <w:rPr>
          <w:rFonts w:ascii="Avenir Next LT Pro" w:eastAsia="Calibri" w:hAnsi="Avenir Next LT Pro"/>
        </w:rPr>
      </w:pPr>
      <w:r w:rsidRPr="00C92070">
        <w:rPr>
          <w:rFonts w:ascii="Avenir Next LT Pro" w:eastAsia="Calibri" w:hAnsi="Avenir Next LT Pro"/>
        </w:rPr>
        <w:t xml:space="preserve">Esta complejidad burocrática, coloca al adulto mayor en una situación de </w:t>
      </w:r>
      <w:r w:rsidR="007C6A84">
        <w:rPr>
          <w:rFonts w:ascii="Avenir Next LT Pro" w:eastAsia="Calibri" w:hAnsi="Avenir Next LT Pro"/>
        </w:rPr>
        <w:t>desventaja</w:t>
      </w:r>
      <w:r w:rsidRPr="00C92070">
        <w:rPr>
          <w:rFonts w:ascii="Avenir Next LT Pro" w:eastAsia="Calibri" w:hAnsi="Avenir Next LT Pro"/>
        </w:rPr>
        <w:t>, donde el agotamiento físico y la confusión ante procesos que en muchas ocasiones son complicados, derivan a menudo en el desistimiento de sus legítimas pretensiones. La burocracia, cuando carece de un rostro humano y solidario, se convierte en un agente discriminatorio que vulnera la autonomía de la persona mayor.</w:t>
      </w:r>
    </w:p>
    <w:p w14:paraId="6CAB4004" w14:textId="77777777" w:rsidR="00120D71" w:rsidRPr="00C92070" w:rsidRDefault="00120D71" w:rsidP="0048614F">
      <w:pPr>
        <w:spacing w:line="360" w:lineRule="auto"/>
        <w:jc w:val="both"/>
        <w:rPr>
          <w:rFonts w:ascii="Avenir Next LT Pro" w:eastAsia="Calibri" w:hAnsi="Avenir Next LT Pro"/>
        </w:rPr>
      </w:pPr>
    </w:p>
    <w:p w14:paraId="78F57DE6" w14:textId="466BB0CD" w:rsidR="0048614F" w:rsidRPr="002C2215" w:rsidRDefault="002C2215" w:rsidP="002C2215">
      <w:pPr>
        <w:spacing w:line="360" w:lineRule="auto"/>
        <w:jc w:val="both"/>
        <w:rPr>
          <w:rFonts w:ascii="Avenir Next LT Pro" w:eastAsia="Calibri" w:hAnsi="Avenir Next LT Pro"/>
        </w:rPr>
      </w:pPr>
      <w:r w:rsidRPr="002C2215">
        <w:rPr>
          <w:rFonts w:ascii="Avenir Next LT Pro" w:eastAsia="Calibri" w:hAnsi="Avenir Next LT Pro"/>
        </w:rPr>
        <w:t xml:space="preserve">Para consolidar los principios de igualdad y </w:t>
      </w:r>
      <w:proofErr w:type="gramStart"/>
      <w:r w:rsidRPr="002C2215">
        <w:rPr>
          <w:rFonts w:ascii="Avenir Next LT Pro" w:eastAsia="Calibri" w:hAnsi="Avenir Next LT Pro"/>
        </w:rPr>
        <w:t>no discriminación vigentes</w:t>
      </w:r>
      <w:proofErr w:type="gramEnd"/>
      <w:r w:rsidRPr="002C2215">
        <w:rPr>
          <w:rFonts w:ascii="Avenir Next LT Pro" w:eastAsia="Calibri" w:hAnsi="Avenir Next LT Pro"/>
        </w:rPr>
        <w:t xml:space="preserve"> en Chihuahua, y conforme a los estándares internacionales, es necesario reforzar la legislación estatal mediante mecanismos legales que garanticen la corresponsabilidad y el derecho a la orientación y el acompañamiento. Ello permitirá que el acceso a servicios y programas gubernamentales se realice de </w:t>
      </w:r>
      <w:r w:rsidRPr="002C2215">
        <w:rPr>
          <w:rFonts w:ascii="Avenir Next LT Pro" w:eastAsia="Calibri" w:hAnsi="Avenir Next LT Pro"/>
        </w:rPr>
        <w:lastRenderedPageBreak/>
        <w:t xml:space="preserve">manera informada, eficiente y respetuosa, eliminando las barreras que actualmente dificultan el ejercicio pleno de la ciudadanía en </w:t>
      </w:r>
      <w:r w:rsidR="008147DC">
        <w:rPr>
          <w:rFonts w:ascii="Avenir Next LT Pro" w:eastAsia="Calibri" w:hAnsi="Avenir Next LT Pro"/>
        </w:rPr>
        <w:t>las personas mayores</w:t>
      </w:r>
      <w:r w:rsidRPr="002C2215">
        <w:rPr>
          <w:rFonts w:ascii="Avenir Next LT Pro" w:eastAsia="Calibri" w:hAnsi="Avenir Next LT Pro"/>
        </w:rPr>
        <w:t>.</w:t>
      </w:r>
    </w:p>
    <w:p w14:paraId="7CEBDFEE" w14:textId="77777777" w:rsidR="0048614F" w:rsidRDefault="0048614F" w:rsidP="0048614F">
      <w:pPr>
        <w:spacing w:line="360" w:lineRule="auto"/>
        <w:jc w:val="both"/>
        <w:rPr>
          <w:rFonts w:ascii="Avenir Next LT Pro" w:eastAsia="Calibri" w:hAnsi="Avenir Next LT Pro"/>
        </w:rPr>
      </w:pPr>
      <w:r w:rsidRPr="00C92070">
        <w:rPr>
          <w:rFonts w:ascii="Avenir Next LT Pro" w:eastAsia="Calibri" w:hAnsi="Avenir Next LT Pro"/>
        </w:rPr>
        <w:t>En este sentido, la presente propuesta se alinea con los instrumentos internacionales que exigen a los Estados adoptar medidas legislativas para hacer efectivos los derechos reconocidos a las personas mayores, incluyendo la provisión de información clara y accesible para la toma de decisiones informadas, abarcando explícitamente la realización de trámites administrativos.</w:t>
      </w:r>
    </w:p>
    <w:p w14:paraId="5B757511" w14:textId="77777777" w:rsidR="004C6612" w:rsidRPr="00C92070" w:rsidRDefault="004C6612" w:rsidP="0048614F">
      <w:pPr>
        <w:spacing w:line="360" w:lineRule="auto"/>
        <w:jc w:val="both"/>
        <w:rPr>
          <w:rFonts w:ascii="Avenir Next LT Pro" w:eastAsia="Calibri" w:hAnsi="Avenir Next LT Pro"/>
        </w:rPr>
      </w:pPr>
    </w:p>
    <w:p w14:paraId="7FFAA591" w14:textId="77777777" w:rsidR="0048614F" w:rsidRDefault="0048614F" w:rsidP="0048614F">
      <w:pPr>
        <w:spacing w:line="360" w:lineRule="auto"/>
        <w:jc w:val="both"/>
        <w:rPr>
          <w:rFonts w:ascii="Avenir Next LT Pro" w:eastAsia="Calibri" w:hAnsi="Avenir Next LT Pro" w:cs="Arial"/>
          <w:b/>
          <w:bCs/>
        </w:rPr>
      </w:pPr>
      <w:r>
        <w:rPr>
          <w:rFonts w:ascii="Avenir Next LT Pro" w:eastAsia="Calibri" w:hAnsi="Avenir Next LT Pro" w:cs="Arial"/>
          <w:b/>
          <w:bCs/>
        </w:rPr>
        <w:t xml:space="preserve">Por lo anteriormente expuesto, me permito someter a consideración de esta soberanía, el presente proyecto con carácter de: </w:t>
      </w:r>
    </w:p>
    <w:p w14:paraId="4DAEB279" w14:textId="77777777" w:rsidR="0048614F" w:rsidRDefault="0048614F" w:rsidP="0048614F">
      <w:pPr>
        <w:spacing w:line="360" w:lineRule="auto"/>
        <w:jc w:val="center"/>
        <w:rPr>
          <w:rFonts w:ascii="Avenir Next LT Pro" w:eastAsia="Calibri" w:hAnsi="Avenir Next LT Pro" w:cs="Arial"/>
          <w:b/>
          <w:bCs/>
        </w:rPr>
      </w:pPr>
      <w:r>
        <w:rPr>
          <w:rFonts w:ascii="Avenir Next LT Pro" w:eastAsia="Calibri" w:hAnsi="Avenir Next LT Pro" w:cs="Arial"/>
          <w:b/>
          <w:bCs/>
        </w:rPr>
        <w:t>DECRETO</w:t>
      </w:r>
    </w:p>
    <w:p w14:paraId="42019D1B" w14:textId="77777777" w:rsidR="0048614F" w:rsidRPr="006A6859" w:rsidRDefault="0048614F" w:rsidP="0048614F">
      <w:pPr>
        <w:spacing w:line="360" w:lineRule="auto"/>
        <w:jc w:val="both"/>
        <w:rPr>
          <w:rFonts w:ascii="Avenir Next LT Pro" w:eastAsia="Calibri" w:hAnsi="Avenir Next LT Pro" w:cs="Arial"/>
        </w:rPr>
      </w:pPr>
      <w:r w:rsidRPr="006A6859">
        <w:rPr>
          <w:rFonts w:ascii="Avenir Next LT Pro" w:eastAsia="Calibri" w:hAnsi="Avenir Next LT Pro" w:cs="Arial"/>
          <w:b/>
          <w:bCs/>
          <w:sz w:val="28"/>
          <w:szCs w:val="28"/>
        </w:rPr>
        <w:t>PRIMERO. -</w:t>
      </w:r>
      <w:r w:rsidRPr="006A6859">
        <w:rPr>
          <w:rFonts w:ascii="Avenir Next LT Pro" w:eastAsia="Calibri" w:hAnsi="Avenir Next LT Pro" w:cs="Arial"/>
          <w:sz w:val="28"/>
          <w:szCs w:val="28"/>
        </w:rPr>
        <w:t xml:space="preserve">  </w:t>
      </w:r>
      <w:r w:rsidRPr="00F034A9">
        <w:rPr>
          <w:rFonts w:ascii="Avenir Next LT Pro" w:eastAsia="Calibri" w:hAnsi="Avenir Next LT Pro" w:cs="Arial"/>
        </w:rPr>
        <w:t xml:space="preserve">Se </w:t>
      </w:r>
      <w:r w:rsidRPr="00F034A9">
        <w:rPr>
          <w:rFonts w:ascii="Avenir Next LT Pro" w:eastAsia="Calibri" w:hAnsi="Avenir Next LT Pro" w:cs="Arial"/>
          <w:b/>
          <w:bCs/>
        </w:rPr>
        <w:t>REFORMA</w:t>
      </w:r>
      <w:r w:rsidRPr="00F034A9">
        <w:rPr>
          <w:rFonts w:ascii="Avenir Next LT Pro" w:eastAsia="Calibri" w:hAnsi="Avenir Next LT Pro" w:cs="Arial"/>
        </w:rPr>
        <w:t xml:space="preserve"> la fracción VI del Artículo 5 de la Ley de Derechos de las Personas Mayores en el Estado de Chihuahua, para quedar </w:t>
      </w:r>
      <w:r>
        <w:rPr>
          <w:rFonts w:ascii="Avenir Next LT Pro" w:eastAsia="Calibri" w:hAnsi="Avenir Next LT Pro" w:cs="Arial"/>
        </w:rPr>
        <w:t>redactado de la siguiente manera</w:t>
      </w:r>
      <w:r w:rsidRPr="00F034A9">
        <w:rPr>
          <w:rFonts w:ascii="Avenir Next LT Pro" w:eastAsia="Calibri" w:hAnsi="Avenir Next LT Pro" w:cs="Arial"/>
        </w:rPr>
        <w:t>:</w:t>
      </w:r>
    </w:p>
    <w:p w14:paraId="52F4E3C8" w14:textId="77777777" w:rsidR="0048614F" w:rsidRPr="00564CF3" w:rsidRDefault="0048614F" w:rsidP="0048614F">
      <w:pPr>
        <w:spacing w:line="360" w:lineRule="auto"/>
        <w:ind w:left="284"/>
        <w:jc w:val="both"/>
        <w:rPr>
          <w:rFonts w:ascii="Avenir Next LT Pro" w:eastAsia="Calibri" w:hAnsi="Avenir Next LT Pro" w:cs="Arial"/>
        </w:rPr>
      </w:pPr>
      <w:r w:rsidRPr="00564CF3">
        <w:rPr>
          <w:rFonts w:ascii="Avenir Next LT Pro" w:eastAsia="Calibri" w:hAnsi="Avenir Next LT Pro" w:cs="Arial"/>
          <w:b/>
          <w:bCs/>
        </w:rPr>
        <w:t xml:space="preserve">Artículo 5. </w:t>
      </w:r>
      <w:r w:rsidRPr="00564CF3">
        <w:rPr>
          <w:rFonts w:ascii="Avenir Next LT Pro" w:eastAsia="Calibri" w:hAnsi="Avenir Next LT Pro" w:cs="Arial"/>
        </w:rPr>
        <w:t>Para garantizar la atención integral de los derechos de las personas mayores, las autoridades estatales y municipales deberán:</w:t>
      </w:r>
    </w:p>
    <w:p w14:paraId="17D35ABB" w14:textId="77777777" w:rsidR="0048614F" w:rsidRPr="00564CF3" w:rsidRDefault="0048614F" w:rsidP="0048614F">
      <w:pPr>
        <w:spacing w:line="360" w:lineRule="auto"/>
        <w:ind w:left="284"/>
        <w:jc w:val="both"/>
        <w:rPr>
          <w:rFonts w:ascii="Avenir Next LT Pro" w:eastAsia="Calibri" w:hAnsi="Avenir Next LT Pro" w:cs="Arial"/>
        </w:rPr>
      </w:pPr>
      <w:r w:rsidRPr="00564CF3">
        <w:rPr>
          <w:rFonts w:ascii="Avenir Next LT Pro" w:eastAsia="Calibri" w:hAnsi="Avenir Next LT Pro" w:cs="Arial"/>
        </w:rPr>
        <w:t>I. a V. [</w:t>
      </w:r>
      <w:proofErr w:type="gramStart"/>
      <w:r w:rsidRPr="00564CF3">
        <w:rPr>
          <w:rFonts w:ascii="Avenir Next LT Pro" w:eastAsia="Calibri" w:hAnsi="Avenir Next LT Pro" w:cs="Arial"/>
        </w:rPr>
        <w:t>… ]</w:t>
      </w:r>
      <w:proofErr w:type="gramEnd"/>
    </w:p>
    <w:p w14:paraId="224C8111" w14:textId="4B3F3833" w:rsidR="0048614F" w:rsidRDefault="0048614F" w:rsidP="0048614F">
      <w:pPr>
        <w:spacing w:line="360" w:lineRule="auto"/>
        <w:ind w:left="709"/>
        <w:jc w:val="both"/>
        <w:rPr>
          <w:rFonts w:ascii="Avenir Next LT Pro" w:eastAsia="Calibri" w:hAnsi="Avenir Next LT Pro" w:cs="Arial"/>
          <w:b/>
          <w:bCs/>
        </w:rPr>
      </w:pPr>
      <w:r w:rsidRPr="00564CF3">
        <w:rPr>
          <w:rFonts w:ascii="Avenir Next LT Pro" w:eastAsia="Calibri" w:hAnsi="Avenir Next LT Pro" w:cs="Arial"/>
          <w:b/>
          <w:bCs/>
        </w:rPr>
        <w:t xml:space="preserve">VI. </w:t>
      </w:r>
      <w:r w:rsidRPr="00564CF3">
        <w:rPr>
          <w:rFonts w:ascii="Avenir Next LT Pro" w:eastAsia="Calibri" w:hAnsi="Avenir Next LT Pro" w:cs="Arial"/>
        </w:rPr>
        <w:t>Con base en un enfoque de derechos, propiciar un trato preferencial,</w:t>
      </w:r>
      <w:r w:rsidRPr="00564CF3">
        <w:rPr>
          <w:rFonts w:ascii="Avenir Next LT Pro" w:eastAsia="Calibri" w:hAnsi="Avenir Next LT Pro" w:cs="Arial"/>
          <w:b/>
          <w:bCs/>
        </w:rPr>
        <w:t xml:space="preserve"> asistido e informado, </w:t>
      </w:r>
      <w:r w:rsidRPr="00564CF3">
        <w:rPr>
          <w:rFonts w:ascii="Avenir Next LT Pro" w:eastAsia="Calibri" w:hAnsi="Avenir Next LT Pro" w:cs="Arial"/>
        </w:rPr>
        <w:t>que sea acorde a sus condiciones y necesidades especiales;</w:t>
      </w:r>
      <w:r w:rsidRPr="00564CF3">
        <w:rPr>
          <w:rFonts w:ascii="Avenir Next LT Pro" w:eastAsia="Calibri" w:hAnsi="Avenir Next LT Pro" w:cs="Arial"/>
          <w:b/>
          <w:bCs/>
        </w:rPr>
        <w:t xml:space="preserve"> </w:t>
      </w:r>
      <w:r w:rsidR="000E00EF" w:rsidRPr="000E00EF">
        <w:rPr>
          <w:rFonts w:ascii="Avenir Next LT Pro" w:eastAsia="Calibri" w:hAnsi="Avenir Next LT Pro" w:cs="Arial"/>
          <w:b/>
          <w:bCs/>
        </w:rPr>
        <w:t>garantiza</w:t>
      </w:r>
      <w:r w:rsidR="000E00EF">
        <w:rPr>
          <w:rFonts w:ascii="Avenir Next LT Pro" w:eastAsia="Calibri" w:hAnsi="Avenir Next LT Pro" w:cs="Arial"/>
          <w:b/>
          <w:bCs/>
        </w:rPr>
        <w:t>ndo</w:t>
      </w:r>
      <w:r w:rsidR="000E00EF" w:rsidRPr="000E00EF">
        <w:rPr>
          <w:rFonts w:ascii="Avenir Next LT Pro" w:eastAsia="Calibri" w:hAnsi="Avenir Next LT Pro" w:cs="Arial"/>
          <w:b/>
          <w:bCs/>
        </w:rPr>
        <w:t xml:space="preserve"> que las dependencias y entidades públicas, proporcionen orientación clara, accesible y adecuada para el acceso a servicios y </w:t>
      </w:r>
      <w:r w:rsidR="00FC70D2">
        <w:rPr>
          <w:rFonts w:ascii="Avenir Next LT Pro" w:eastAsia="Calibri" w:hAnsi="Avenir Next LT Pro" w:cs="Arial"/>
          <w:b/>
          <w:bCs/>
        </w:rPr>
        <w:t xml:space="preserve">a </w:t>
      </w:r>
      <w:r w:rsidR="000E00EF" w:rsidRPr="000E00EF">
        <w:rPr>
          <w:rFonts w:ascii="Avenir Next LT Pro" w:eastAsia="Calibri" w:hAnsi="Avenir Next LT Pro" w:cs="Arial"/>
          <w:b/>
          <w:bCs/>
        </w:rPr>
        <w:t xml:space="preserve">la realización de trámites públicos; </w:t>
      </w:r>
      <w:r w:rsidR="009F73D8">
        <w:rPr>
          <w:rFonts w:ascii="Avenir Next LT Pro" w:eastAsia="Calibri" w:hAnsi="Avenir Next LT Pro" w:cs="Arial"/>
          <w:b/>
          <w:bCs/>
        </w:rPr>
        <w:t>debiendo</w:t>
      </w:r>
      <w:r w:rsidR="000E00EF" w:rsidRPr="000E00EF">
        <w:rPr>
          <w:rFonts w:ascii="Avenir Next LT Pro" w:eastAsia="Calibri" w:hAnsi="Avenir Next LT Pro" w:cs="Arial"/>
          <w:b/>
          <w:bCs/>
        </w:rPr>
        <w:t xml:space="preserve"> eliminar obstáculos </w:t>
      </w:r>
      <w:r w:rsidR="002E3A10">
        <w:rPr>
          <w:rFonts w:ascii="Avenir Next LT Pro" w:eastAsia="Calibri" w:hAnsi="Avenir Next LT Pro" w:cs="Arial"/>
          <w:b/>
          <w:bCs/>
        </w:rPr>
        <w:t xml:space="preserve">burocráticos </w:t>
      </w:r>
      <w:r w:rsidR="000E00EF" w:rsidRPr="000E00EF">
        <w:rPr>
          <w:rFonts w:ascii="Avenir Next LT Pro" w:eastAsia="Calibri" w:hAnsi="Avenir Next LT Pro" w:cs="Arial"/>
          <w:b/>
          <w:bCs/>
        </w:rPr>
        <w:t>y establec</w:t>
      </w:r>
      <w:r w:rsidR="009D6D2F">
        <w:rPr>
          <w:rFonts w:ascii="Avenir Next LT Pro" w:eastAsia="Calibri" w:hAnsi="Avenir Next LT Pro" w:cs="Arial"/>
          <w:b/>
          <w:bCs/>
        </w:rPr>
        <w:t>er</w:t>
      </w:r>
      <w:r w:rsidR="000E00EF" w:rsidRPr="000E00EF">
        <w:rPr>
          <w:rFonts w:ascii="Avenir Next LT Pro" w:eastAsia="Calibri" w:hAnsi="Avenir Next LT Pro" w:cs="Arial"/>
          <w:b/>
          <w:bCs/>
        </w:rPr>
        <w:t xml:space="preserve"> mecanismos </w:t>
      </w:r>
      <w:r w:rsidR="00383052">
        <w:rPr>
          <w:rFonts w:ascii="Avenir Next LT Pro" w:eastAsia="Calibri" w:hAnsi="Avenir Next LT Pro" w:cs="Arial"/>
          <w:b/>
          <w:bCs/>
        </w:rPr>
        <w:t xml:space="preserve">de apoyo </w:t>
      </w:r>
      <w:r w:rsidR="000E00EF" w:rsidRPr="000E00EF">
        <w:rPr>
          <w:rFonts w:ascii="Avenir Next LT Pro" w:eastAsia="Calibri" w:hAnsi="Avenir Next LT Pro" w:cs="Arial"/>
          <w:b/>
          <w:bCs/>
        </w:rPr>
        <w:t>que aseguren un acompañamiento personalizado e integral durante todo el proceso.</w:t>
      </w:r>
    </w:p>
    <w:p w14:paraId="0A5E6809" w14:textId="0B7D559F" w:rsidR="00125E9D" w:rsidRPr="008750F2" w:rsidRDefault="008750F2" w:rsidP="008750F2">
      <w:pPr>
        <w:spacing w:line="360" w:lineRule="auto"/>
        <w:ind w:left="284"/>
        <w:jc w:val="both"/>
        <w:rPr>
          <w:rFonts w:ascii="Avenir Next LT Pro" w:eastAsia="Calibri" w:hAnsi="Avenir Next LT Pro" w:cs="Arial"/>
          <w:lang w:val="en-US"/>
        </w:rPr>
      </w:pPr>
      <w:r w:rsidRPr="008750F2">
        <w:rPr>
          <w:rFonts w:ascii="Avenir Next LT Pro" w:eastAsia="Calibri" w:hAnsi="Avenir Next LT Pro" w:cs="Arial"/>
          <w:lang w:val="en-US"/>
        </w:rPr>
        <w:t xml:space="preserve">VII a IX </w:t>
      </w:r>
      <w:r w:rsidRPr="008750F2">
        <w:rPr>
          <w:rFonts w:ascii="Avenir Next LT Pro" w:eastAsia="Calibri" w:hAnsi="Avenir Next LT Pro" w:cs="Arial"/>
        </w:rPr>
        <w:t>[</w:t>
      </w:r>
      <w:proofErr w:type="gramStart"/>
      <w:r w:rsidRPr="008750F2">
        <w:rPr>
          <w:rFonts w:ascii="Avenir Next LT Pro" w:eastAsia="Calibri" w:hAnsi="Avenir Next LT Pro" w:cs="Arial"/>
        </w:rPr>
        <w:t>… ]</w:t>
      </w:r>
      <w:proofErr w:type="gramEnd"/>
    </w:p>
    <w:p w14:paraId="6C002770" w14:textId="77777777" w:rsidR="0048614F" w:rsidRDefault="0048614F" w:rsidP="0048614F">
      <w:pPr>
        <w:spacing w:line="360" w:lineRule="auto"/>
        <w:jc w:val="center"/>
        <w:rPr>
          <w:rFonts w:ascii="Avenir Next LT Pro" w:eastAsia="Calibri" w:hAnsi="Avenir Next LT Pro" w:cs="Arial"/>
          <w:b/>
          <w:bCs/>
          <w:lang w:val="en-US"/>
        </w:rPr>
      </w:pPr>
      <w:r>
        <w:rPr>
          <w:rFonts w:ascii="Avenir Next LT Pro" w:eastAsia="Calibri" w:hAnsi="Avenir Next LT Pro" w:cs="Arial"/>
          <w:b/>
          <w:bCs/>
          <w:lang w:val="en-US"/>
        </w:rPr>
        <w:lastRenderedPageBreak/>
        <w:t>T R A N S I T O R I O</w:t>
      </w:r>
    </w:p>
    <w:p w14:paraId="5CF5F1B7" w14:textId="77777777" w:rsidR="0048614F" w:rsidRDefault="0048614F" w:rsidP="0048614F">
      <w:pPr>
        <w:spacing w:line="360" w:lineRule="auto"/>
        <w:jc w:val="both"/>
        <w:rPr>
          <w:rFonts w:ascii="Avenir Next LT Pro" w:eastAsia="Calibri" w:hAnsi="Avenir Next LT Pro" w:cs="Arial"/>
        </w:rPr>
      </w:pPr>
      <w:r>
        <w:rPr>
          <w:rFonts w:ascii="Avenir Next LT Pro" w:eastAsia="Calibri" w:hAnsi="Avenir Next LT Pro" w:cs="Arial"/>
          <w:b/>
          <w:bCs/>
        </w:rPr>
        <w:t xml:space="preserve">ÚNICO. - </w:t>
      </w:r>
      <w:r>
        <w:rPr>
          <w:rFonts w:ascii="Avenir Next LT Pro" w:eastAsia="Calibri" w:hAnsi="Avenir Next LT Pro" w:cs="Arial"/>
        </w:rPr>
        <w:t>El presente Decreto entrará en vigor al día siguiente de su publicación en el Periódico Oficial del Estado.</w:t>
      </w:r>
    </w:p>
    <w:p w14:paraId="676533EC" w14:textId="77777777" w:rsidR="00383052" w:rsidRDefault="00383052" w:rsidP="0048614F">
      <w:pPr>
        <w:spacing w:line="360" w:lineRule="auto"/>
        <w:jc w:val="both"/>
        <w:rPr>
          <w:rFonts w:ascii="Avenir Next LT Pro" w:eastAsia="Calibri" w:hAnsi="Avenir Next LT Pro" w:cs="Arial"/>
        </w:rPr>
      </w:pPr>
    </w:p>
    <w:p w14:paraId="6246E766" w14:textId="77777777" w:rsidR="0048614F" w:rsidRDefault="0048614F" w:rsidP="0048614F">
      <w:pPr>
        <w:spacing w:line="360" w:lineRule="auto"/>
        <w:jc w:val="both"/>
        <w:rPr>
          <w:rFonts w:ascii="Avenir Next LT Pro" w:eastAsia="Calibri" w:hAnsi="Avenir Next LT Pro" w:cs="Arial"/>
        </w:rPr>
      </w:pPr>
      <w:r>
        <w:rPr>
          <w:rFonts w:ascii="Avenir Next LT Pro" w:eastAsia="Calibri" w:hAnsi="Avenir Next LT Pro" w:cs="Arial"/>
          <w:b/>
          <w:bCs/>
        </w:rPr>
        <w:t xml:space="preserve">ECONÓMICO. </w:t>
      </w:r>
      <w:r>
        <w:rPr>
          <w:rFonts w:ascii="Avenir Next LT Pro" w:eastAsia="Calibri" w:hAnsi="Avenir Next LT Pro" w:cs="Arial"/>
        </w:rPr>
        <w:t>Aprobado que sea,</w:t>
      </w:r>
      <w:r>
        <w:rPr>
          <w:rFonts w:ascii="Avenir Next LT Pro" w:eastAsia="Calibri" w:hAnsi="Avenir Next LT Pro" w:cs="Arial"/>
          <w:b/>
          <w:bCs/>
        </w:rPr>
        <w:t xml:space="preserve"> </w:t>
      </w:r>
      <w:r>
        <w:rPr>
          <w:rFonts w:ascii="Avenir Next LT Pro" w:eastAsia="Calibri" w:hAnsi="Avenir Next LT Pro" w:cs="Arial"/>
        </w:rPr>
        <w:t>túrnese a la Secretaría para que elabore la minuta de Decreto, en los términos en que deba publicarse.</w:t>
      </w:r>
    </w:p>
    <w:p w14:paraId="6921CF80" w14:textId="77777777" w:rsidR="00185B58" w:rsidRDefault="00185B58" w:rsidP="0048614F">
      <w:pPr>
        <w:spacing w:line="360" w:lineRule="auto"/>
        <w:jc w:val="both"/>
        <w:rPr>
          <w:rFonts w:ascii="Avenir Next LT Pro" w:eastAsia="Calibri" w:hAnsi="Avenir Next LT Pro" w:cs="Arial"/>
          <w:b/>
          <w:bCs/>
        </w:rPr>
      </w:pPr>
    </w:p>
    <w:p w14:paraId="55281FCD" w14:textId="292FB87C" w:rsidR="0048614F" w:rsidRDefault="0048614F" w:rsidP="0048614F">
      <w:pPr>
        <w:spacing w:line="360" w:lineRule="auto"/>
        <w:jc w:val="both"/>
        <w:rPr>
          <w:rFonts w:ascii="Avenir Next LT Pro" w:eastAsia="Calibri" w:hAnsi="Avenir Next LT Pro" w:cs="Arial"/>
        </w:rPr>
      </w:pPr>
      <w:r>
        <w:rPr>
          <w:rFonts w:ascii="Avenir Next LT Pro" w:eastAsia="Calibri" w:hAnsi="Avenir Next LT Pro" w:cs="Arial"/>
          <w:b/>
          <w:bCs/>
        </w:rPr>
        <w:t xml:space="preserve">D A D </w:t>
      </w:r>
      <w:proofErr w:type="gramStart"/>
      <w:r>
        <w:rPr>
          <w:rFonts w:ascii="Avenir Next LT Pro" w:eastAsia="Calibri" w:hAnsi="Avenir Next LT Pro" w:cs="Arial"/>
          <w:b/>
          <w:bCs/>
        </w:rPr>
        <w:t>O</w:t>
      </w:r>
      <w:r>
        <w:rPr>
          <w:rFonts w:ascii="Avenir Next LT Pro" w:eastAsia="Calibri" w:hAnsi="Avenir Next LT Pro" w:cs="Arial"/>
        </w:rPr>
        <w:t xml:space="preserve">  en</w:t>
      </w:r>
      <w:proofErr w:type="gramEnd"/>
      <w:r>
        <w:rPr>
          <w:rFonts w:ascii="Avenir Next LT Pro" w:eastAsia="Calibri" w:hAnsi="Avenir Next LT Pro" w:cs="Arial"/>
        </w:rPr>
        <w:t xml:space="preserve"> la sede del Poder Legislativo del Estado de Chihuahua, a los </w:t>
      </w:r>
      <w:r w:rsidR="00185B58">
        <w:rPr>
          <w:rFonts w:ascii="Avenir Next LT Pro" w:eastAsia="Calibri" w:hAnsi="Avenir Next LT Pro" w:cs="Arial"/>
        </w:rPr>
        <w:t>7</w:t>
      </w:r>
      <w:r>
        <w:rPr>
          <w:rFonts w:ascii="Avenir Next LT Pro" w:eastAsia="Calibri" w:hAnsi="Avenir Next LT Pro" w:cs="Arial"/>
        </w:rPr>
        <w:t xml:space="preserve"> días  del mes de </w:t>
      </w:r>
      <w:r w:rsidR="00185B58">
        <w:rPr>
          <w:rFonts w:ascii="Avenir Next LT Pro" w:eastAsia="Calibri" w:hAnsi="Avenir Next LT Pro" w:cs="Arial"/>
        </w:rPr>
        <w:t>abril</w:t>
      </w:r>
      <w:r>
        <w:rPr>
          <w:rFonts w:ascii="Avenir Next LT Pro" w:eastAsia="Calibri" w:hAnsi="Avenir Next LT Pro" w:cs="Arial"/>
        </w:rPr>
        <w:t xml:space="preserve"> de 202</w:t>
      </w:r>
      <w:r w:rsidR="00185B58">
        <w:rPr>
          <w:rFonts w:ascii="Avenir Next LT Pro" w:eastAsia="Calibri" w:hAnsi="Avenir Next LT Pro" w:cs="Arial"/>
        </w:rPr>
        <w:t>6</w:t>
      </w:r>
      <w:r>
        <w:rPr>
          <w:rFonts w:ascii="Avenir Next LT Pro" w:eastAsia="Calibri" w:hAnsi="Avenir Next LT Pro" w:cs="Arial"/>
        </w:rPr>
        <w:t>.</w:t>
      </w:r>
    </w:p>
    <w:p w14:paraId="7F58DCF3" w14:textId="77777777" w:rsidR="0048614F" w:rsidRDefault="0048614F" w:rsidP="0048614F">
      <w:pPr>
        <w:spacing w:line="360" w:lineRule="auto"/>
        <w:jc w:val="center"/>
        <w:rPr>
          <w:rFonts w:ascii="Avenir Next LT Pro" w:eastAsia="Calibri" w:hAnsi="Avenir Next LT Pro" w:cs="Arial"/>
          <w:b/>
        </w:rPr>
      </w:pPr>
      <w:r>
        <w:rPr>
          <w:rFonts w:ascii="Avenir Next LT Pro" w:eastAsia="Calibri" w:hAnsi="Avenir Next LT Pro" w:cs="Arial"/>
          <w:b/>
        </w:rPr>
        <w:t>ATENTAMENTE</w:t>
      </w:r>
    </w:p>
    <w:p w14:paraId="0F21628C" w14:textId="77777777" w:rsidR="0048614F" w:rsidRDefault="0048614F" w:rsidP="0048614F">
      <w:pPr>
        <w:spacing w:line="360" w:lineRule="auto"/>
        <w:jc w:val="center"/>
        <w:rPr>
          <w:rFonts w:ascii="Avenir Next LT Pro" w:eastAsia="Calibri" w:hAnsi="Avenir Next LT Pro" w:cs="Arial"/>
          <w:b/>
        </w:rPr>
      </w:pPr>
    </w:p>
    <w:p w14:paraId="0ECE498A" w14:textId="77777777" w:rsidR="0048614F" w:rsidRDefault="0048614F" w:rsidP="0048614F">
      <w:pPr>
        <w:tabs>
          <w:tab w:val="left" w:pos="6120"/>
        </w:tabs>
        <w:spacing w:line="360" w:lineRule="auto"/>
        <w:jc w:val="center"/>
        <w:rPr>
          <w:rFonts w:ascii="Avenir Next LT Pro" w:eastAsia="Arial Unicode MS" w:hAnsi="Avenir Next LT Pro" w:cs="Arial"/>
          <w:b/>
          <w:bCs/>
          <w:color w:val="000000"/>
          <w:u w:color="000000"/>
          <w:lang w:eastAsia="es-MX"/>
        </w:rPr>
      </w:pPr>
      <w:r>
        <w:rPr>
          <w:rFonts w:ascii="Avenir Next LT Pro" w:eastAsia="Arial Unicode MS" w:hAnsi="Avenir Next LT Pro" w:cs="Arial"/>
          <w:b/>
          <w:bCs/>
          <w:color w:val="000000"/>
          <w:u w:color="000000"/>
          <w:shd w:val="clear" w:color="auto" w:fill="FFFFFF"/>
          <w:lang w:eastAsia="es-MX"/>
        </w:rPr>
        <w:t xml:space="preserve">DIP. </w:t>
      </w:r>
      <w:r>
        <w:rPr>
          <w:rFonts w:ascii="Avenir Next LT Pro" w:eastAsia="Arial Unicode MS" w:hAnsi="Avenir Next LT Pro" w:cs="Arial"/>
          <w:b/>
          <w:bCs/>
          <w:color w:val="000000"/>
          <w:u w:color="000000"/>
          <w:lang w:eastAsia="es-MX"/>
        </w:rPr>
        <w:t>JOSÉ LUIS VILLALOBOS GARCÍA.</w:t>
      </w:r>
    </w:p>
    <w:p w14:paraId="1AE7DAD9" w14:textId="77777777" w:rsidR="0048614F" w:rsidRPr="00350A64" w:rsidRDefault="0048614F" w:rsidP="0048614F">
      <w:pPr>
        <w:tabs>
          <w:tab w:val="left" w:pos="6120"/>
        </w:tabs>
        <w:jc w:val="both"/>
        <w:rPr>
          <w:rFonts w:ascii="Avenir Next LT Pro" w:eastAsia="Arial" w:hAnsi="Avenir Next LT Pro" w:cs="Arial"/>
          <w:b/>
          <w:bCs/>
          <w:color w:val="000000"/>
          <w:sz w:val="20"/>
          <w:szCs w:val="20"/>
          <w:u w:color="000000"/>
          <w:shd w:val="clear" w:color="auto" w:fill="FFFFFF"/>
          <w:lang w:eastAsia="es-MX"/>
        </w:rPr>
      </w:pPr>
      <w:r w:rsidRPr="0085135D">
        <w:rPr>
          <w:rFonts w:ascii="Avenir Next LT Pro" w:eastAsia="Arial" w:hAnsi="Avenir Next LT Pro" w:cs="Arial"/>
          <w:b/>
          <w:bCs/>
          <w:color w:val="000000"/>
          <w:sz w:val="20"/>
          <w:szCs w:val="20"/>
          <w:u w:color="000000"/>
          <w:shd w:val="clear" w:color="auto" w:fill="FFFFFF"/>
          <w:lang w:eastAsia="es-MX"/>
        </w:rPr>
        <w:t xml:space="preserve">La presente hoja de firmas corresponde a </w:t>
      </w:r>
      <w:r w:rsidRPr="00777249">
        <w:rPr>
          <w:rFonts w:ascii="Avenir Next LT Pro" w:eastAsia="Arial" w:hAnsi="Avenir Next LT Pro" w:cs="Arial"/>
          <w:b/>
          <w:bCs/>
          <w:color w:val="000000"/>
          <w:sz w:val="20"/>
          <w:szCs w:val="20"/>
          <w:u w:color="000000"/>
          <w:shd w:val="clear" w:color="auto" w:fill="FFFFFF"/>
          <w:lang w:eastAsia="es-MX"/>
        </w:rPr>
        <w:t xml:space="preserve">iniciativa con carácter de decreto a efecto de reformar </w:t>
      </w:r>
      <w:r>
        <w:rPr>
          <w:rFonts w:ascii="Avenir Next LT Pro" w:eastAsia="Arial" w:hAnsi="Avenir Next LT Pro" w:cs="Arial"/>
          <w:b/>
          <w:bCs/>
          <w:color w:val="000000"/>
          <w:sz w:val="20"/>
          <w:szCs w:val="20"/>
          <w:u w:color="000000"/>
          <w:shd w:val="clear" w:color="auto" w:fill="FFFFFF"/>
          <w:lang w:eastAsia="es-MX"/>
        </w:rPr>
        <w:t>la Ley de Derechos de las Personas Mayores en el Estado de Chihuahua en materia de orientación, acompañamiento y simplificación administrativa</w:t>
      </w:r>
      <w:r w:rsidRPr="00D5603D">
        <w:rPr>
          <w:rFonts w:ascii="Avenir Next LT Pro" w:eastAsia="Arial" w:hAnsi="Avenir Next LT Pro" w:cs="Arial"/>
          <w:b/>
          <w:bCs/>
          <w:color w:val="000000"/>
          <w:sz w:val="20"/>
          <w:szCs w:val="20"/>
          <w:u w:color="000000"/>
          <w:shd w:val="clear" w:color="auto" w:fill="FFFFFF"/>
          <w:lang w:eastAsia="es-MX"/>
        </w:rPr>
        <w:t>.</w:t>
      </w:r>
    </w:p>
    <w:p w14:paraId="7DBAEF05" w14:textId="403ED680" w:rsidR="0017726C" w:rsidRPr="0048614F" w:rsidRDefault="0017726C" w:rsidP="0048614F">
      <w:pPr>
        <w:spacing w:line="360" w:lineRule="auto"/>
        <w:jc w:val="both"/>
        <w:rPr>
          <w:rFonts w:ascii="Avenir Next LT Pro" w:eastAsia="Calibri" w:hAnsi="Avenir Next LT Pro" w:cs="Arial"/>
          <w:b/>
          <w:bCs/>
          <w:sz w:val="22"/>
          <w:szCs w:val="22"/>
        </w:rPr>
      </w:pPr>
    </w:p>
    <w:sectPr w:rsidR="0017726C" w:rsidRPr="0048614F" w:rsidSect="005F5A1C">
      <w:headerReference w:type="default" r:id="rId8"/>
      <w:footerReference w:type="default" r:id="rId9"/>
      <w:pgSz w:w="12240" w:h="15840"/>
      <w:pgMar w:top="2836"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42ED" w14:textId="77777777" w:rsidR="00C563EE" w:rsidRDefault="00C563EE" w:rsidP="0045616C">
      <w:r>
        <w:separator/>
      </w:r>
    </w:p>
  </w:endnote>
  <w:endnote w:type="continuationSeparator" w:id="0">
    <w:p w14:paraId="4A804EFF" w14:textId="77777777" w:rsidR="00C563EE" w:rsidRDefault="00C563EE" w:rsidP="0045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0.5">
    <w:altName w:val="Cambria"/>
    <w:panose1 w:val="00000000000000000000"/>
    <w:charset w:val="00"/>
    <w:family w:val="roman"/>
    <w:notTrueType/>
    <w:pitch w:val="default"/>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67334"/>
      <w:docPartObj>
        <w:docPartGallery w:val="Page Numbers (Bottom of Page)"/>
        <w:docPartUnique/>
      </w:docPartObj>
    </w:sdtPr>
    <w:sdtEndPr/>
    <w:sdtContent>
      <w:p w14:paraId="6C3612CF" w14:textId="4087B0AD" w:rsidR="001804C1" w:rsidRDefault="001804C1">
        <w:pPr>
          <w:pStyle w:val="Piedepgina"/>
          <w:jc w:val="right"/>
        </w:pPr>
        <w:r>
          <w:fldChar w:fldCharType="begin"/>
        </w:r>
        <w:r>
          <w:instrText>PAGE   \* MERGEFORMAT</w:instrText>
        </w:r>
        <w:r>
          <w:fldChar w:fldCharType="separate"/>
        </w:r>
        <w:r>
          <w:rPr>
            <w:lang w:val="es-ES"/>
          </w:rPr>
          <w:t>2</w:t>
        </w:r>
        <w:r>
          <w:fldChar w:fldCharType="end"/>
        </w:r>
      </w:p>
    </w:sdtContent>
  </w:sdt>
  <w:p w14:paraId="0B41A2EE" w14:textId="748D4FAA" w:rsidR="0045616C" w:rsidRDefault="0045616C" w:rsidP="00E70F29">
    <w:pPr>
      <w:pStyle w:val="Piedepgina"/>
      <w:tabs>
        <w:tab w:val="clear" w:pos="4419"/>
        <w:tab w:val="clear" w:pos="8838"/>
        <w:tab w:val="left" w:pos="787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F676B" w14:textId="77777777" w:rsidR="00C563EE" w:rsidRDefault="00C563EE" w:rsidP="0045616C">
      <w:r>
        <w:separator/>
      </w:r>
    </w:p>
  </w:footnote>
  <w:footnote w:type="continuationSeparator" w:id="0">
    <w:p w14:paraId="7403B074" w14:textId="77777777" w:rsidR="00C563EE" w:rsidRDefault="00C563EE" w:rsidP="0045616C">
      <w:r>
        <w:continuationSeparator/>
      </w:r>
    </w:p>
  </w:footnote>
  <w:footnote w:id="1">
    <w:p w14:paraId="4BC374A6" w14:textId="77777777" w:rsidR="0048614F" w:rsidRDefault="0048614F" w:rsidP="0048614F">
      <w:pPr>
        <w:pStyle w:val="Textonotapie"/>
      </w:pPr>
      <w:r>
        <w:rPr>
          <w:rStyle w:val="Refdenotaalpie"/>
        </w:rPr>
        <w:footnoteRef/>
      </w:r>
      <w:r>
        <w:t xml:space="preserve"> </w:t>
      </w:r>
      <w:r w:rsidRPr="00856EA3">
        <w:t>https://www.gob.mx/inapam/articulos/proyecciones-demograficas-de-un-mexico-que-envejece#:~:text=De%20acuerdo%20con%20las%20estimaciones,12.8%20%25%20de%20la%20poblaci%C3%B3n%20total.</w:t>
      </w:r>
    </w:p>
  </w:footnote>
  <w:footnote w:id="2">
    <w:p w14:paraId="245ED887" w14:textId="77777777" w:rsidR="0048614F" w:rsidRPr="00372587" w:rsidRDefault="0048614F" w:rsidP="0048614F">
      <w:pPr>
        <w:pStyle w:val="Textonotapie"/>
      </w:pPr>
      <w:r>
        <w:rPr>
          <w:rStyle w:val="Refdenotaalpie"/>
        </w:rPr>
        <w:footnoteRef/>
      </w:r>
      <w:r>
        <w:t xml:space="preserve"> </w:t>
      </w:r>
      <w:r w:rsidRPr="00372587">
        <w:t>https://chihuahua.gob.mx/sites/default/atach2/html-generico/adjuntos/2024-10/Envejecimiento%202000%2C%202024%2C%202050%20y%202070.pdf</w:t>
      </w:r>
    </w:p>
    <w:p w14:paraId="65A56CD0" w14:textId="77777777" w:rsidR="0048614F" w:rsidRDefault="0048614F" w:rsidP="0048614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B217" w14:textId="72658D41" w:rsidR="0045616C" w:rsidRDefault="00881EDE" w:rsidP="0045616C">
    <w:pPr>
      <w:tabs>
        <w:tab w:val="left" w:pos="1275"/>
        <w:tab w:val="right" w:pos="8838"/>
      </w:tabs>
    </w:pPr>
    <w:r>
      <w:rPr>
        <w:noProof/>
      </w:rPr>
      <mc:AlternateContent>
        <mc:Choice Requires="wps">
          <w:drawing>
            <wp:anchor distT="0" distB="0" distL="114300" distR="114300" simplePos="0" relativeHeight="251665408" behindDoc="0" locked="0" layoutInCell="1" allowOverlap="1" wp14:anchorId="5DF496AC" wp14:editId="57AF8E9C">
              <wp:simplePos x="0" y="0"/>
              <wp:positionH relativeFrom="column">
                <wp:posOffset>1005840</wp:posOffset>
              </wp:positionH>
              <wp:positionV relativeFrom="paragraph">
                <wp:posOffset>-273367</wp:posOffset>
              </wp:positionV>
              <wp:extent cx="5543550" cy="2857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543550" cy="285750"/>
                      </a:xfrm>
                      <a:prstGeom prst="rect">
                        <a:avLst/>
                      </a:prstGeom>
                      <a:solidFill>
                        <a:sysClr val="window" lastClr="FFFFFF"/>
                      </a:solidFill>
                      <a:ln w="6350">
                        <a:noFill/>
                      </a:ln>
                    </wps:spPr>
                    <wps:txb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DF496AC" id="_x0000_t202" coordsize="21600,21600" o:spt="202" path="m,l,21600r21600,l21600,xe">
              <v:stroke joinstyle="miter"/>
              <v:path gradientshapeok="t" o:connecttype="rect"/>
            </v:shapetype>
            <v:shape id="Cuadro de texto 4" o:spid="_x0000_s1026" type="#_x0000_t202" style="position:absolute;margin-left:79.2pt;margin-top:-21.5pt;width:436.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" fillcolor="window" stroked="f" strokeweight=".5pt">
              <v:textbo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v:textbox>
            </v:shape>
          </w:pict>
        </mc:Fallback>
      </mc:AlternateContent>
    </w:r>
    <w:r w:rsidR="0045616C">
      <w:rPr>
        <w:noProof/>
      </w:rPr>
      <mc:AlternateContent>
        <mc:Choice Requires="wps">
          <w:drawing>
            <wp:anchor distT="0" distB="0" distL="114300" distR="114300" simplePos="0" relativeHeight="251660288" behindDoc="1" locked="0" layoutInCell="1" allowOverlap="1" wp14:anchorId="02F98992" wp14:editId="5867F64E">
              <wp:simplePos x="0" y="0"/>
              <wp:positionH relativeFrom="margin">
                <wp:posOffset>1202055</wp:posOffset>
              </wp:positionH>
              <wp:positionV relativeFrom="paragraph">
                <wp:posOffset>179705</wp:posOffset>
              </wp:positionV>
              <wp:extent cx="5511165" cy="1270"/>
              <wp:effectExtent l="0" t="19050" r="13335" b="17780"/>
              <wp:wrapNone/>
              <wp:docPr id="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165" cy="1270"/>
                      </a:xfrm>
                      <a:custGeom>
                        <a:avLst/>
                        <a:gdLst/>
                        <a:ahLst/>
                        <a:cxnLst/>
                        <a:rect l="l" t="t" r="r" b="b"/>
                        <a:pathLst>
                          <a:path w="5511165">
                            <a:moveTo>
                              <a:pt x="0" y="0"/>
                            </a:moveTo>
                            <a:lnTo>
                              <a:pt x="5510980" y="0"/>
                            </a:lnTo>
                          </a:path>
                        </a:pathLst>
                      </a:custGeom>
                      <a:ln w="30493">
                        <a:solidFill>
                          <a:srgbClr val="802442"/>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93F5C6F" id="Graphic 2" o:spid="_x0000_s1026" style="position:absolute;margin-left:94.65pt;margin-top:14.15pt;width:433.95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coordsize="551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" path="m,l5510980,e" filled="f" strokecolor="#802442" strokeweight=".84703mm">
              <v:path arrowok="t"/>
              <w10:wrap anchorx="margin"/>
            </v:shape>
          </w:pict>
        </mc:Fallback>
      </mc:AlternateContent>
    </w:r>
    <w:r w:rsidR="0045616C">
      <w:rPr>
        <w:noProof/>
      </w:rPr>
      <w:drawing>
        <wp:anchor distT="0" distB="0" distL="114300" distR="114300" simplePos="0" relativeHeight="251655168" behindDoc="1" locked="0" layoutInCell="1" allowOverlap="1" wp14:anchorId="3582179B" wp14:editId="05507F9C">
          <wp:simplePos x="0" y="0"/>
          <wp:positionH relativeFrom="column">
            <wp:posOffset>-527685</wp:posOffset>
          </wp:positionH>
          <wp:positionV relativeFrom="paragraph">
            <wp:posOffset>-211455</wp:posOffset>
          </wp:positionV>
          <wp:extent cx="1000125" cy="1181100"/>
          <wp:effectExtent l="0" t="0" r="9525" b="0"/>
          <wp:wrapNone/>
          <wp:docPr id="7768866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000125" cy="1181100"/>
                  </a:xfrm>
                  <a:prstGeom prst="rect">
                    <a:avLst/>
                  </a:prstGeom>
                </pic:spPr>
              </pic:pic>
            </a:graphicData>
          </a:graphic>
          <wp14:sizeRelH relativeFrom="margin">
            <wp14:pctWidth>0</wp14:pctWidth>
          </wp14:sizeRelH>
          <wp14:sizeRelV relativeFrom="margin">
            <wp14:pctHeight>0</wp14:pctHeight>
          </wp14:sizeRelV>
        </wp:anchor>
      </w:drawing>
    </w:r>
    <w:r w:rsidR="0045616C">
      <w:tab/>
    </w:r>
  </w:p>
  <w:p w14:paraId="119B6EAC" w14:textId="6CC624B0" w:rsidR="0045616C" w:rsidRDefault="0045616C" w:rsidP="0045616C">
    <w:pPr>
      <w:tabs>
        <w:tab w:val="left" w:pos="1275"/>
        <w:tab w:val="right" w:pos="8838"/>
      </w:tabs>
    </w:pPr>
  </w:p>
  <w:p w14:paraId="6400C013" w14:textId="05AE8DF4" w:rsidR="00421DA3" w:rsidRDefault="0045616C" w:rsidP="00421DA3">
    <w:pPr>
      <w:pStyle w:val="Encabezado"/>
      <w:jc w:val="right"/>
    </w:pPr>
    <w:r>
      <w:tab/>
    </w:r>
    <w:r w:rsidR="00421DA3">
      <w:rPr>
        <w:rFonts w:ascii="Edwardian Script ITC" w:hAnsi="Edwardian Script ITC"/>
        <w:b/>
        <w:sz w:val="44"/>
      </w:rPr>
      <w:t xml:space="preserve">Diputado José Luis </w:t>
    </w:r>
    <w:proofErr w:type="gramStart"/>
    <w:r w:rsidR="00421DA3">
      <w:rPr>
        <w:rFonts w:ascii="Edwardian Script ITC" w:hAnsi="Edwardian Script ITC"/>
        <w:b/>
        <w:sz w:val="44"/>
      </w:rPr>
      <w:t>Villalobos  García</w:t>
    </w:r>
    <w:proofErr w:type="gramEnd"/>
  </w:p>
  <w:p w14:paraId="368855CB" w14:textId="7F7388BE" w:rsidR="0045616C" w:rsidRDefault="0045616C" w:rsidP="00421DA3">
    <w:pPr>
      <w:tabs>
        <w:tab w:val="left" w:pos="1275"/>
        <w:tab w:val="right" w:pos="8838"/>
      </w:tabs>
      <w:jc w:val="right"/>
    </w:pPr>
  </w:p>
  <w:p w14:paraId="238F320C" w14:textId="0E51D098" w:rsidR="0045616C" w:rsidRDefault="00800023">
    <w:pPr>
      <w:pStyle w:val="Encabezado"/>
    </w:pPr>
    <w:r>
      <w:rPr>
        <w:noProof/>
      </w:rPr>
      <mc:AlternateContent>
        <mc:Choice Requires="wps">
          <w:drawing>
            <wp:anchor distT="0" distB="0" distL="114300" distR="114300" simplePos="0" relativeHeight="251651072" behindDoc="0" locked="0" layoutInCell="1" allowOverlap="1" wp14:anchorId="790C3EA9" wp14:editId="03553332">
              <wp:simplePos x="0" y="0"/>
              <wp:positionH relativeFrom="margin">
                <wp:posOffset>-889635</wp:posOffset>
              </wp:positionH>
              <wp:positionV relativeFrom="paragraph">
                <wp:posOffset>112395</wp:posOffset>
              </wp:positionV>
              <wp:extent cx="2114550" cy="4476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2114550" cy="447675"/>
                      </a:xfrm>
                      <a:prstGeom prst="rect">
                        <a:avLst/>
                      </a:prstGeom>
                      <a:solidFill>
                        <a:sysClr val="window" lastClr="FFFFFF"/>
                      </a:solidFill>
                      <a:ln w="6350">
                        <a:noFill/>
                      </a:ln>
                    </wps:spPr>
                    <wps:txb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0C3EA9" id="Cuadro de texto 5" o:spid="_x0000_s1027" type="#_x0000_t202" style="position:absolute;margin-left:-70.05pt;margin-top:8.85pt;width:166.5pt;height:3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" fillcolor="window" stroked="f" strokeweight=".5pt">
              <v:textbo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294E"/>
    <w:multiLevelType w:val="multilevel"/>
    <w:tmpl w:val="90F46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21260"/>
    <w:multiLevelType w:val="hybridMultilevel"/>
    <w:tmpl w:val="3F30773C"/>
    <w:lvl w:ilvl="0" w:tplc="E0C69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D5A58"/>
    <w:multiLevelType w:val="multilevel"/>
    <w:tmpl w:val="6E5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6C"/>
    <w:rsid w:val="0001215B"/>
    <w:rsid w:val="000130C8"/>
    <w:rsid w:val="00016588"/>
    <w:rsid w:val="00020588"/>
    <w:rsid w:val="00067947"/>
    <w:rsid w:val="0007480E"/>
    <w:rsid w:val="000900F8"/>
    <w:rsid w:val="000A7F74"/>
    <w:rsid w:val="000D1D5F"/>
    <w:rsid w:val="000E00EF"/>
    <w:rsid w:val="000E0A39"/>
    <w:rsid w:val="00104C42"/>
    <w:rsid w:val="00120D71"/>
    <w:rsid w:val="00125E9D"/>
    <w:rsid w:val="0012729B"/>
    <w:rsid w:val="001518D0"/>
    <w:rsid w:val="001531D8"/>
    <w:rsid w:val="0017726C"/>
    <w:rsid w:val="001804C1"/>
    <w:rsid w:val="00185B58"/>
    <w:rsid w:val="001D0C1B"/>
    <w:rsid w:val="001D3A2F"/>
    <w:rsid w:val="001E4036"/>
    <w:rsid w:val="002240C5"/>
    <w:rsid w:val="002260E7"/>
    <w:rsid w:val="002410B0"/>
    <w:rsid w:val="002505F6"/>
    <w:rsid w:val="00260F85"/>
    <w:rsid w:val="00267B72"/>
    <w:rsid w:val="00275351"/>
    <w:rsid w:val="002822BA"/>
    <w:rsid w:val="00285928"/>
    <w:rsid w:val="002866EC"/>
    <w:rsid w:val="00287650"/>
    <w:rsid w:val="002A1E84"/>
    <w:rsid w:val="002C1212"/>
    <w:rsid w:val="002C2215"/>
    <w:rsid w:val="002E24B2"/>
    <w:rsid w:val="002E3A10"/>
    <w:rsid w:val="0030641A"/>
    <w:rsid w:val="00307A74"/>
    <w:rsid w:val="00313F94"/>
    <w:rsid w:val="00317B41"/>
    <w:rsid w:val="0032581A"/>
    <w:rsid w:val="00327F5A"/>
    <w:rsid w:val="00346C4B"/>
    <w:rsid w:val="00347016"/>
    <w:rsid w:val="00354767"/>
    <w:rsid w:val="00383052"/>
    <w:rsid w:val="003B7948"/>
    <w:rsid w:val="003C3981"/>
    <w:rsid w:val="003D08E4"/>
    <w:rsid w:val="003D7EB4"/>
    <w:rsid w:val="003E156C"/>
    <w:rsid w:val="004003AB"/>
    <w:rsid w:val="00402637"/>
    <w:rsid w:val="004076A4"/>
    <w:rsid w:val="00411B0A"/>
    <w:rsid w:val="00413F2D"/>
    <w:rsid w:val="00421DA3"/>
    <w:rsid w:val="004441A7"/>
    <w:rsid w:val="0045616C"/>
    <w:rsid w:val="0046489A"/>
    <w:rsid w:val="00474B7F"/>
    <w:rsid w:val="00482CB3"/>
    <w:rsid w:val="00483040"/>
    <w:rsid w:val="004835FF"/>
    <w:rsid w:val="00483771"/>
    <w:rsid w:val="0048614F"/>
    <w:rsid w:val="00491FFC"/>
    <w:rsid w:val="00493631"/>
    <w:rsid w:val="004B6042"/>
    <w:rsid w:val="004C657E"/>
    <w:rsid w:val="004C6612"/>
    <w:rsid w:val="004F0750"/>
    <w:rsid w:val="004F5752"/>
    <w:rsid w:val="00503936"/>
    <w:rsid w:val="00505101"/>
    <w:rsid w:val="00551B02"/>
    <w:rsid w:val="005A032D"/>
    <w:rsid w:val="005A40C9"/>
    <w:rsid w:val="005D4187"/>
    <w:rsid w:val="005E6C64"/>
    <w:rsid w:val="005F5A1C"/>
    <w:rsid w:val="00627814"/>
    <w:rsid w:val="006359AC"/>
    <w:rsid w:val="00663232"/>
    <w:rsid w:val="006679FB"/>
    <w:rsid w:val="00670AF6"/>
    <w:rsid w:val="006717BA"/>
    <w:rsid w:val="006A6711"/>
    <w:rsid w:val="006B583D"/>
    <w:rsid w:val="006D7058"/>
    <w:rsid w:val="006D7FD9"/>
    <w:rsid w:val="006E6085"/>
    <w:rsid w:val="006F0B98"/>
    <w:rsid w:val="006F6A6B"/>
    <w:rsid w:val="00735AFC"/>
    <w:rsid w:val="007671DC"/>
    <w:rsid w:val="007762C5"/>
    <w:rsid w:val="00784F44"/>
    <w:rsid w:val="00791D14"/>
    <w:rsid w:val="00794EBE"/>
    <w:rsid w:val="007A7B43"/>
    <w:rsid w:val="007C6A84"/>
    <w:rsid w:val="007E1D87"/>
    <w:rsid w:val="007E385B"/>
    <w:rsid w:val="007E55A8"/>
    <w:rsid w:val="00800023"/>
    <w:rsid w:val="008022E7"/>
    <w:rsid w:val="00810F4E"/>
    <w:rsid w:val="008147DC"/>
    <w:rsid w:val="00821F66"/>
    <w:rsid w:val="00823772"/>
    <w:rsid w:val="00827B26"/>
    <w:rsid w:val="0084214B"/>
    <w:rsid w:val="00853F70"/>
    <w:rsid w:val="008660D1"/>
    <w:rsid w:val="008750F2"/>
    <w:rsid w:val="00881EDE"/>
    <w:rsid w:val="00882223"/>
    <w:rsid w:val="00885432"/>
    <w:rsid w:val="008A57BA"/>
    <w:rsid w:val="008B3FDB"/>
    <w:rsid w:val="008E66A3"/>
    <w:rsid w:val="008F0CAA"/>
    <w:rsid w:val="009011FF"/>
    <w:rsid w:val="009170EA"/>
    <w:rsid w:val="009326C8"/>
    <w:rsid w:val="009645D3"/>
    <w:rsid w:val="00964FAC"/>
    <w:rsid w:val="00996B61"/>
    <w:rsid w:val="00997D71"/>
    <w:rsid w:val="009B7D19"/>
    <w:rsid w:val="009D6D2F"/>
    <w:rsid w:val="009D7009"/>
    <w:rsid w:val="009F3308"/>
    <w:rsid w:val="009F73D8"/>
    <w:rsid w:val="009F75D5"/>
    <w:rsid w:val="00A04DF7"/>
    <w:rsid w:val="00A2527B"/>
    <w:rsid w:val="00A26478"/>
    <w:rsid w:val="00A31CA5"/>
    <w:rsid w:val="00A50220"/>
    <w:rsid w:val="00A5585F"/>
    <w:rsid w:val="00A724AC"/>
    <w:rsid w:val="00A96F2D"/>
    <w:rsid w:val="00AA098F"/>
    <w:rsid w:val="00AB52DF"/>
    <w:rsid w:val="00AB655F"/>
    <w:rsid w:val="00AE1B28"/>
    <w:rsid w:val="00AF0C12"/>
    <w:rsid w:val="00B03C44"/>
    <w:rsid w:val="00B04B9E"/>
    <w:rsid w:val="00B10B0A"/>
    <w:rsid w:val="00B13625"/>
    <w:rsid w:val="00B22A34"/>
    <w:rsid w:val="00B236F4"/>
    <w:rsid w:val="00B343BC"/>
    <w:rsid w:val="00B35205"/>
    <w:rsid w:val="00B62D7C"/>
    <w:rsid w:val="00B95569"/>
    <w:rsid w:val="00BC623B"/>
    <w:rsid w:val="00BD05B2"/>
    <w:rsid w:val="00BE3417"/>
    <w:rsid w:val="00BF6C86"/>
    <w:rsid w:val="00C02625"/>
    <w:rsid w:val="00C07100"/>
    <w:rsid w:val="00C14F97"/>
    <w:rsid w:val="00C16D6B"/>
    <w:rsid w:val="00C2560C"/>
    <w:rsid w:val="00C40885"/>
    <w:rsid w:val="00C42079"/>
    <w:rsid w:val="00C4450C"/>
    <w:rsid w:val="00C47620"/>
    <w:rsid w:val="00C563EE"/>
    <w:rsid w:val="00C7114F"/>
    <w:rsid w:val="00C97168"/>
    <w:rsid w:val="00CC2E8F"/>
    <w:rsid w:val="00CC6B48"/>
    <w:rsid w:val="00CF443C"/>
    <w:rsid w:val="00CF6D43"/>
    <w:rsid w:val="00D01CC3"/>
    <w:rsid w:val="00D04734"/>
    <w:rsid w:val="00D10274"/>
    <w:rsid w:val="00D16BC8"/>
    <w:rsid w:val="00D24255"/>
    <w:rsid w:val="00D4367E"/>
    <w:rsid w:val="00D6067E"/>
    <w:rsid w:val="00DA4BDC"/>
    <w:rsid w:val="00DA5BE9"/>
    <w:rsid w:val="00DB34B5"/>
    <w:rsid w:val="00DC4F1F"/>
    <w:rsid w:val="00DE6171"/>
    <w:rsid w:val="00DE62E1"/>
    <w:rsid w:val="00DE6C9A"/>
    <w:rsid w:val="00DF3620"/>
    <w:rsid w:val="00DF70DA"/>
    <w:rsid w:val="00E42031"/>
    <w:rsid w:val="00E558A2"/>
    <w:rsid w:val="00E70F29"/>
    <w:rsid w:val="00E92861"/>
    <w:rsid w:val="00EA18C1"/>
    <w:rsid w:val="00EA59CF"/>
    <w:rsid w:val="00EA6BBD"/>
    <w:rsid w:val="00EB065A"/>
    <w:rsid w:val="00EB7247"/>
    <w:rsid w:val="00EC16D9"/>
    <w:rsid w:val="00ED7B0D"/>
    <w:rsid w:val="00EF0FC6"/>
    <w:rsid w:val="00F1231C"/>
    <w:rsid w:val="00F32617"/>
    <w:rsid w:val="00F45048"/>
    <w:rsid w:val="00F47BE7"/>
    <w:rsid w:val="00F83088"/>
    <w:rsid w:val="00F9789D"/>
    <w:rsid w:val="00FA36BB"/>
    <w:rsid w:val="00FB4059"/>
    <w:rsid w:val="00FB75FB"/>
    <w:rsid w:val="00FC70D2"/>
    <w:rsid w:val="00FD3F27"/>
    <w:rsid w:val="00FE11F7"/>
    <w:rsid w:val="00FF25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1D5F"/>
  <w15:chartTrackingRefBased/>
  <w15:docId w15:val="{723F1255-3DEC-44B8-8C92-C03BFD25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qFormat/>
    <w:rsid w:val="0045616C"/>
  </w:style>
  <w:style w:type="paragraph" w:styleId="Piedepgina">
    <w:name w:val="footer"/>
    <w:basedOn w:val="Normal"/>
    <w:link w:val="PiedepginaCar"/>
    <w:uiPriority w:val="99"/>
    <w:unhideWhenUsed/>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5616C"/>
  </w:style>
  <w:style w:type="paragraph" w:styleId="Ttulo">
    <w:name w:val="Title"/>
    <w:basedOn w:val="Normal"/>
    <w:link w:val="TtuloCar"/>
    <w:uiPriority w:val="10"/>
    <w:qFormat/>
    <w:rsid w:val="0045616C"/>
    <w:pPr>
      <w:widowControl w:val="0"/>
      <w:autoSpaceDE w:val="0"/>
      <w:autoSpaceDN w:val="0"/>
      <w:spacing w:before="13"/>
      <w:ind w:left="20" w:hanging="507"/>
    </w:pPr>
    <w:rPr>
      <w:rFonts w:ascii="Arial" w:eastAsia="Arial" w:hAnsi="Arial" w:cs="Arial"/>
      <w:sz w:val="22"/>
      <w:szCs w:val="22"/>
      <w:lang w:eastAsia="en-US"/>
    </w:rPr>
  </w:style>
  <w:style w:type="character" w:customStyle="1" w:styleId="TtuloCar">
    <w:name w:val="Título Car"/>
    <w:basedOn w:val="Fuentedeprrafopredeter"/>
    <w:link w:val="Ttulo"/>
    <w:uiPriority w:val="10"/>
    <w:rsid w:val="0045616C"/>
    <w:rPr>
      <w:rFonts w:ascii="Arial" w:eastAsia="Arial" w:hAnsi="Arial" w:cs="Arial"/>
      <w:lang w:val="es-ES"/>
    </w:rPr>
  </w:style>
  <w:style w:type="table" w:styleId="Tablaconcuadrcula">
    <w:name w:val="Table Grid"/>
    <w:basedOn w:val="Tablanormal"/>
    <w:uiPriority w:val="39"/>
    <w:rsid w:val="00C02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617"/>
    <w:pPr>
      <w:spacing w:before="100" w:beforeAutospacing="1" w:after="100" w:afterAutospacing="1"/>
    </w:pPr>
    <w:rPr>
      <w:lang w:val="es-MX" w:eastAsia="es-MX"/>
    </w:rPr>
  </w:style>
  <w:style w:type="character" w:styleId="Textoennegrita">
    <w:name w:val="Strong"/>
    <w:basedOn w:val="Fuentedeprrafopredeter"/>
    <w:uiPriority w:val="22"/>
    <w:qFormat/>
    <w:rsid w:val="00F32617"/>
    <w:rPr>
      <w:b/>
      <w:bCs/>
    </w:rPr>
  </w:style>
  <w:style w:type="character" w:styleId="nfasis">
    <w:name w:val="Emphasis"/>
    <w:basedOn w:val="Fuentedeprrafopredeter"/>
    <w:uiPriority w:val="20"/>
    <w:qFormat/>
    <w:rsid w:val="00F32617"/>
    <w:rPr>
      <w:i/>
      <w:iCs/>
    </w:rPr>
  </w:style>
  <w:style w:type="character" w:styleId="Refdenotaalpie">
    <w:name w:val="footnote reference"/>
    <w:aliases w:val="4_G,16 Point,Superscript 6 Point,Texto de nota al pie,Appel note de bas de page,Footnotes refss,f,Texto nota al pie,Footnote number,referencia nota al pie,BVI fnr,Footnote Reference Char3,Footnote Reference Char1 Char,ftref,Ref,julio"/>
    <w:basedOn w:val="Fuentedeprrafopredeter"/>
    <w:uiPriority w:val="99"/>
    <w:unhideWhenUsed/>
    <w:qFormat/>
    <w:rsid w:val="005F5A1C"/>
    <w:rPr>
      <w:vertAlign w:val="superscript"/>
    </w:rPr>
  </w:style>
  <w:style w:type="paragraph" w:styleId="Textonotapie">
    <w:name w:val="footnote text"/>
    <w:basedOn w:val="Normal"/>
    <w:link w:val="TextonotapieCar"/>
    <w:uiPriority w:val="99"/>
    <w:semiHidden/>
    <w:unhideWhenUsed/>
    <w:qFormat/>
    <w:rsid w:val="005F5A1C"/>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qFormat/>
    <w:rsid w:val="005F5A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6228-E009-4D89-BEC5-27C4D773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1325</Words>
  <Characters>7288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Araly Loera Chaparro</dc:creator>
  <cp:keywords/>
  <dc:description/>
  <cp:lastModifiedBy>Andrea Daniela Flores Chacon</cp:lastModifiedBy>
  <cp:revision>2</cp:revision>
  <cp:lastPrinted>2026-02-23T20:09:00Z</cp:lastPrinted>
  <dcterms:created xsi:type="dcterms:W3CDTF">2026-04-06T19:34:00Z</dcterms:created>
  <dcterms:modified xsi:type="dcterms:W3CDTF">2026-04-06T19:34:00Z</dcterms:modified>
</cp:coreProperties>
</file>