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92E7E3" w14:textId="77777777" w:rsidR="000C5CB5" w:rsidRDefault="000C5CB5" w:rsidP="000C5CB5">
      <w:pPr>
        <w:spacing w:line="360" w:lineRule="auto"/>
        <w:jc w:val="both"/>
        <w:rPr>
          <w:rFonts w:ascii="Arial" w:eastAsia="MS Mincho" w:hAnsi="Arial" w:cs="Arial"/>
          <w:lang w:eastAsia="es-ES"/>
        </w:rPr>
      </w:pPr>
    </w:p>
    <w:p w14:paraId="03540BB9" w14:textId="71339DBE" w:rsidR="000C5CB5" w:rsidRPr="000C5CB5" w:rsidRDefault="000C5CB5" w:rsidP="000C5CB5">
      <w:pPr>
        <w:spacing w:line="360" w:lineRule="auto"/>
        <w:jc w:val="center"/>
        <w:rPr>
          <w:rFonts w:ascii="Arial" w:eastAsia="MS Mincho" w:hAnsi="Arial" w:cs="Arial"/>
          <w:b/>
          <w:bCs/>
          <w:lang w:eastAsia="es-ES"/>
        </w:rPr>
      </w:pPr>
      <w:r w:rsidRPr="000C5CB5">
        <w:rPr>
          <w:rFonts w:ascii="Arial" w:eastAsia="MS Mincho" w:hAnsi="Arial" w:cs="Arial"/>
          <w:b/>
          <w:bCs/>
          <w:lang w:eastAsia="es-ES"/>
        </w:rPr>
        <w:t>PREGUNTAS A LA AUTORIDAD</w:t>
      </w:r>
    </w:p>
    <w:p w14:paraId="64378585" w14:textId="410A3721" w:rsidR="000C5CB5" w:rsidRPr="000C5CB5" w:rsidRDefault="000C5CB5" w:rsidP="000C5CB5">
      <w:pPr>
        <w:spacing w:line="360" w:lineRule="auto"/>
        <w:jc w:val="center"/>
        <w:rPr>
          <w:rFonts w:ascii="Arial" w:eastAsia="MS Mincho" w:hAnsi="Arial" w:cs="Arial"/>
          <w:b/>
          <w:bCs/>
          <w:lang w:eastAsia="es-ES"/>
        </w:rPr>
      </w:pPr>
    </w:p>
    <w:p w14:paraId="3FF1B179" w14:textId="7C244CE7" w:rsidR="000C5CB5" w:rsidRPr="000C5CB5" w:rsidRDefault="000C5CB5" w:rsidP="000C5CB5">
      <w:pPr>
        <w:spacing w:line="240" w:lineRule="auto"/>
        <w:contextualSpacing/>
        <w:jc w:val="both"/>
        <w:rPr>
          <w:rFonts w:ascii="Arial" w:eastAsia="MS Mincho" w:hAnsi="Arial" w:cs="Arial"/>
          <w:b/>
          <w:bCs/>
          <w:lang w:eastAsia="es-ES"/>
        </w:rPr>
      </w:pPr>
      <w:r w:rsidRPr="000C5CB5">
        <w:rPr>
          <w:rFonts w:ascii="Arial" w:eastAsia="MS Mincho" w:hAnsi="Arial" w:cs="Arial"/>
          <w:b/>
          <w:bCs/>
          <w:lang w:eastAsia="es-ES"/>
        </w:rPr>
        <w:t>ING. GABRIEL MARTÍN VALDEZ JUÁREZ</w:t>
      </w:r>
    </w:p>
    <w:p w14:paraId="3AD6BC77" w14:textId="4D02B3F2" w:rsidR="000C5CB5" w:rsidRPr="000C5CB5" w:rsidRDefault="000C5CB5" w:rsidP="000C5CB5">
      <w:pPr>
        <w:spacing w:line="240" w:lineRule="auto"/>
        <w:contextualSpacing/>
        <w:jc w:val="both"/>
        <w:rPr>
          <w:rFonts w:ascii="Arial" w:eastAsia="MS Mincho" w:hAnsi="Arial" w:cs="Arial"/>
          <w:lang w:eastAsia="es-ES"/>
        </w:rPr>
      </w:pPr>
      <w:proofErr w:type="spellStart"/>
      <w:r w:rsidRPr="000C5CB5">
        <w:rPr>
          <w:rFonts w:ascii="Arial" w:eastAsia="MS Mincho" w:hAnsi="Arial" w:cs="Arial"/>
          <w:b/>
          <w:bCs/>
          <w:lang w:eastAsia="es-ES"/>
        </w:rPr>
        <w:t>Secretario</w:t>
      </w:r>
      <w:proofErr w:type="spellEnd"/>
      <w:r w:rsidRPr="000C5CB5">
        <w:rPr>
          <w:rFonts w:ascii="Arial" w:eastAsia="MS Mincho" w:hAnsi="Arial" w:cs="Arial"/>
          <w:b/>
          <w:bCs/>
          <w:lang w:eastAsia="es-ES"/>
        </w:rPr>
        <w:t xml:space="preserve"> de Desarrollo </w:t>
      </w:r>
      <w:proofErr w:type="spellStart"/>
      <w:r w:rsidRPr="000C5CB5">
        <w:rPr>
          <w:rFonts w:ascii="Arial" w:eastAsia="MS Mincho" w:hAnsi="Arial" w:cs="Arial"/>
          <w:b/>
          <w:bCs/>
          <w:lang w:eastAsia="es-ES"/>
        </w:rPr>
        <w:t>Urbano</w:t>
      </w:r>
      <w:proofErr w:type="spellEnd"/>
      <w:r w:rsidRPr="000C5CB5">
        <w:rPr>
          <w:rFonts w:ascii="Arial" w:eastAsia="MS Mincho" w:hAnsi="Arial" w:cs="Arial"/>
          <w:b/>
          <w:bCs/>
          <w:lang w:eastAsia="es-ES"/>
        </w:rPr>
        <w:t xml:space="preserve"> y </w:t>
      </w:r>
      <w:proofErr w:type="spellStart"/>
      <w:r w:rsidRPr="000C5CB5">
        <w:rPr>
          <w:rFonts w:ascii="Arial" w:eastAsia="MS Mincho" w:hAnsi="Arial" w:cs="Arial"/>
          <w:b/>
          <w:bCs/>
          <w:lang w:eastAsia="es-ES"/>
        </w:rPr>
        <w:t>Ecología</w:t>
      </w:r>
      <w:proofErr w:type="spellEnd"/>
      <w:r w:rsidRPr="000C5CB5">
        <w:rPr>
          <w:rFonts w:ascii="Arial" w:eastAsia="MS Mincho" w:hAnsi="Arial" w:cs="Arial"/>
          <w:b/>
          <w:bCs/>
          <w:lang w:eastAsia="es-ES"/>
        </w:rPr>
        <w:t xml:space="preserve"> del Estado</w:t>
      </w:r>
      <w:r>
        <w:rPr>
          <w:rFonts w:ascii="Arial" w:eastAsia="MS Mincho" w:hAnsi="Arial" w:cs="Arial"/>
          <w:lang w:eastAsia="es-ES"/>
        </w:rPr>
        <w:t xml:space="preserve"> </w:t>
      </w:r>
      <w:r w:rsidRPr="000C5CB5">
        <w:rPr>
          <w:rFonts w:ascii="Arial" w:eastAsia="MS Mincho" w:hAnsi="Arial" w:cs="Arial"/>
          <w:b/>
          <w:bCs/>
          <w:lang w:eastAsia="es-ES"/>
        </w:rPr>
        <w:t>de Chihuahua</w:t>
      </w:r>
      <w:r w:rsidRPr="000C5CB5">
        <w:rPr>
          <w:rFonts w:ascii="Arial" w:eastAsia="MS Mincho" w:hAnsi="Arial" w:cs="Arial"/>
          <w:lang w:eastAsia="es-ES"/>
        </w:rPr>
        <w:t xml:space="preserve"> </w:t>
      </w:r>
    </w:p>
    <w:p w14:paraId="58D434E9" w14:textId="77777777" w:rsidR="000C5CB5" w:rsidRDefault="000C5CB5" w:rsidP="000C5CB5">
      <w:pPr>
        <w:spacing w:line="240" w:lineRule="auto"/>
        <w:contextualSpacing/>
        <w:jc w:val="both"/>
        <w:rPr>
          <w:rFonts w:ascii="Arial" w:eastAsia="MS Mincho" w:hAnsi="Arial" w:cs="Arial"/>
          <w:lang w:eastAsia="es-ES"/>
        </w:rPr>
      </w:pPr>
    </w:p>
    <w:p w14:paraId="723DD010" w14:textId="77777777" w:rsidR="004B6965" w:rsidRDefault="004B6965" w:rsidP="004B6965">
      <w:pPr>
        <w:spacing w:after="0" w:line="240" w:lineRule="auto"/>
        <w:jc w:val="center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3786D7DC" w14:textId="77777777" w:rsidR="00EF1336" w:rsidRDefault="00EF1336" w:rsidP="004B6965">
      <w:pPr>
        <w:spacing w:after="0" w:line="240" w:lineRule="auto"/>
        <w:jc w:val="center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</w:p>
    <w:p w14:paraId="5F8E6E74" w14:textId="2229C567" w:rsidR="004B6965" w:rsidRPr="00570A83" w:rsidRDefault="004B6965" w:rsidP="004B6965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  <w:t>EXPOSICIÓN DE MOTIVOS</w:t>
      </w:r>
    </w:p>
    <w:p w14:paraId="76303AD1" w14:textId="77777777" w:rsidR="004B6965" w:rsidRPr="00570A83" w:rsidRDefault="004B6965" w:rsidP="004B6965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I. Problema visible y verificable</w:t>
      </w:r>
    </w:p>
    <w:p w14:paraId="334D6C99" w14:textId="77777777" w:rsidR="004B6965" w:rsidRPr="00570A83" w:rsidRDefault="004B6965" w:rsidP="004B6965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En días recientes, desde distintos puntos de la ciudad de Chihuahua —incluyendo zonas elevadas— se ha documentado la presencia de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capas visibles de contaminación atmosférica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asociadas a fenómenos de inversión térmica.</w:t>
      </w:r>
    </w:p>
    <w:p w14:paraId="3C4BE90C" w14:textId="77777777" w:rsidR="004B6965" w:rsidRPr="00570A83" w:rsidRDefault="004B6965" w:rsidP="004B6965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Estas capas, claramente perceptibles, evidencian la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acumulación de partículas contaminantes en la zona urbana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generando una disminución en la calidad del aire y afectando la salud de la población.</w:t>
      </w:r>
    </w:p>
    <w:p w14:paraId="4738456E" w14:textId="77777777" w:rsidR="004B6965" w:rsidRPr="00570A83" w:rsidRDefault="004B6965" w:rsidP="004B696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Las imágenes que se acompañan al presente exhorto muestran con claridad:</w:t>
      </w:r>
    </w:p>
    <w:p w14:paraId="54CC5F28" w14:textId="77777777" w:rsidR="004B6965" w:rsidRPr="00570A83" w:rsidRDefault="004B6965" w:rsidP="004B6965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Acumulación de contaminantes en la atmósfera </w:t>
      </w:r>
    </w:p>
    <w:p w14:paraId="3F6B6556" w14:textId="77777777" w:rsidR="004B6965" w:rsidRPr="00570A83" w:rsidRDefault="004B6965" w:rsidP="004B6965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Reducción de visibilidad </w:t>
      </w:r>
    </w:p>
    <w:p w14:paraId="161B6BFC" w14:textId="77777777" w:rsidR="004B6965" w:rsidRPr="00570A83" w:rsidRDefault="004B6965" w:rsidP="004B6965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Diferencias entre días con dispersión parcial y días con estancamiento severo </w:t>
      </w:r>
    </w:p>
    <w:p w14:paraId="350A70EC" w14:textId="77777777" w:rsidR="004B6965" w:rsidRPr="00570A83" w:rsidRDefault="004B6965" w:rsidP="004B6965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Lo anterior no constituye un hecho aislado, sino un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patrón recurrente en la ciudad de Chihuahua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.</w:t>
      </w:r>
    </w:p>
    <w:p w14:paraId="6C9AE76C" w14:textId="77777777" w:rsidR="004B6965" w:rsidRPr="00570A83" w:rsidRDefault="004B6965" w:rsidP="004B6965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II. Evidencia institucional: reconocimiento oficial del problema</w:t>
      </w:r>
    </w:p>
    <w:p w14:paraId="0DAD0456" w14:textId="77777777" w:rsidR="004B6965" w:rsidRPr="00570A83" w:rsidRDefault="004B6965" w:rsidP="004B6965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Mediante oficio número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PFPA/15.7/2C.28.3/00550/2024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emitido por la PROFEPA, se remite información derivada de auditorías ambientales y recorridos en la ciudad de Chihuahua.</w:t>
      </w:r>
    </w:p>
    <w:p w14:paraId="418C1283" w14:textId="77777777" w:rsidR="004B6965" w:rsidRPr="00570A83" w:rsidRDefault="004B6965" w:rsidP="004B6965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En dicho documento se identifican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diversas empresas ubicadas en la zona Nombre de Dios y otras zonas industriales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cuyas actividades están vinculadas con emisiones contaminantes.</w:t>
      </w:r>
    </w:p>
    <w:p w14:paraId="35AEF911" w14:textId="77777777" w:rsidR="004B6965" w:rsidRPr="00570A83" w:rsidRDefault="004B6965" w:rsidP="004B6965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De manera particularmente relevante, el propio oficio establece que:</w:t>
      </w:r>
    </w:p>
    <w:p w14:paraId="1495D3F9" w14:textId="77777777" w:rsidR="004B6965" w:rsidRPr="00570A83" w:rsidRDefault="004B6965" w:rsidP="004B6965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lastRenderedPageBreak/>
        <w:t>“En materia de emisiones a la atmósfera es competencia del Gobierno del Estado”</w:t>
      </w:r>
    </w:p>
    <w:p w14:paraId="52F1C648" w14:textId="77777777" w:rsidR="004B6965" w:rsidRPr="00570A83" w:rsidRDefault="004B6965" w:rsidP="004B6965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Este señalamiento es fundamental, ya que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delimita claramente la responsabilidad de actuación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.</w:t>
      </w:r>
    </w:p>
    <w:p w14:paraId="2050954B" w14:textId="77777777" w:rsidR="004B6965" w:rsidRPr="00570A83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4E7C2F9E" w14:textId="77777777" w:rsidR="004B6965" w:rsidRPr="00570A83" w:rsidRDefault="004B6965" w:rsidP="004B6965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III. Competencia estatal: obligación de actuar</w:t>
      </w:r>
    </w:p>
    <w:p w14:paraId="0D3BA448" w14:textId="77777777" w:rsidR="004B6965" w:rsidRPr="00570A83" w:rsidRDefault="004B6965" w:rsidP="004B6965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Si bien la Federación, a través de SEMARNAT y PROFEPA, realiza funciones de regulación e inspección en determinados casos,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la vigilancia, control y corrección de emisiones contaminantes de fuentes locales corresponde al Gobierno del Estado de Chihuahua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a través de la: Secretaría de Desarrollo Urbano y Ecología del Estado de Chihuahua</w:t>
      </w:r>
    </w:p>
    <w:p w14:paraId="441A1681" w14:textId="77777777" w:rsidR="004B6965" w:rsidRPr="00570A83" w:rsidRDefault="004B6965" w:rsidP="004B6965">
      <w:pPr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En consecuencia, la existencia de fuentes contaminantes identificadas, sumada a episodios visibles de mala calidad del aire, implica una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responsabilidad directa e ineludible de la autoridad estatal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.</w:t>
      </w:r>
    </w:p>
    <w:p w14:paraId="37DE1D1E" w14:textId="77777777" w:rsidR="004B6965" w:rsidRPr="00570A83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5F0FE1F6" w14:textId="77777777" w:rsidR="004B6965" w:rsidRPr="00570A83" w:rsidRDefault="004B6965" w:rsidP="004B6965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IV. Factor estructural: saturación vehicular</w:t>
      </w:r>
    </w:p>
    <w:p w14:paraId="7F5C80F1" w14:textId="77777777" w:rsidR="004B6965" w:rsidRPr="00570A83" w:rsidRDefault="004B6965" w:rsidP="004B696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A lo anterior se suma un elemento estructural crítico:</w:t>
      </w:r>
    </w:p>
    <w:p w14:paraId="1ACB90F1" w14:textId="77777777" w:rsidR="004B6965" w:rsidRPr="00570A83" w:rsidRDefault="004B6965" w:rsidP="004B696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En la ciudad de Chihuahua circulan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más de 600 mil vehículos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, lo que representa una de las tasas de motorización más altas del país.</w:t>
      </w:r>
    </w:p>
    <w:p w14:paraId="0E843CE7" w14:textId="77777777" w:rsidR="004B6965" w:rsidRPr="00570A83" w:rsidRDefault="004B6965" w:rsidP="004B696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Esto genera:</w:t>
      </w:r>
    </w:p>
    <w:p w14:paraId="02212B1C" w14:textId="77777777" w:rsidR="004B6965" w:rsidRPr="00570A83" w:rsidRDefault="004B6965" w:rsidP="004B6965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Emisiones constantes de partículas contaminantes </w:t>
      </w:r>
    </w:p>
    <w:p w14:paraId="4D7F85B2" w14:textId="77777777" w:rsidR="004B6965" w:rsidRPr="00570A83" w:rsidRDefault="004B6965" w:rsidP="004B6965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Saturación del aire urbano </w:t>
      </w:r>
    </w:p>
    <w:p w14:paraId="3038E42B" w14:textId="77777777" w:rsidR="004B6965" w:rsidRPr="00570A83" w:rsidRDefault="004B6965" w:rsidP="004B6965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Mayor impacto durante episodios de inversión térmica </w:t>
      </w:r>
    </w:p>
    <w:p w14:paraId="119622AF" w14:textId="77777777" w:rsidR="004B6965" w:rsidRPr="00570A83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47BD5DFA" w14:textId="77777777" w:rsidR="004B6965" w:rsidRPr="00570A83" w:rsidRDefault="004B6965" w:rsidP="004B6965">
      <w:pPr>
        <w:spacing w:before="100" w:beforeAutospacing="1" w:after="100" w:afterAutospacing="1" w:line="240" w:lineRule="auto"/>
        <w:outlineLvl w:val="1"/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V. Omisión institucional y falta de medidas efectivas</w:t>
      </w:r>
    </w:p>
    <w:p w14:paraId="46CB27D2" w14:textId="77777777" w:rsidR="004B6965" w:rsidRPr="00570A83" w:rsidRDefault="004B6965" w:rsidP="004B696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A pesar de la evidencia:</w:t>
      </w:r>
    </w:p>
    <w:p w14:paraId="7AC3819F" w14:textId="77777777" w:rsidR="004B6965" w:rsidRPr="00570A83" w:rsidRDefault="004B6965" w:rsidP="004B6965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No existe un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protocolo efectivo de contingencias ambientales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 </w:t>
      </w:r>
    </w:p>
    <w:p w14:paraId="3950A4E7" w14:textId="77777777" w:rsidR="004B6965" w:rsidRPr="00570A83" w:rsidRDefault="004B6965" w:rsidP="004B6965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No hay medidas visibles de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restricción de emisiones en días críticos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 </w:t>
      </w:r>
    </w:p>
    <w:p w14:paraId="65D2FA5F" w14:textId="77777777" w:rsidR="004B6965" w:rsidRPr="00570A83" w:rsidRDefault="004B6965" w:rsidP="004B6965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No se ha implementado un sistema robusto de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verificación vehicular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 </w:t>
      </w:r>
    </w:p>
    <w:p w14:paraId="69DC0126" w14:textId="77777777" w:rsidR="004B6965" w:rsidRPr="00570A83" w:rsidRDefault="004B6965" w:rsidP="004B6965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lastRenderedPageBreak/>
        <w:t xml:space="preserve">No se observa una política clara de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inspección y sanción a empresas locales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 </w:t>
      </w:r>
    </w:p>
    <w:p w14:paraId="38250B90" w14:textId="77777777" w:rsidR="004B6965" w:rsidRPr="00570A83" w:rsidRDefault="004B6965" w:rsidP="004B696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Lo anterior configura una </w:t>
      </w:r>
      <w:r w:rsidRPr="00570A83">
        <w:rPr>
          <w:rFonts w:ascii="Arial" w:eastAsia="Times New Roman" w:hAnsi="Arial" w:cs="Arial"/>
          <w:b/>
          <w:bCs/>
          <w:sz w:val="24"/>
          <w:szCs w:val="24"/>
          <w:lang w:val="es-MX" w:eastAsia="es-MX"/>
        </w:rPr>
        <w:t>omisión institucional en materia de protección ambiental y salud pública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.</w:t>
      </w:r>
    </w:p>
    <w:p w14:paraId="4C6EBC4F" w14:textId="4863ED2C" w:rsidR="004B6965" w:rsidRPr="00570A83" w:rsidRDefault="004B6965" w:rsidP="004B6965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  <w:t>CONSIDERACIÓN CENTRAL</w:t>
      </w:r>
    </w:p>
    <w:p w14:paraId="4F3AF02D" w14:textId="77777777" w:rsidR="004B6965" w:rsidRPr="00570A83" w:rsidRDefault="004B6965" w:rsidP="004B6965">
      <w:pPr>
        <w:spacing w:before="100" w:beforeAutospacing="1" w:after="100" w:afterAutospacing="1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La contaminación no es invisible: hoy se ve, se documenta y se respira.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Y cuando es visible, es porque ya está afectando a la población.</w:t>
      </w:r>
    </w:p>
    <w:p w14:paraId="212A7745" w14:textId="0292BC3B" w:rsidR="004B6965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2A84E84E" wp14:editId="04EED2FD">
            <wp:simplePos x="0" y="0"/>
            <wp:positionH relativeFrom="margin">
              <wp:posOffset>-114127</wp:posOffset>
            </wp:positionH>
            <wp:positionV relativeFrom="paragraph">
              <wp:posOffset>278476</wp:posOffset>
            </wp:positionV>
            <wp:extent cx="5486400" cy="3609975"/>
            <wp:effectExtent l="0" t="0" r="0" b="9525"/>
            <wp:wrapTopAndBottom/>
            <wp:docPr id="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sz w:val="24"/>
          <w:szCs w:val="24"/>
          <w:lang w:val="es-MX" w:eastAsia="es-MX"/>
        </w:rPr>
        <w:t xml:space="preserve">1. </w:t>
      </w:r>
      <w:r w:rsidRPr="00794D80">
        <w:rPr>
          <w:rFonts w:ascii="Arial" w:eastAsia="Times New Roman" w:hAnsi="Arial" w:cs="Arial"/>
          <w:sz w:val="24"/>
          <w:szCs w:val="24"/>
          <w:lang w:val="es-MX" w:eastAsia="es-MX"/>
        </w:rPr>
        <w:t xml:space="preserve">Deterioro de la calidad del aire: </w:t>
      </w:r>
    </w:p>
    <w:p w14:paraId="752E48D6" w14:textId="5CA5106A" w:rsidR="004B6965" w:rsidRPr="00794D80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0BAD317B" w14:textId="3DEB2FBA" w:rsidR="004B6965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Evolución de días con mala y muy mala calidad del aire (2022–2025)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Fuente: Registro estatal (corte al 31 de agosto de 2025)</w:t>
      </w:r>
    </w:p>
    <w:p w14:paraId="0E4FF95A" w14:textId="36B99BA5" w:rsidR="004B6965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Incremento de 70 a 199 días críticos entre 2022 y 2024.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En 2025, en solo ocho meses ya se han registrado 94 días con calidad mala o muy mala, y el número de días “muy mala” es el más alto (11) en el periodo analizado.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</w:p>
    <w:p w14:paraId="3E30053D" w14:textId="77777777" w:rsidR="004B6965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71552" behindDoc="0" locked="0" layoutInCell="1" allowOverlap="1" wp14:anchorId="2CDD4AE8" wp14:editId="408F7089">
            <wp:simplePos x="0" y="0"/>
            <wp:positionH relativeFrom="margin">
              <wp:posOffset>-94211</wp:posOffset>
            </wp:positionH>
            <wp:positionV relativeFrom="paragraph">
              <wp:posOffset>343708</wp:posOffset>
            </wp:positionV>
            <wp:extent cx="5962650" cy="4367733"/>
            <wp:effectExtent l="0" t="0" r="0" b="0"/>
            <wp:wrapTopAndBottom/>
            <wp:docPr id="1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36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2. Situación por municipio</w:t>
      </w:r>
      <w:r>
        <w:rPr>
          <w:rFonts w:ascii="Arial" w:eastAsia="Times New Roman" w:hAnsi="Arial" w:cs="Arial"/>
          <w:sz w:val="24"/>
          <w:szCs w:val="24"/>
          <w:lang w:val="es-MX" w:eastAsia="es-MX"/>
        </w:rPr>
        <w:t>: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</w:p>
    <w:p w14:paraId="5345C841" w14:textId="77777777" w:rsidR="004B6965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37205050" w14:textId="77777777" w:rsidR="004B6965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Chihuahua Altos niveles de PM10 y PM2.5, superan límites. Causas: crecimiento urbano, parque vehicular, condiciones climáticas y topografía que concentran contaminantes.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Juárez Mayor problemática en el estado. Contaminantes: PM10, PM2.5 y ozono (O</w:t>
      </w:r>
      <w:r w:rsidRPr="00570A83">
        <w:rPr>
          <w:rFonts w:ascii="Cambria Math" w:eastAsia="Times New Roman" w:hAnsi="Cambria Math" w:cs="Cambria Math"/>
          <w:sz w:val="24"/>
          <w:szCs w:val="24"/>
          <w:lang w:val="es-MX" w:eastAsia="es-MX"/>
        </w:rPr>
        <w:t>₃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). Ubicación fronteriza, crecimiento poblacional y vehicular. Comparte cuenca atmosférica con El Paso y </w:t>
      </w:r>
      <w:proofErr w:type="spellStart"/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Sunland</w:t>
      </w:r>
      <w:proofErr w:type="spellEnd"/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 Park (contaminación transfronteriza).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Cuauhtémoc Niveles altos de PM10 asociados a tránsito vehicular, actividad agrícola e industrial. Limitaciones en el monitoreo.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Delicias Contaminación por PM10 y PM2.5 derivada de tránsito, actividad agrícola e industrial. Insuficiente monitoreo.</w:t>
      </w:r>
    </w:p>
    <w:p w14:paraId="6DB5D9B6" w14:textId="77777777" w:rsidR="004B6965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</w:p>
    <w:p w14:paraId="746E1459" w14:textId="77777777" w:rsidR="004B6965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3E0F96A3" w14:textId="77777777" w:rsidR="004B6965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7712D23D" w14:textId="77777777" w:rsidR="004B6965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28186500" w14:textId="77777777" w:rsidR="004B6965" w:rsidRDefault="004B6965" w:rsidP="004B6965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MX" w:eastAsia="es-MX"/>
        </w:rPr>
      </w:pPr>
    </w:p>
    <w:p w14:paraId="75767E8E" w14:textId="4AE767C6" w:rsidR="000C5CB5" w:rsidRDefault="004B6965" w:rsidP="004B6965">
      <w:pPr>
        <w:spacing w:after="0" w:line="240" w:lineRule="auto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3. Resultados de la Consulta Pública Estatal (2025)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Periodo: 17 de septiembre – 7 de octubre de 2025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Organizador: Instituto Estatal Electoral de Chihuahua (IEE)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Indicador Dato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Personas registradas 1,797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Personas que opinaron 1,754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Personas que añadieron argumentos o propuestas 566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Pregunta para adultos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“¿Considera pertinente que se implemente un plan de prevención para evitar la contingencia atmosférica?”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Participantes: 482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Sentido mayoritario: Sí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Pregunta para niñas, niños y adolescentes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“¿Estás de acuerdo que se haga un plan para cuidar la calidad del aire en el Estado de Chihuahua?”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Participantes: 1,272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Sentido mayoritario: Sí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Nota: El resultado tiene carácter indicativo no vinculante, pero refleja una demanda ciudadana clara y transversal.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4. Fundamentos legales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Ley General del Equilibrio Ecológico y la Protección al Ambiente (LGEEPA) – Artículos que establecen la obligación de las autoridades federales, estatales y municipales de prevenir y controlar la contaminación atmosférica.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Ley de Participación Ciudadana del Estado de Chihuahua – Artículo 67 y 48 (fracción III), que regulan las consultas públicas como instrumentos para conocer opiniones y propuestas ciudadanas.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NOM-172-SEMARNAT-2019 – Lineamientos para la medición y reporte de la calidad del aire.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6. Justificación política y social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>La ciudadanía ha respaldado de manera abrumadora la necesidad de un plan de prevención (1,754 opiniones, con mayoría en todos los sectores).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lastRenderedPageBreak/>
        <w:t>Los datos objetivos muestran un empeoramiento acelerado de la calidad del aire en los últimos años, con repercusiones directas en la salud pública.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  <w:t xml:space="preserve">Es responsabilidad del </w:t>
      </w:r>
      <w:r>
        <w:rPr>
          <w:rFonts w:ascii="Arial" w:eastAsia="Times New Roman" w:hAnsi="Arial" w:cs="Arial"/>
          <w:sz w:val="24"/>
          <w:szCs w:val="24"/>
          <w:lang w:val="es-MX" w:eastAsia="es-MX"/>
        </w:rPr>
        <w:t>G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 xml:space="preserve">obierno del </w:t>
      </w:r>
      <w:r>
        <w:rPr>
          <w:rFonts w:ascii="Arial" w:eastAsia="Times New Roman" w:hAnsi="Arial" w:cs="Arial"/>
          <w:sz w:val="24"/>
          <w:szCs w:val="24"/>
          <w:lang w:val="es-MX" w:eastAsia="es-MX"/>
        </w:rPr>
        <w:t>E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t>stado diseñar, financiar y ejecutar el Plan Estatal de Prevención y Respuesta a Contingencias Atmosféricas, no delegar la solución en medidas unilaterales que afecten a la población sin abordar las fuentes industriales.</w:t>
      </w:r>
      <w:r w:rsidRPr="00570A83">
        <w:rPr>
          <w:rFonts w:ascii="Arial" w:eastAsia="Times New Roman" w:hAnsi="Arial" w:cs="Arial"/>
          <w:sz w:val="24"/>
          <w:szCs w:val="24"/>
          <w:lang w:val="es-MX" w:eastAsia="es-MX"/>
        </w:rPr>
        <w:br/>
      </w:r>
    </w:p>
    <w:p w14:paraId="3B947296" w14:textId="52C647E7" w:rsidR="000C5CB5" w:rsidRDefault="007660E2" w:rsidP="000C5CB5">
      <w:pPr>
        <w:spacing w:before="100" w:beforeAutospacing="1" w:after="100" w:afterAutospacing="1" w:line="240" w:lineRule="auto"/>
        <w:outlineLvl w:val="0"/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</w:pPr>
      <w:r>
        <w:rPr>
          <w:rFonts w:ascii="Arial" w:eastAsia="Times New Roman" w:hAnsi="Arial" w:cs="Arial"/>
          <w:b/>
          <w:bCs/>
          <w:kern w:val="36"/>
          <w:sz w:val="24"/>
          <w:szCs w:val="24"/>
          <w:lang w:val="es-MX" w:eastAsia="es-MX"/>
        </w:rPr>
        <w:t>PREGUNTA A LA AUTORIDAD</w:t>
      </w:r>
    </w:p>
    <w:p w14:paraId="4A33AB73" w14:textId="4962BE92" w:rsidR="007660E2" w:rsidRPr="007660E2" w:rsidRDefault="007660E2" w:rsidP="00093061">
      <w:pPr>
        <w:spacing w:before="100" w:beforeAutospacing="1" w:after="100" w:afterAutospacing="1" w:line="240" w:lineRule="auto"/>
        <w:jc w:val="both"/>
        <w:outlineLvl w:val="0"/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</w:pPr>
      <w:r w:rsidRPr="007660E2"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>¿</w:t>
      </w:r>
      <w:r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>Qué t</w:t>
      </w:r>
      <w:r w:rsidRPr="007660E2"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>iene contemplad</w:t>
      </w:r>
      <w:r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>o</w:t>
      </w:r>
      <w:r w:rsidRPr="007660E2"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 xml:space="preserve"> </w:t>
      </w:r>
      <w:r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 xml:space="preserve">establecer en </w:t>
      </w:r>
      <w:r w:rsidRPr="007660E2"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>una fase de contingencia</w:t>
      </w:r>
      <w:r w:rsidR="00093061"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>?</w:t>
      </w:r>
      <w:r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>, y</w:t>
      </w:r>
      <w:r w:rsidRPr="007660E2"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 xml:space="preserve">a que la autoridad estatal tiene la obligación de suspender actividades industriales y comerciales </w:t>
      </w:r>
      <w:r w:rsidR="00A85185"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 xml:space="preserve">y/o de circulación de automotores, </w:t>
      </w:r>
      <w:r w:rsidRPr="007660E2"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>que no cumplan con estándares ambientales, garantizando que la carga no recaiga desproporcionadamente en la población</w:t>
      </w:r>
      <w:r w:rsidR="00093061">
        <w:rPr>
          <w:rFonts w:ascii="Arial" w:eastAsia="Times New Roman" w:hAnsi="Arial" w:cs="Arial"/>
          <w:kern w:val="36"/>
          <w:sz w:val="24"/>
          <w:szCs w:val="24"/>
          <w:lang w:val="es-MX" w:eastAsia="es-MX"/>
        </w:rPr>
        <w:t>.</w:t>
      </w:r>
    </w:p>
    <w:p w14:paraId="6670F25D" w14:textId="77777777" w:rsidR="000C5CB5" w:rsidRPr="007660E2" w:rsidRDefault="000C5CB5" w:rsidP="000C5CB5">
      <w:pPr>
        <w:spacing w:after="0" w:line="360" w:lineRule="auto"/>
        <w:jc w:val="center"/>
        <w:rPr>
          <w:rFonts w:ascii="Arial" w:eastAsia="DengXian Light" w:hAnsi="Arial" w:cs="Arial"/>
          <w:sz w:val="24"/>
          <w:szCs w:val="24"/>
        </w:rPr>
      </w:pPr>
    </w:p>
    <w:p w14:paraId="160EB4D3" w14:textId="48BCD542" w:rsidR="000C5CB5" w:rsidRPr="001C1C48" w:rsidRDefault="000C5CB5" w:rsidP="000C5CB5">
      <w:pPr>
        <w:spacing w:after="0" w:line="360" w:lineRule="auto"/>
        <w:jc w:val="center"/>
        <w:rPr>
          <w:rFonts w:ascii="Arial" w:eastAsia="DengXian Light" w:hAnsi="Arial" w:cs="Arial"/>
          <w:b/>
          <w:bCs/>
          <w:sz w:val="24"/>
          <w:szCs w:val="24"/>
        </w:rPr>
      </w:pPr>
      <w:r w:rsidRPr="001C1C48">
        <w:rPr>
          <w:rFonts w:ascii="Arial" w:eastAsia="DengXian Light" w:hAnsi="Arial" w:cs="Arial"/>
          <w:b/>
          <w:bCs/>
          <w:sz w:val="24"/>
          <w:szCs w:val="24"/>
        </w:rPr>
        <w:t>A</w:t>
      </w:r>
      <w:r w:rsidR="00C8640F">
        <w:rPr>
          <w:rFonts w:ascii="Arial" w:eastAsia="DengXian Light" w:hAnsi="Arial" w:cs="Arial"/>
          <w:b/>
          <w:bCs/>
          <w:sz w:val="24"/>
          <w:szCs w:val="24"/>
        </w:rPr>
        <w:t xml:space="preserve"> </w:t>
      </w:r>
      <w:r w:rsidRPr="001C1C48">
        <w:rPr>
          <w:rFonts w:ascii="Arial" w:eastAsia="DengXian Light" w:hAnsi="Arial" w:cs="Arial"/>
          <w:b/>
          <w:bCs/>
          <w:sz w:val="24"/>
          <w:szCs w:val="24"/>
        </w:rPr>
        <w:t>T</w:t>
      </w:r>
      <w:r w:rsidR="00C8640F">
        <w:rPr>
          <w:rFonts w:ascii="Arial" w:eastAsia="DengXian Light" w:hAnsi="Arial" w:cs="Arial"/>
          <w:b/>
          <w:bCs/>
          <w:sz w:val="24"/>
          <w:szCs w:val="24"/>
        </w:rPr>
        <w:t xml:space="preserve"> </w:t>
      </w:r>
      <w:r w:rsidRPr="001C1C48">
        <w:rPr>
          <w:rFonts w:ascii="Arial" w:eastAsia="DengXian Light" w:hAnsi="Arial" w:cs="Arial"/>
          <w:b/>
          <w:bCs/>
          <w:sz w:val="24"/>
          <w:szCs w:val="24"/>
        </w:rPr>
        <w:t>E</w:t>
      </w:r>
      <w:r w:rsidR="00C8640F">
        <w:rPr>
          <w:rFonts w:ascii="Arial" w:eastAsia="DengXian Light" w:hAnsi="Arial" w:cs="Arial"/>
          <w:b/>
          <w:bCs/>
          <w:sz w:val="24"/>
          <w:szCs w:val="24"/>
        </w:rPr>
        <w:t xml:space="preserve"> </w:t>
      </w:r>
      <w:r w:rsidRPr="001C1C48">
        <w:rPr>
          <w:rFonts w:ascii="Arial" w:eastAsia="DengXian Light" w:hAnsi="Arial" w:cs="Arial"/>
          <w:b/>
          <w:bCs/>
          <w:sz w:val="24"/>
          <w:szCs w:val="24"/>
        </w:rPr>
        <w:t>N</w:t>
      </w:r>
      <w:r w:rsidR="00C8640F">
        <w:rPr>
          <w:rFonts w:ascii="Arial" w:eastAsia="DengXian Light" w:hAnsi="Arial" w:cs="Arial"/>
          <w:b/>
          <w:bCs/>
          <w:sz w:val="24"/>
          <w:szCs w:val="24"/>
        </w:rPr>
        <w:t xml:space="preserve"> </w:t>
      </w:r>
      <w:r w:rsidRPr="001C1C48">
        <w:rPr>
          <w:rFonts w:ascii="Arial" w:eastAsia="DengXian Light" w:hAnsi="Arial" w:cs="Arial"/>
          <w:b/>
          <w:bCs/>
          <w:sz w:val="24"/>
          <w:szCs w:val="24"/>
        </w:rPr>
        <w:t>T</w:t>
      </w:r>
      <w:r w:rsidR="00C8640F">
        <w:rPr>
          <w:rFonts w:ascii="Arial" w:eastAsia="DengXian Light" w:hAnsi="Arial" w:cs="Arial"/>
          <w:b/>
          <w:bCs/>
          <w:sz w:val="24"/>
          <w:szCs w:val="24"/>
        </w:rPr>
        <w:t xml:space="preserve"> </w:t>
      </w:r>
      <w:r w:rsidRPr="001C1C48">
        <w:rPr>
          <w:rFonts w:ascii="Arial" w:eastAsia="DengXian Light" w:hAnsi="Arial" w:cs="Arial"/>
          <w:b/>
          <w:bCs/>
          <w:sz w:val="24"/>
          <w:szCs w:val="24"/>
        </w:rPr>
        <w:t>A</w:t>
      </w:r>
      <w:r w:rsidR="00C8640F">
        <w:rPr>
          <w:rFonts w:ascii="Arial" w:eastAsia="DengXian Light" w:hAnsi="Arial" w:cs="Arial"/>
          <w:b/>
          <w:bCs/>
          <w:sz w:val="24"/>
          <w:szCs w:val="24"/>
        </w:rPr>
        <w:t xml:space="preserve"> </w:t>
      </w:r>
      <w:r w:rsidRPr="001C1C48">
        <w:rPr>
          <w:rFonts w:ascii="Arial" w:eastAsia="DengXian Light" w:hAnsi="Arial" w:cs="Arial"/>
          <w:b/>
          <w:bCs/>
          <w:sz w:val="24"/>
          <w:szCs w:val="24"/>
        </w:rPr>
        <w:t>M</w:t>
      </w:r>
      <w:r w:rsidR="00C8640F">
        <w:rPr>
          <w:rFonts w:ascii="Arial" w:eastAsia="DengXian Light" w:hAnsi="Arial" w:cs="Arial"/>
          <w:b/>
          <w:bCs/>
          <w:sz w:val="24"/>
          <w:szCs w:val="24"/>
        </w:rPr>
        <w:t xml:space="preserve"> </w:t>
      </w:r>
      <w:r w:rsidRPr="001C1C48">
        <w:rPr>
          <w:rFonts w:ascii="Arial" w:eastAsia="DengXian Light" w:hAnsi="Arial" w:cs="Arial"/>
          <w:b/>
          <w:bCs/>
          <w:sz w:val="24"/>
          <w:szCs w:val="24"/>
        </w:rPr>
        <w:t>E</w:t>
      </w:r>
      <w:r w:rsidR="00C8640F">
        <w:rPr>
          <w:rFonts w:ascii="Arial" w:eastAsia="DengXian Light" w:hAnsi="Arial" w:cs="Arial"/>
          <w:b/>
          <w:bCs/>
          <w:sz w:val="24"/>
          <w:szCs w:val="24"/>
        </w:rPr>
        <w:t xml:space="preserve"> </w:t>
      </w:r>
      <w:r w:rsidRPr="001C1C48">
        <w:rPr>
          <w:rFonts w:ascii="Arial" w:eastAsia="DengXian Light" w:hAnsi="Arial" w:cs="Arial"/>
          <w:b/>
          <w:bCs/>
          <w:sz w:val="24"/>
          <w:szCs w:val="24"/>
        </w:rPr>
        <w:t>N</w:t>
      </w:r>
      <w:r w:rsidR="00C8640F">
        <w:rPr>
          <w:rFonts w:ascii="Arial" w:eastAsia="DengXian Light" w:hAnsi="Arial" w:cs="Arial"/>
          <w:b/>
          <w:bCs/>
          <w:sz w:val="24"/>
          <w:szCs w:val="24"/>
        </w:rPr>
        <w:t xml:space="preserve"> </w:t>
      </w:r>
      <w:r w:rsidRPr="001C1C48">
        <w:rPr>
          <w:rFonts w:ascii="Arial" w:eastAsia="DengXian Light" w:hAnsi="Arial" w:cs="Arial"/>
          <w:b/>
          <w:bCs/>
          <w:sz w:val="24"/>
          <w:szCs w:val="24"/>
        </w:rPr>
        <w:t>T</w:t>
      </w:r>
      <w:r w:rsidR="00C8640F">
        <w:rPr>
          <w:rFonts w:ascii="Arial" w:eastAsia="DengXian Light" w:hAnsi="Arial" w:cs="Arial"/>
          <w:b/>
          <w:bCs/>
          <w:sz w:val="24"/>
          <w:szCs w:val="24"/>
        </w:rPr>
        <w:t xml:space="preserve"> </w:t>
      </w:r>
      <w:r w:rsidRPr="001C1C48">
        <w:rPr>
          <w:rFonts w:ascii="Arial" w:eastAsia="DengXian Light" w:hAnsi="Arial" w:cs="Arial"/>
          <w:b/>
          <w:bCs/>
          <w:sz w:val="24"/>
          <w:szCs w:val="24"/>
        </w:rPr>
        <w:t>E</w:t>
      </w:r>
    </w:p>
    <w:p w14:paraId="0AC353C1" w14:textId="77777777" w:rsidR="000C5CB5" w:rsidRDefault="000C5CB5" w:rsidP="000C5CB5">
      <w:pPr>
        <w:jc w:val="center"/>
        <w:rPr>
          <w:rFonts w:ascii="Arial" w:eastAsia="DengXian Light" w:hAnsi="Arial" w:cs="Arial"/>
          <w:b/>
          <w:bCs/>
        </w:rPr>
      </w:pPr>
    </w:p>
    <w:p w14:paraId="0270C0F9" w14:textId="41323E6B" w:rsidR="000C5CB5" w:rsidRPr="00C8640F" w:rsidRDefault="000C5CB5" w:rsidP="000C5CB5">
      <w:pPr>
        <w:jc w:val="center"/>
        <w:rPr>
          <w:rFonts w:ascii="Arial" w:eastAsia="DengXian Light" w:hAnsi="Arial" w:cs="Arial"/>
          <w:b/>
          <w:bCs/>
          <w:sz w:val="24"/>
          <w:szCs w:val="24"/>
        </w:rPr>
      </w:pPr>
      <w:r w:rsidRPr="00C8640F">
        <w:rPr>
          <w:rFonts w:ascii="Arial" w:eastAsia="DengXian Light" w:hAnsi="Arial" w:cs="Arial"/>
          <w:b/>
          <w:bCs/>
          <w:sz w:val="24"/>
          <w:szCs w:val="24"/>
        </w:rPr>
        <w:t>DIP. MARÍA ANTONIETA PÉREZ REYES</w:t>
      </w:r>
    </w:p>
    <w:p w14:paraId="53A2DD01" w14:textId="633138F1" w:rsidR="00C8640F" w:rsidRPr="00C8640F" w:rsidRDefault="00C8640F" w:rsidP="000C5CB5">
      <w:pPr>
        <w:jc w:val="center"/>
        <w:rPr>
          <w:rFonts w:ascii="Arial" w:eastAsia="DengXian Light" w:hAnsi="Arial" w:cs="Arial"/>
          <w:b/>
          <w:bCs/>
          <w:sz w:val="24"/>
          <w:szCs w:val="24"/>
        </w:rPr>
      </w:pPr>
      <w:proofErr w:type="spellStart"/>
      <w:r w:rsidRPr="00C8640F">
        <w:rPr>
          <w:rFonts w:ascii="Arial" w:eastAsia="DengXian Light" w:hAnsi="Arial" w:cs="Arial"/>
          <w:b/>
          <w:bCs/>
          <w:sz w:val="24"/>
          <w:szCs w:val="24"/>
        </w:rPr>
        <w:t>Bancada</w:t>
      </w:r>
      <w:proofErr w:type="spellEnd"/>
      <w:r w:rsidRPr="00C8640F">
        <w:rPr>
          <w:rFonts w:ascii="Arial" w:eastAsia="DengXian Light" w:hAnsi="Arial" w:cs="Arial"/>
          <w:b/>
          <w:bCs/>
          <w:sz w:val="24"/>
          <w:szCs w:val="24"/>
        </w:rPr>
        <w:t xml:space="preserve"> de Morena</w:t>
      </w:r>
    </w:p>
    <w:p w14:paraId="0DC48DF2" w14:textId="488636E9" w:rsidR="000C5CB5" w:rsidRDefault="000C5CB5" w:rsidP="000C5CB5">
      <w:pPr>
        <w:jc w:val="center"/>
        <w:rPr>
          <w:rFonts w:ascii="Arial" w:eastAsia="DengXian Light" w:hAnsi="Arial" w:cs="Arial"/>
          <w:b/>
          <w:bCs/>
          <w:sz w:val="24"/>
          <w:szCs w:val="24"/>
        </w:rPr>
      </w:pPr>
    </w:p>
    <w:p w14:paraId="5FF552BF" w14:textId="051D7034" w:rsidR="000C5CB5" w:rsidRPr="00C8640F" w:rsidRDefault="000C5CB5" w:rsidP="00C8640F">
      <w:pPr>
        <w:jc w:val="right"/>
        <w:rPr>
          <w:rFonts w:ascii="Arial" w:eastAsia="DengXian Light" w:hAnsi="Arial" w:cs="Arial"/>
          <w:sz w:val="24"/>
          <w:szCs w:val="24"/>
        </w:rPr>
      </w:pPr>
      <w:r w:rsidRPr="00C8640F">
        <w:rPr>
          <w:rFonts w:ascii="Arial" w:eastAsia="DengXian Light" w:hAnsi="Arial" w:cs="Arial"/>
          <w:sz w:val="24"/>
          <w:szCs w:val="24"/>
        </w:rPr>
        <w:t xml:space="preserve">Chihuahua, </w:t>
      </w:r>
      <w:proofErr w:type="spellStart"/>
      <w:r w:rsidRPr="00C8640F">
        <w:rPr>
          <w:rFonts w:ascii="Arial" w:eastAsia="DengXian Light" w:hAnsi="Arial" w:cs="Arial"/>
          <w:sz w:val="24"/>
          <w:szCs w:val="24"/>
        </w:rPr>
        <w:t>Chih</w:t>
      </w:r>
      <w:proofErr w:type="spellEnd"/>
      <w:r w:rsidRPr="00C8640F">
        <w:rPr>
          <w:rFonts w:ascii="Arial" w:eastAsia="DengXian Light" w:hAnsi="Arial" w:cs="Arial"/>
          <w:sz w:val="24"/>
          <w:szCs w:val="24"/>
        </w:rPr>
        <w:t xml:space="preserve">., a </w:t>
      </w:r>
      <w:r w:rsidR="00A85185">
        <w:rPr>
          <w:rFonts w:ascii="Arial" w:eastAsia="DengXian Light" w:hAnsi="Arial" w:cs="Arial"/>
          <w:sz w:val="24"/>
          <w:szCs w:val="24"/>
        </w:rPr>
        <w:t>30</w:t>
      </w:r>
      <w:r w:rsidRPr="00C8640F">
        <w:rPr>
          <w:rFonts w:ascii="Arial" w:eastAsia="DengXian Light" w:hAnsi="Arial" w:cs="Arial"/>
          <w:sz w:val="24"/>
          <w:szCs w:val="24"/>
        </w:rPr>
        <w:t xml:space="preserve"> de </w:t>
      </w:r>
      <w:proofErr w:type="spellStart"/>
      <w:r w:rsidRPr="00C8640F">
        <w:rPr>
          <w:rFonts w:ascii="Arial" w:eastAsia="DengXian Light" w:hAnsi="Arial" w:cs="Arial"/>
          <w:sz w:val="24"/>
          <w:szCs w:val="24"/>
        </w:rPr>
        <w:t>marzo</w:t>
      </w:r>
      <w:proofErr w:type="spellEnd"/>
      <w:r w:rsidRPr="00C8640F">
        <w:rPr>
          <w:rFonts w:ascii="Arial" w:eastAsia="DengXian Light" w:hAnsi="Arial" w:cs="Arial"/>
          <w:sz w:val="24"/>
          <w:szCs w:val="24"/>
        </w:rPr>
        <w:t xml:space="preserve"> de 2026 </w:t>
      </w:r>
    </w:p>
    <w:p w14:paraId="3AA7CA3A" w14:textId="77777777" w:rsidR="000C5CB5" w:rsidRPr="007E0DF4" w:rsidRDefault="000C5CB5" w:rsidP="000C5CB5">
      <w:pPr>
        <w:jc w:val="center"/>
        <w:rPr>
          <w:rFonts w:ascii="Arial" w:eastAsia="DengXian Light" w:hAnsi="Arial" w:cs="Arial"/>
          <w:b/>
          <w:bCs/>
          <w:sz w:val="24"/>
          <w:szCs w:val="24"/>
        </w:rPr>
      </w:pPr>
    </w:p>
    <w:p w14:paraId="72E6556D" w14:textId="72626A83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449D122F" w14:textId="58CF72CF" w:rsidR="00C8640F" w:rsidRDefault="00C8640F" w:rsidP="000C5CB5">
      <w:pPr>
        <w:rPr>
          <w:rFonts w:ascii="Arial" w:hAnsi="Arial" w:cs="Arial"/>
          <w:sz w:val="24"/>
          <w:szCs w:val="24"/>
        </w:rPr>
      </w:pPr>
    </w:p>
    <w:p w14:paraId="297451F5" w14:textId="6E78E6EA" w:rsidR="00C8640F" w:rsidRDefault="00C8640F" w:rsidP="000C5CB5">
      <w:pPr>
        <w:rPr>
          <w:rFonts w:ascii="Arial" w:hAnsi="Arial" w:cs="Arial"/>
          <w:sz w:val="24"/>
          <w:szCs w:val="24"/>
        </w:rPr>
      </w:pPr>
    </w:p>
    <w:p w14:paraId="2F3F80B7" w14:textId="3239C0ED" w:rsidR="00C8640F" w:rsidRDefault="00C8640F" w:rsidP="000C5CB5">
      <w:pPr>
        <w:rPr>
          <w:rFonts w:ascii="Arial" w:hAnsi="Arial" w:cs="Arial"/>
          <w:sz w:val="24"/>
          <w:szCs w:val="24"/>
        </w:rPr>
      </w:pPr>
    </w:p>
    <w:p w14:paraId="6CAB12C5" w14:textId="79FC0520" w:rsidR="00C8640F" w:rsidRDefault="00C8640F" w:rsidP="000C5CB5">
      <w:pPr>
        <w:rPr>
          <w:rFonts w:ascii="Arial" w:hAnsi="Arial" w:cs="Arial"/>
          <w:sz w:val="24"/>
          <w:szCs w:val="24"/>
        </w:rPr>
      </w:pPr>
    </w:p>
    <w:p w14:paraId="545D9CAD" w14:textId="26508306" w:rsidR="00C8640F" w:rsidRDefault="00C8640F" w:rsidP="000C5CB5">
      <w:pPr>
        <w:rPr>
          <w:rFonts w:ascii="Arial" w:hAnsi="Arial" w:cs="Arial"/>
          <w:sz w:val="24"/>
          <w:szCs w:val="24"/>
        </w:rPr>
      </w:pPr>
    </w:p>
    <w:p w14:paraId="79BF3F6A" w14:textId="38F0B53A" w:rsidR="00C8640F" w:rsidRDefault="00C8640F" w:rsidP="000C5CB5">
      <w:pPr>
        <w:rPr>
          <w:rFonts w:ascii="Arial" w:hAnsi="Arial" w:cs="Arial"/>
          <w:sz w:val="24"/>
          <w:szCs w:val="24"/>
        </w:rPr>
      </w:pPr>
    </w:p>
    <w:p w14:paraId="05654552" w14:textId="192106B3" w:rsidR="00C8640F" w:rsidRDefault="00C8640F" w:rsidP="000C5CB5">
      <w:pPr>
        <w:rPr>
          <w:rFonts w:ascii="Arial" w:hAnsi="Arial" w:cs="Arial"/>
          <w:sz w:val="24"/>
          <w:szCs w:val="24"/>
        </w:rPr>
      </w:pPr>
    </w:p>
    <w:p w14:paraId="09683861" w14:textId="77777777" w:rsidR="000C5CB5" w:rsidRPr="00166E8B" w:rsidRDefault="000C5CB5" w:rsidP="000C5CB5">
      <w:pPr>
        <w:pStyle w:val="Ttulo1"/>
        <w:jc w:val="center"/>
        <w:rPr>
          <w:rFonts w:ascii="Arial Negrita" w:hAnsi="Arial Negrita" w:cs="Arial"/>
          <w:color w:val="auto"/>
          <w:sz w:val="24"/>
          <w:szCs w:val="24"/>
        </w:rPr>
      </w:pPr>
      <w:r w:rsidRPr="00570A83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inline distT="0" distB="0" distL="0" distR="0" wp14:anchorId="577F079F" wp14:editId="3F544078">
                <wp:extent cx="304800" cy="304800"/>
                <wp:effectExtent l="0" t="0" r="0" b="0"/>
                <wp:docPr id="568157269" name="AutoShape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4B6A69" id="AutoShape 1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LDVAsvABAADNAwAADgAAAAAAAAAAAAAAAAAuAgAAZHJzL2Uyb0RvYy54&#10;bWxQSwECLQAUAAYACAAAACEATKDpLNgAAAADAQAADwAAAAAAAAAAAAAAAABKBAAAZHJzL2Rvd25y&#10;ZXYueG1sUEsFBgAAAAAEAAQA8wAAAE8FAAAAAA==&#10;" filled="f" stroked="f">
                <o:lock v:ext="edit" aspectratio="t"/>
                <w10:anchorlock/>
              </v:rect>
            </w:pict>
          </mc:Fallback>
        </mc:AlternateContent>
      </w:r>
      <w:r w:rsidRPr="00570A83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inline distT="0" distB="0" distL="0" distR="0" wp14:anchorId="1E3A100A" wp14:editId="34861E4F">
                <wp:extent cx="304800" cy="304800"/>
                <wp:effectExtent l="0" t="0" r="0" b="0"/>
                <wp:docPr id="1794693895" name="AutoShape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CE985A" id="AutoShape 1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CutMvzxAQAAzgMAAA4AAAAAAAAAAAAAAAAALgIAAGRycy9lMm9Eb2Mu&#10;eG1sUEsBAi0AFAAGAAgAAAAhAEyg6SzYAAAAAwEAAA8AAAAAAAAAAAAAAAAASwQAAGRycy9kb3du&#10;cmV2LnhtbFBLBQYAAAAABAAEAPMAAABQBQAAAAA=&#10;" filled="f" stroked="f">
                <o:lock v:ext="edit" aspectratio="t"/>
                <w10:anchorlock/>
              </v:rect>
            </w:pict>
          </mc:Fallback>
        </mc:AlternateContent>
      </w:r>
      <w:r w:rsidRPr="003372DE">
        <w:rPr>
          <w:rFonts w:ascii="Arial Negrita" w:hAnsi="Arial Negrita" w:cs="Arial"/>
          <w:color w:val="auto"/>
          <w:sz w:val="24"/>
          <w:szCs w:val="24"/>
        </w:rPr>
        <w:t xml:space="preserve"> </w:t>
      </w:r>
      <w:r w:rsidRPr="00166E8B">
        <w:rPr>
          <w:rFonts w:ascii="Arial Negrita" w:hAnsi="Arial Negrita" w:cs="Arial"/>
          <w:color w:val="auto"/>
          <w:sz w:val="24"/>
          <w:szCs w:val="24"/>
        </w:rPr>
        <w:t>ANEXOS FOTOGRÁFICOS Y DOCUMENTALES</w:t>
      </w:r>
    </w:p>
    <w:p w14:paraId="7E47856D" w14:textId="77777777" w:rsidR="000C5CB5" w:rsidRPr="00570A83" w:rsidRDefault="000C5CB5" w:rsidP="000C5CB5">
      <w:pPr>
        <w:rPr>
          <w:rFonts w:ascii="Arial" w:hAnsi="Arial" w:cs="Arial"/>
          <w:sz w:val="24"/>
          <w:szCs w:val="24"/>
        </w:rPr>
      </w:pPr>
    </w:p>
    <w:p w14:paraId="18D69C8A" w14:textId="77777777" w:rsidR="000C5CB5" w:rsidRPr="00570A83" w:rsidRDefault="000C5CB5" w:rsidP="000C5CB5">
      <w:pPr>
        <w:rPr>
          <w:rFonts w:ascii="Arial" w:hAnsi="Arial" w:cs="Arial"/>
          <w:sz w:val="24"/>
          <w:szCs w:val="24"/>
        </w:rPr>
      </w:pPr>
      <w:r w:rsidRPr="00570A83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18458BE7" wp14:editId="6FF4A25A">
            <wp:simplePos x="0" y="0"/>
            <wp:positionH relativeFrom="margin">
              <wp:align>center</wp:align>
            </wp:positionH>
            <wp:positionV relativeFrom="paragraph">
              <wp:posOffset>1073150</wp:posOffset>
            </wp:positionV>
            <wp:extent cx="6200775" cy="4599305"/>
            <wp:effectExtent l="635" t="0" r="0" b="0"/>
            <wp:wrapTopAndBottom/>
            <wp:docPr id="6644840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00775" cy="4599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400A02" w14:textId="77777777" w:rsidR="000C5CB5" w:rsidRPr="00570A83" w:rsidRDefault="000C5CB5" w:rsidP="000C5CB5">
      <w:pPr>
        <w:rPr>
          <w:rFonts w:ascii="Arial" w:hAnsi="Arial" w:cs="Arial"/>
          <w:sz w:val="24"/>
          <w:szCs w:val="24"/>
        </w:rPr>
      </w:pPr>
      <w:r w:rsidRPr="00570A83"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1C82E4C1" wp14:editId="648E7F80">
            <wp:simplePos x="0" y="0"/>
            <wp:positionH relativeFrom="column">
              <wp:posOffset>249064</wp:posOffset>
            </wp:positionH>
            <wp:positionV relativeFrom="paragraph">
              <wp:posOffset>3175</wp:posOffset>
            </wp:positionV>
            <wp:extent cx="5339669" cy="7439025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208969-A4C7-4153-B5A9-6AEB0F06E4B9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39669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CCF18D" w14:textId="77777777" w:rsidR="000C5CB5" w:rsidRPr="00570A83" w:rsidRDefault="000C5CB5" w:rsidP="000C5CB5">
      <w:pPr>
        <w:rPr>
          <w:rFonts w:ascii="Arial" w:hAnsi="Arial" w:cs="Arial"/>
          <w:sz w:val="24"/>
          <w:szCs w:val="24"/>
        </w:rPr>
      </w:pPr>
      <w:r w:rsidRPr="00570A83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9BE44F7" wp14:editId="23688E0D">
            <wp:extent cx="7873531" cy="5748108"/>
            <wp:effectExtent l="0" t="4127" r="9207" b="9208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20091B-6F9D-4114-A663-3435C1CF5EF7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88879" cy="5759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B8DC2" w14:textId="77777777" w:rsidR="000C5CB5" w:rsidRPr="00570A83" w:rsidRDefault="000C5CB5" w:rsidP="000C5CB5">
      <w:pPr>
        <w:rPr>
          <w:rFonts w:ascii="Arial" w:hAnsi="Arial" w:cs="Arial"/>
          <w:sz w:val="24"/>
          <w:szCs w:val="24"/>
        </w:rPr>
      </w:pPr>
    </w:p>
    <w:p w14:paraId="375A15A8" w14:textId="77777777" w:rsidR="000C5CB5" w:rsidRPr="00166E8B" w:rsidRDefault="000C5CB5" w:rsidP="000C5CB5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166E8B">
        <w:rPr>
          <w:b/>
          <w:bCs/>
          <w:noProof/>
        </w:rPr>
        <w:drawing>
          <wp:anchor distT="0" distB="0" distL="114300" distR="114300" simplePos="0" relativeHeight="251659264" behindDoc="0" locked="0" layoutInCell="1" allowOverlap="1" wp14:anchorId="7D1E45C9" wp14:editId="0D6831A6">
            <wp:simplePos x="0" y="0"/>
            <wp:positionH relativeFrom="column">
              <wp:posOffset>48009</wp:posOffset>
            </wp:positionH>
            <wp:positionV relativeFrom="paragraph">
              <wp:posOffset>245462</wp:posOffset>
            </wp:positionV>
            <wp:extent cx="5486400" cy="7130415"/>
            <wp:effectExtent l="0" t="0" r="0" b="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6E8B">
        <w:rPr>
          <w:rFonts w:ascii="Arial" w:hAnsi="Arial" w:cs="Arial"/>
          <w:b/>
          <w:bCs/>
          <w:sz w:val="24"/>
          <w:szCs w:val="24"/>
        </w:rPr>
        <w:t>OFICIO DE SEMARNAT</w:t>
      </w:r>
    </w:p>
    <w:p w14:paraId="15FDA121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3E1B3353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174088B6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1456A12" wp14:editId="0F031A4C">
            <wp:simplePos x="0" y="0"/>
            <wp:positionH relativeFrom="margin">
              <wp:align>right</wp:align>
            </wp:positionH>
            <wp:positionV relativeFrom="paragraph">
              <wp:posOffset>421</wp:posOffset>
            </wp:positionV>
            <wp:extent cx="5486400" cy="7130415"/>
            <wp:effectExtent l="0" t="0" r="0" b="0"/>
            <wp:wrapTopAndBottom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C95D8D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45169CE0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0F8D0F20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5147C80" wp14:editId="7DF8F863">
            <wp:simplePos x="0" y="0"/>
            <wp:positionH relativeFrom="column">
              <wp:posOffset>-144412</wp:posOffset>
            </wp:positionH>
            <wp:positionV relativeFrom="paragraph">
              <wp:posOffset>-475</wp:posOffset>
            </wp:positionV>
            <wp:extent cx="5486400" cy="5563235"/>
            <wp:effectExtent l="0" t="0" r="0" b="0"/>
            <wp:wrapTopAndBottom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63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189F89F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1513B5DE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3034D1C7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756087BF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1946AF98" w14:textId="044D35CE" w:rsidR="000C5CB5" w:rsidRDefault="000C5CB5" w:rsidP="000C5CB5">
      <w:pPr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35DEF84" wp14:editId="55BA770A">
            <wp:simplePos x="0" y="0"/>
            <wp:positionH relativeFrom="margin">
              <wp:align>right</wp:align>
            </wp:positionH>
            <wp:positionV relativeFrom="paragraph">
              <wp:posOffset>207255</wp:posOffset>
            </wp:positionV>
            <wp:extent cx="5485765" cy="7015480"/>
            <wp:effectExtent l="0" t="0" r="635" b="0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9626" cy="7019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7CB2778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57B60AD9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D759D89" wp14:editId="542987FB">
            <wp:simplePos x="0" y="0"/>
            <wp:positionH relativeFrom="column">
              <wp:posOffset>-128723</wp:posOffset>
            </wp:positionH>
            <wp:positionV relativeFrom="paragraph">
              <wp:posOffset>229</wp:posOffset>
            </wp:positionV>
            <wp:extent cx="5486400" cy="7130415"/>
            <wp:effectExtent l="0" t="0" r="0" b="0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CB0204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701955D3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</w:p>
    <w:p w14:paraId="16FE81F5" w14:textId="77777777" w:rsidR="000C5CB5" w:rsidRDefault="000C5CB5" w:rsidP="000C5CB5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85281B9" wp14:editId="7047725E">
            <wp:simplePos x="0" y="0"/>
            <wp:positionH relativeFrom="column">
              <wp:posOffset>24957</wp:posOffset>
            </wp:positionH>
            <wp:positionV relativeFrom="paragraph">
              <wp:posOffset>203</wp:posOffset>
            </wp:positionV>
            <wp:extent cx="5486400" cy="7130415"/>
            <wp:effectExtent l="0" t="0" r="0" b="0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4FAC06" w14:textId="77777777" w:rsidR="000C5CB5" w:rsidRPr="00570A83" w:rsidRDefault="000C5CB5" w:rsidP="000C5CB5">
      <w:pPr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FB6A05" wp14:editId="6B1F34FB">
            <wp:extent cx="5486400" cy="713041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3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8FC73" w14:textId="77777777" w:rsidR="00591F1B" w:rsidRDefault="00591F1B"/>
    <w:sectPr w:rsidR="00591F1B" w:rsidSect="007660E2">
      <w:headerReference w:type="default" r:id="rId19"/>
      <w:footerReference w:type="default" r:id="rId20"/>
      <w:pgSz w:w="12240" w:h="15840"/>
      <w:pgMar w:top="1985" w:right="1701" w:bottom="1440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7ADD3D" w14:textId="77777777" w:rsidR="000375DD" w:rsidRDefault="000375DD">
      <w:pPr>
        <w:spacing w:after="0" w:line="240" w:lineRule="auto"/>
      </w:pPr>
      <w:r>
        <w:separator/>
      </w:r>
    </w:p>
  </w:endnote>
  <w:endnote w:type="continuationSeparator" w:id="0">
    <w:p w14:paraId="25E69025" w14:textId="77777777" w:rsidR="000375DD" w:rsidRDefault="000375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rial Negrit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43631256"/>
      <w:docPartObj>
        <w:docPartGallery w:val="Page Numbers (Bottom of Page)"/>
        <w:docPartUnique/>
      </w:docPartObj>
    </w:sdtPr>
    <w:sdtEndPr/>
    <w:sdtContent>
      <w:p w14:paraId="53C98FAB" w14:textId="77777777" w:rsidR="000E53C5" w:rsidRDefault="000D08C9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76996D7B" w14:textId="77777777" w:rsidR="000E53C5" w:rsidRDefault="000C6942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2D1122" w14:textId="77777777" w:rsidR="000375DD" w:rsidRDefault="000375DD">
      <w:pPr>
        <w:spacing w:after="0" w:line="240" w:lineRule="auto"/>
      </w:pPr>
      <w:r>
        <w:separator/>
      </w:r>
    </w:p>
  </w:footnote>
  <w:footnote w:type="continuationSeparator" w:id="0">
    <w:p w14:paraId="04A470BA" w14:textId="77777777" w:rsidR="000375DD" w:rsidRDefault="000375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406211" w14:textId="77777777" w:rsidR="00570A83" w:rsidRPr="00570A83" w:rsidRDefault="000D08C9" w:rsidP="00570A83">
    <w:pPr>
      <w:pStyle w:val="Encabezado"/>
      <w:jc w:val="right"/>
      <w:rPr>
        <w:rFonts w:ascii="Arial" w:hAnsi="Arial" w:cs="Arial"/>
        <w:b/>
        <w:bCs/>
        <w:sz w:val="20"/>
        <w:szCs w:val="20"/>
        <w:lang w:val="es-419"/>
      </w:rPr>
    </w:pPr>
    <w:r w:rsidRPr="00570A83">
      <w:rPr>
        <w:rFonts w:ascii="Arial" w:hAnsi="Arial" w:cs="Arial"/>
        <w:b/>
        <w:bCs/>
        <w:sz w:val="20"/>
        <w:szCs w:val="20"/>
        <w:lang w:val="es-419"/>
      </w:rPr>
      <w:t>“2026, Año del Bicentenario de la Abolición de la Esclavitud en el Estado de Chihuahua”</w:t>
    </w:r>
  </w:p>
  <w:p w14:paraId="6BFEFAC4" w14:textId="77777777" w:rsidR="00570A83" w:rsidRDefault="000C6942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7453A0"/>
    <w:multiLevelType w:val="hybridMultilevel"/>
    <w:tmpl w:val="76B8EA92"/>
    <w:lvl w:ilvl="0" w:tplc="198A48F0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D962B4"/>
    <w:multiLevelType w:val="multilevel"/>
    <w:tmpl w:val="AE440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ADE4D68"/>
    <w:multiLevelType w:val="multilevel"/>
    <w:tmpl w:val="C29A1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0737B12"/>
    <w:multiLevelType w:val="multilevel"/>
    <w:tmpl w:val="6E30A2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5CB5"/>
    <w:rsid w:val="000375DD"/>
    <w:rsid w:val="00093061"/>
    <w:rsid w:val="000C5CB5"/>
    <w:rsid w:val="000C6942"/>
    <w:rsid w:val="000D08C9"/>
    <w:rsid w:val="001A47F4"/>
    <w:rsid w:val="004B6965"/>
    <w:rsid w:val="00591F1B"/>
    <w:rsid w:val="007660E2"/>
    <w:rsid w:val="00A70108"/>
    <w:rsid w:val="00A85185"/>
    <w:rsid w:val="00C8640F"/>
    <w:rsid w:val="00EF089B"/>
    <w:rsid w:val="00EF1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DD3736"/>
  <w15:chartTrackingRefBased/>
  <w15:docId w15:val="{F783568F-9EFF-4D3D-85C0-B558F96D2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5CB5"/>
    <w:pPr>
      <w:spacing w:after="200" w:line="276" w:lineRule="auto"/>
    </w:pPr>
    <w:rPr>
      <w:rFonts w:eastAsiaTheme="minorEastAsia"/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0C5CB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0C5CB5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val="en-US"/>
    </w:rPr>
  </w:style>
  <w:style w:type="paragraph" w:styleId="Encabezado">
    <w:name w:val="header"/>
    <w:basedOn w:val="Normal"/>
    <w:link w:val="EncabezadoCar"/>
    <w:uiPriority w:val="99"/>
    <w:unhideWhenUsed/>
    <w:rsid w:val="000C5C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C5CB5"/>
    <w:rPr>
      <w:rFonts w:eastAsiaTheme="minorEastAsia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0C5C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C5CB5"/>
    <w:rPr>
      <w:rFonts w:eastAsiaTheme="minorEastAsia"/>
      <w:lang w:val="en-US"/>
    </w:rPr>
  </w:style>
  <w:style w:type="paragraph" w:styleId="Prrafodelista">
    <w:name w:val="List Paragraph"/>
    <w:basedOn w:val="Normal"/>
    <w:uiPriority w:val="34"/>
    <w:qFormat/>
    <w:rsid w:val="000C5CB5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0C5C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1025</Words>
  <Characters>5641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Silvia Luna Maldonado</dc:creator>
  <cp:keywords/>
  <dc:description/>
  <cp:lastModifiedBy>Andrea Daniela Flores Chacon</cp:lastModifiedBy>
  <cp:revision>2</cp:revision>
  <cp:lastPrinted>2026-03-24T20:48:00Z</cp:lastPrinted>
  <dcterms:created xsi:type="dcterms:W3CDTF">2026-03-27T15:53:00Z</dcterms:created>
  <dcterms:modified xsi:type="dcterms:W3CDTF">2026-03-27T15:53:00Z</dcterms:modified>
</cp:coreProperties>
</file>