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B6CA" w14:textId="77777777" w:rsidR="00602FD2" w:rsidRPr="00794093" w:rsidRDefault="00602FD2" w:rsidP="00602FD2">
      <w:pPr>
        <w:spacing w:after="0" w:line="360" w:lineRule="auto"/>
        <w:jc w:val="both"/>
        <w:rPr>
          <w:rFonts w:ascii="Century Gothic" w:hAnsi="Century Gothic"/>
          <w:b/>
          <w:bCs/>
          <w:sz w:val="24"/>
          <w:szCs w:val="24"/>
        </w:rPr>
      </w:pPr>
      <w:r w:rsidRPr="00794093">
        <w:rPr>
          <w:rFonts w:ascii="Century Gothic" w:hAnsi="Century Gothic"/>
          <w:b/>
          <w:bCs/>
          <w:sz w:val="24"/>
          <w:szCs w:val="24"/>
        </w:rPr>
        <w:t>H. CONGRESO DEL ESTADO DE CHIHUAHUA</w:t>
      </w:r>
    </w:p>
    <w:p w14:paraId="49EF9D3B" w14:textId="0971997D" w:rsidR="00602FD2" w:rsidRDefault="00602FD2" w:rsidP="00602FD2">
      <w:pPr>
        <w:spacing w:after="0" w:line="360" w:lineRule="auto"/>
        <w:jc w:val="both"/>
        <w:rPr>
          <w:rFonts w:ascii="Century Gothic" w:hAnsi="Century Gothic"/>
          <w:b/>
          <w:bCs/>
          <w:sz w:val="24"/>
          <w:szCs w:val="24"/>
        </w:rPr>
      </w:pPr>
      <w:r w:rsidRPr="00794093">
        <w:rPr>
          <w:rFonts w:ascii="Century Gothic" w:hAnsi="Century Gothic"/>
          <w:b/>
          <w:bCs/>
          <w:sz w:val="24"/>
          <w:szCs w:val="24"/>
        </w:rPr>
        <w:t>P R E S E N T E.- </w:t>
      </w:r>
    </w:p>
    <w:p w14:paraId="0CC0E7E9" w14:textId="77777777" w:rsidR="00602FD2" w:rsidRPr="00F84937" w:rsidRDefault="00602FD2" w:rsidP="00602FD2">
      <w:pPr>
        <w:spacing w:after="0" w:line="360" w:lineRule="auto"/>
        <w:jc w:val="both"/>
        <w:rPr>
          <w:rFonts w:ascii="Century Gothic" w:hAnsi="Century Gothic"/>
          <w:b/>
          <w:bCs/>
          <w:sz w:val="24"/>
          <w:szCs w:val="24"/>
        </w:rPr>
      </w:pPr>
    </w:p>
    <w:p w14:paraId="086FC2BE" w14:textId="77777777" w:rsidR="00602FD2" w:rsidRDefault="00602FD2" w:rsidP="00602FD2">
      <w:pPr>
        <w:spacing w:after="0" w:line="360" w:lineRule="auto"/>
        <w:jc w:val="both"/>
        <w:rPr>
          <w:rFonts w:ascii="Century Gothic" w:hAnsi="Century Gothic"/>
          <w:sz w:val="24"/>
          <w:szCs w:val="24"/>
        </w:rPr>
      </w:pPr>
      <w:r w:rsidRPr="00794093">
        <w:rPr>
          <w:rFonts w:ascii="Century Gothic" w:hAnsi="Century Gothic"/>
          <w:sz w:val="24"/>
          <w:szCs w:val="24"/>
        </w:rPr>
        <w:t xml:space="preserve">Quien suscribe, </w:t>
      </w:r>
      <w:r w:rsidRPr="00533E60">
        <w:rPr>
          <w:rFonts w:ascii="Century Gothic" w:hAnsi="Century Gothic"/>
          <w:b/>
          <w:sz w:val="24"/>
          <w:szCs w:val="24"/>
        </w:rPr>
        <w:t>América Victoria Aguilar Gil</w:t>
      </w:r>
      <w:r w:rsidRPr="00794093">
        <w:rPr>
          <w:rFonts w:ascii="Century Gothic" w:hAnsi="Century Gothic"/>
          <w:sz w:val="24"/>
          <w:szCs w:val="24"/>
        </w:rPr>
        <w:t>,</w:t>
      </w:r>
      <w:r w:rsidRPr="00086E9D">
        <w:rPr>
          <w:rFonts w:ascii="Century Gothic" w:hAnsi="Century Gothic"/>
          <w:sz w:val="24"/>
          <w:szCs w:val="24"/>
        </w:rPr>
        <w:t xml:space="preserve"> </w:t>
      </w:r>
      <w:r w:rsidRPr="00794093">
        <w:rPr>
          <w:rFonts w:ascii="Century Gothic" w:hAnsi="Century Gothic"/>
          <w:sz w:val="24"/>
          <w:szCs w:val="24"/>
        </w:rPr>
        <w:t xml:space="preserve">en mi carácter de Diputada </w:t>
      </w:r>
      <w:r w:rsidRPr="00086E9D">
        <w:rPr>
          <w:rFonts w:ascii="Century Gothic" w:hAnsi="Century Gothic"/>
          <w:sz w:val="24"/>
          <w:szCs w:val="24"/>
        </w:rPr>
        <w:t xml:space="preserve">de la Sexagésima Octava Legislatura del Honorable Congreso del Estado de Chihuahua, con fundamento en lo dispuesto por los artículos 71, fracción III de la Constitución Política de los Estados Unidos Mexicanos; 68, fracción I de la Constitución Política del Estado de Chihuahua; así como 75 y 76 del Reglamento Interior y de Prácticas Parlamentarias del Poder Legislativo del Estado de Chihuahua, someto a la consideración de esta Honorable Asamblea la presente </w:t>
      </w:r>
      <w:r>
        <w:rPr>
          <w:rFonts w:ascii="Century Gothic" w:hAnsi="Century Gothic"/>
          <w:b/>
          <w:sz w:val="24"/>
          <w:szCs w:val="24"/>
        </w:rPr>
        <w:t>iniciativa con carácter de Decreto ante el H. Congreso de la Unión</w:t>
      </w:r>
      <w:r w:rsidRPr="00533E60">
        <w:rPr>
          <w:rFonts w:ascii="Century Gothic" w:hAnsi="Century Gothic"/>
          <w:b/>
          <w:sz w:val="24"/>
          <w:szCs w:val="24"/>
        </w:rPr>
        <w:t>,</w:t>
      </w:r>
      <w:r>
        <w:rPr>
          <w:rFonts w:ascii="Century Gothic" w:hAnsi="Century Gothic"/>
          <w:b/>
          <w:sz w:val="24"/>
          <w:szCs w:val="24"/>
        </w:rPr>
        <w:t xml:space="preserve"> con el fin de reformar el artículo 74 de la Ley Federal del Trabajo, para incorporar el día 02 de noviembre como día de descanso obligatorio, </w:t>
      </w:r>
      <w:r w:rsidRPr="006D4D0C">
        <w:rPr>
          <w:rFonts w:ascii="Century Gothic" w:hAnsi="Century Gothic"/>
          <w:sz w:val="24"/>
          <w:szCs w:val="24"/>
        </w:rPr>
        <w:t>lo anterior bajo el sustento de la siguiente:</w:t>
      </w:r>
    </w:p>
    <w:p w14:paraId="428EB27D" w14:textId="77777777" w:rsidR="00602FD2" w:rsidRDefault="00602FD2" w:rsidP="00602FD2">
      <w:pPr>
        <w:spacing w:after="0" w:line="360" w:lineRule="auto"/>
        <w:jc w:val="both"/>
        <w:rPr>
          <w:rFonts w:ascii="Century Gothic" w:hAnsi="Century Gothic"/>
          <w:sz w:val="24"/>
          <w:szCs w:val="24"/>
        </w:rPr>
      </w:pPr>
    </w:p>
    <w:p w14:paraId="7762397A" w14:textId="77777777" w:rsidR="00602FD2" w:rsidRDefault="00602FD2" w:rsidP="00602FD2">
      <w:pPr>
        <w:spacing w:after="0" w:line="360" w:lineRule="auto"/>
        <w:jc w:val="center"/>
        <w:rPr>
          <w:rFonts w:ascii="Century Gothic" w:hAnsi="Century Gothic"/>
          <w:b/>
          <w:bCs/>
          <w:sz w:val="27"/>
          <w:szCs w:val="27"/>
        </w:rPr>
      </w:pPr>
      <w:r w:rsidRPr="00E322F3">
        <w:rPr>
          <w:rFonts w:ascii="Century Gothic" w:hAnsi="Century Gothic"/>
          <w:b/>
          <w:bCs/>
          <w:sz w:val="27"/>
          <w:szCs w:val="27"/>
        </w:rPr>
        <w:t>EXPOSICIÓN DE MOTIVOS</w:t>
      </w:r>
    </w:p>
    <w:p w14:paraId="0E43F5E2" w14:textId="77777777" w:rsidR="00602FD2" w:rsidRDefault="00602FD2" w:rsidP="00602FD2">
      <w:pPr>
        <w:spacing w:after="0" w:line="360" w:lineRule="auto"/>
        <w:jc w:val="center"/>
        <w:rPr>
          <w:rFonts w:ascii="Century Gothic" w:hAnsi="Century Gothic"/>
          <w:b/>
          <w:bCs/>
          <w:sz w:val="27"/>
          <w:szCs w:val="27"/>
        </w:rPr>
      </w:pPr>
    </w:p>
    <w:p w14:paraId="603C9C9E" w14:textId="2AAD7971" w:rsidR="00602FD2" w:rsidRDefault="00602FD2" w:rsidP="00602FD2">
      <w:pPr>
        <w:spacing w:after="0" w:line="360" w:lineRule="auto"/>
        <w:rPr>
          <w:rFonts w:ascii="Century Gothic" w:hAnsi="Century Gothic"/>
          <w:b/>
          <w:sz w:val="24"/>
          <w:szCs w:val="24"/>
        </w:rPr>
      </w:pPr>
      <w:r w:rsidRPr="00A8311F">
        <w:rPr>
          <w:rFonts w:ascii="Century Gothic" w:hAnsi="Century Gothic"/>
          <w:b/>
          <w:sz w:val="24"/>
          <w:szCs w:val="24"/>
        </w:rPr>
        <w:t xml:space="preserve">I. Consideraciones </w:t>
      </w:r>
      <w:r>
        <w:rPr>
          <w:rFonts w:ascii="Century Gothic" w:hAnsi="Century Gothic"/>
          <w:b/>
          <w:sz w:val="24"/>
          <w:szCs w:val="24"/>
        </w:rPr>
        <w:t>G</w:t>
      </w:r>
      <w:r w:rsidRPr="00A8311F">
        <w:rPr>
          <w:rFonts w:ascii="Century Gothic" w:hAnsi="Century Gothic"/>
          <w:b/>
          <w:sz w:val="24"/>
          <w:szCs w:val="24"/>
        </w:rPr>
        <w:t>enerales</w:t>
      </w:r>
      <w:r>
        <w:rPr>
          <w:rFonts w:ascii="Century Gothic" w:hAnsi="Century Gothic"/>
          <w:b/>
          <w:sz w:val="24"/>
          <w:szCs w:val="24"/>
        </w:rPr>
        <w:t>.</w:t>
      </w:r>
    </w:p>
    <w:p w14:paraId="3B7BEE09" w14:textId="77777777" w:rsidR="00602FD2" w:rsidRDefault="00602FD2" w:rsidP="00602FD2">
      <w:pPr>
        <w:spacing w:after="0" w:line="360" w:lineRule="auto"/>
        <w:rPr>
          <w:rFonts w:ascii="Century Gothic" w:hAnsi="Century Gothic"/>
          <w:b/>
          <w:sz w:val="24"/>
          <w:szCs w:val="24"/>
        </w:rPr>
      </w:pPr>
    </w:p>
    <w:p w14:paraId="1051381C" w14:textId="77777777" w:rsidR="00602FD2" w:rsidRPr="00447E84" w:rsidRDefault="00602FD2" w:rsidP="00602FD2">
      <w:pPr>
        <w:spacing w:after="0" w:line="360" w:lineRule="auto"/>
        <w:jc w:val="both"/>
        <w:rPr>
          <w:rFonts w:ascii="Century Gothic" w:hAnsi="Century Gothic"/>
          <w:sz w:val="24"/>
          <w:szCs w:val="24"/>
        </w:rPr>
      </w:pPr>
      <w:r w:rsidRPr="00447E84">
        <w:rPr>
          <w:rFonts w:ascii="Century Gothic" w:hAnsi="Century Gothic"/>
          <w:sz w:val="24"/>
          <w:szCs w:val="24"/>
        </w:rPr>
        <w:t>México se distingue por la riqueza de sus tradiciones culturales, las cuales constituyen una parte fundamental de la identidad nacional y del patrimonio histórico de la nación.</w:t>
      </w:r>
      <w:r>
        <w:rPr>
          <w:rFonts w:ascii="Century Gothic" w:hAnsi="Century Gothic"/>
          <w:sz w:val="24"/>
          <w:szCs w:val="24"/>
        </w:rPr>
        <w:t xml:space="preserve"> </w:t>
      </w:r>
      <w:r w:rsidRPr="004A779E">
        <w:rPr>
          <w:rFonts w:ascii="Century Gothic" w:hAnsi="Century Gothic"/>
          <w:sz w:val="24"/>
          <w:szCs w:val="24"/>
        </w:rPr>
        <w:t xml:space="preserve">Estas expresiones culturales no sólo representan manifestaciones simbólicas de identidad colectiva, sino que también constituyen </w:t>
      </w:r>
      <w:r w:rsidRPr="004A779E">
        <w:rPr>
          <w:rFonts w:ascii="Century Gothic" w:hAnsi="Century Gothic"/>
          <w:sz w:val="24"/>
          <w:szCs w:val="24"/>
        </w:rPr>
        <w:lastRenderedPageBreak/>
        <w:t>elementos fundamentales para la cohesión social y la preservación de l</w:t>
      </w:r>
      <w:r>
        <w:rPr>
          <w:rFonts w:ascii="Century Gothic" w:hAnsi="Century Gothic"/>
          <w:sz w:val="24"/>
          <w:szCs w:val="24"/>
        </w:rPr>
        <w:t>a memoria histórica</w:t>
      </w:r>
      <w:r w:rsidRPr="004A779E">
        <w:rPr>
          <w:rFonts w:ascii="Century Gothic" w:hAnsi="Century Gothic"/>
          <w:sz w:val="24"/>
          <w:szCs w:val="24"/>
        </w:rPr>
        <w:t>.</w:t>
      </w:r>
    </w:p>
    <w:p w14:paraId="03CDB3AA" w14:textId="77777777" w:rsidR="00602FD2" w:rsidRDefault="00602FD2" w:rsidP="00602FD2">
      <w:pPr>
        <w:spacing w:after="0" w:line="360" w:lineRule="auto"/>
        <w:ind w:firstLine="708"/>
        <w:jc w:val="both"/>
        <w:rPr>
          <w:rFonts w:ascii="Century Gothic" w:hAnsi="Century Gothic"/>
          <w:sz w:val="24"/>
          <w:szCs w:val="24"/>
        </w:rPr>
      </w:pPr>
      <w:r>
        <w:rPr>
          <w:rFonts w:ascii="Century Gothic" w:hAnsi="Century Gothic"/>
          <w:sz w:val="24"/>
          <w:szCs w:val="24"/>
        </w:rPr>
        <w:t>E</w:t>
      </w:r>
      <w:r w:rsidRPr="004A779E">
        <w:rPr>
          <w:rFonts w:ascii="Century Gothic" w:hAnsi="Century Gothic"/>
          <w:sz w:val="24"/>
          <w:szCs w:val="24"/>
        </w:rPr>
        <w:t xml:space="preserve">n este contexto, </w:t>
      </w:r>
      <w:r>
        <w:rPr>
          <w:rFonts w:ascii="Century Gothic" w:hAnsi="Century Gothic"/>
          <w:sz w:val="24"/>
          <w:szCs w:val="24"/>
        </w:rPr>
        <w:t xml:space="preserve">entre las tradiciones mencionadas, destaca </w:t>
      </w:r>
      <w:r w:rsidRPr="004A779E">
        <w:rPr>
          <w:rFonts w:ascii="Century Gothic" w:hAnsi="Century Gothic"/>
          <w:sz w:val="24"/>
          <w:szCs w:val="24"/>
        </w:rPr>
        <w:t xml:space="preserve">el Día de Muertos, celebrado tradicionalmente el 2 de noviembre, </w:t>
      </w:r>
      <w:r>
        <w:rPr>
          <w:rFonts w:ascii="Century Gothic" w:hAnsi="Century Gothic"/>
          <w:sz w:val="24"/>
          <w:szCs w:val="24"/>
        </w:rPr>
        <w:t xml:space="preserve">el cual </w:t>
      </w:r>
      <w:r w:rsidRPr="004A779E">
        <w:rPr>
          <w:rFonts w:ascii="Century Gothic" w:hAnsi="Century Gothic"/>
          <w:sz w:val="24"/>
          <w:szCs w:val="24"/>
        </w:rPr>
        <w:t>constituye una de las expresiones culturales más representativas del pueblo mexicano. Esta celebración refleja una cosmovisión única respecto a la vida, la muerte y la memoria de quienes han fallecido, integrando elementos de origen prehispánico y tradiciones posteriores que, a lo largo del tiempo, han configurado una práctica cultural distintiva.</w:t>
      </w:r>
    </w:p>
    <w:p w14:paraId="0B335D7D" w14:textId="77777777" w:rsidR="00602FD2" w:rsidRPr="004A779E" w:rsidRDefault="00602FD2" w:rsidP="00602FD2">
      <w:pPr>
        <w:spacing w:after="0" w:line="360" w:lineRule="auto"/>
        <w:ind w:firstLine="708"/>
        <w:jc w:val="both"/>
        <w:rPr>
          <w:rFonts w:ascii="Century Gothic" w:hAnsi="Century Gothic"/>
          <w:sz w:val="24"/>
          <w:szCs w:val="24"/>
        </w:rPr>
      </w:pPr>
      <w:r w:rsidRPr="004A779E">
        <w:rPr>
          <w:rFonts w:ascii="Century Gothic" w:hAnsi="Century Gothic"/>
          <w:sz w:val="24"/>
          <w:szCs w:val="24"/>
        </w:rPr>
        <w:t>El Estado mexicano ha reconocido la relevancia de esta tradición mediante diversas políticas culturales y acciones institucionales. Asimismo, la UNESCO declaró la celebración indígena del Día de Muertos como Patrimonio Cultural Inmaterial de la Humanidad, reconociendo su valor universal y la importancia de preservar esta tradición como parte del patrimonio cultural de México y del mundo.</w:t>
      </w:r>
      <w:r>
        <w:rPr>
          <w:rStyle w:val="Refdenotaalpie"/>
          <w:rFonts w:ascii="Century Gothic" w:hAnsi="Century Gothic"/>
          <w:sz w:val="24"/>
          <w:szCs w:val="24"/>
        </w:rPr>
        <w:footnoteReference w:id="1"/>
      </w:r>
    </w:p>
    <w:p w14:paraId="3858633E" w14:textId="77777777" w:rsidR="00602FD2" w:rsidRDefault="00602FD2" w:rsidP="00602FD2">
      <w:pPr>
        <w:spacing w:after="0" w:line="360" w:lineRule="auto"/>
        <w:ind w:firstLine="708"/>
        <w:jc w:val="both"/>
        <w:rPr>
          <w:rFonts w:ascii="Century Gothic" w:hAnsi="Century Gothic"/>
          <w:sz w:val="24"/>
          <w:szCs w:val="24"/>
        </w:rPr>
      </w:pPr>
      <w:r w:rsidRPr="004A779E">
        <w:rPr>
          <w:rFonts w:ascii="Century Gothic" w:hAnsi="Century Gothic"/>
          <w:sz w:val="24"/>
          <w:szCs w:val="24"/>
        </w:rPr>
        <w:t>No obstante, pese a su relevancia social y cultural, el 2 de noviembre no se encuentra reconocido dentro del catálogo de días de descanso obligatorio previsto en la legislación laboral federal, lo que genera una discrepancia entre la importancia cultural de esta fecha y su reconocimiento dentro del marco jurídico laboral.</w:t>
      </w:r>
    </w:p>
    <w:p w14:paraId="31E41C6A" w14:textId="77777777" w:rsidR="00602FD2" w:rsidRDefault="00602FD2" w:rsidP="00602FD2">
      <w:pPr>
        <w:spacing w:after="0" w:line="360" w:lineRule="auto"/>
        <w:jc w:val="both"/>
        <w:rPr>
          <w:rFonts w:ascii="Century Gothic" w:hAnsi="Century Gothic"/>
          <w:sz w:val="24"/>
          <w:szCs w:val="24"/>
        </w:rPr>
      </w:pPr>
    </w:p>
    <w:p w14:paraId="1722CEA6" w14:textId="77777777" w:rsidR="00602FD2" w:rsidRDefault="00602FD2" w:rsidP="00602FD2">
      <w:pPr>
        <w:spacing w:after="0" w:line="360" w:lineRule="auto"/>
        <w:jc w:val="both"/>
        <w:rPr>
          <w:rFonts w:ascii="Century Gothic" w:hAnsi="Century Gothic"/>
          <w:sz w:val="24"/>
          <w:szCs w:val="24"/>
        </w:rPr>
      </w:pPr>
      <w:r w:rsidRPr="00AC3415">
        <w:rPr>
          <w:rFonts w:ascii="Century Gothic" w:hAnsi="Century Gothic"/>
          <w:sz w:val="24"/>
          <w:szCs w:val="24"/>
        </w:rPr>
        <w:lastRenderedPageBreak/>
        <w:t xml:space="preserve">El cuadro que a continuación se presenta, sintetiza en qué consiste la </w:t>
      </w:r>
      <w:r w:rsidRPr="00F40B81">
        <w:rPr>
          <w:rFonts w:ascii="Century Gothic" w:hAnsi="Century Gothic"/>
          <w:b/>
          <w:sz w:val="24"/>
          <w:szCs w:val="24"/>
        </w:rPr>
        <w:t>adición de una nueva fracción VI al artículo 74 de la Ley Federal del Trabajo</w:t>
      </w:r>
      <w:r w:rsidRPr="00AC3415">
        <w:rPr>
          <w:rFonts w:ascii="Century Gothic" w:hAnsi="Century Gothic"/>
          <w:sz w:val="24"/>
          <w:szCs w:val="24"/>
        </w:rPr>
        <w:t xml:space="preserve"> propuesta:</w:t>
      </w:r>
    </w:p>
    <w:p w14:paraId="609CCCCB" w14:textId="77777777" w:rsidR="00602FD2" w:rsidRDefault="00602FD2" w:rsidP="00602FD2">
      <w:pPr>
        <w:spacing w:after="0" w:line="360" w:lineRule="auto"/>
        <w:jc w:val="both"/>
        <w:rPr>
          <w:rFonts w:ascii="Century Gothic" w:hAnsi="Century Gothic"/>
          <w:sz w:val="24"/>
          <w:szCs w:val="24"/>
        </w:rPr>
      </w:pPr>
    </w:p>
    <w:tbl>
      <w:tblPr>
        <w:tblStyle w:val="TableNormal1"/>
        <w:tblW w:w="88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4"/>
        <w:gridCol w:w="4414"/>
      </w:tblGrid>
      <w:tr w:rsidR="00602FD2" w:rsidRPr="00DE69BB" w14:paraId="517CD7CA" w14:textId="77777777" w:rsidTr="00D20D25">
        <w:trPr>
          <w:trHeight w:val="403"/>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E7C5D" w14:textId="77777777" w:rsidR="00602FD2" w:rsidRPr="00DE69BB" w:rsidRDefault="00602FD2" w:rsidP="00602FD2">
            <w:pPr>
              <w:pStyle w:val="CuerpoA"/>
              <w:tabs>
                <w:tab w:val="left" w:pos="708"/>
                <w:tab w:val="left" w:pos="1416"/>
                <w:tab w:val="left" w:pos="2124"/>
                <w:tab w:val="left" w:pos="2832"/>
                <w:tab w:val="left" w:pos="3540"/>
                <w:tab w:val="left" w:pos="4248"/>
              </w:tabs>
              <w:spacing w:after="0" w:line="360" w:lineRule="auto"/>
              <w:jc w:val="center"/>
              <w:rPr>
                <w:rFonts w:ascii="Century Gothic" w:hAnsi="Century Gothic" w:cs="Arial"/>
                <w:sz w:val="24"/>
                <w:szCs w:val="24"/>
              </w:rPr>
            </w:pPr>
            <w:r w:rsidRPr="00DE69BB">
              <w:rPr>
                <w:rStyle w:val="Ninguno"/>
                <w:rFonts w:ascii="Century Gothic" w:eastAsia="Aptos" w:hAnsi="Century Gothic" w:cs="Arial"/>
                <w:b/>
                <w:bCs/>
                <w:kern w:val="2"/>
                <w:sz w:val="24"/>
                <w:szCs w:val="24"/>
              </w:rPr>
              <w:t>TEXTO VIGENTE</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5CF42" w14:textId="77777777" w:rsidR="00602FD2" w:rsidRPr="00DE69BB" w:rsidRDefault="00602FD2" w:rsidP="00602FD2">
            <w:pPr>
              <w:pStyle w:val="CuerpoA"/>
              <w:tabs>
                <w:tab w:val="left" w:pos="708"/>
                <w:tab w:val="left" w:pos="1416"/>
                <w:tab w:val="left" w:pos="2124"/>
                <w:tab w:val="left" w:pos="2832"/>
                <w:tab w:val="left" w:pos="3540"/>
                <w:tab w:val="left" w:pos="4248"/>
              </w:tabs>
              <w:spacing w:after="0" w:line="360" w:lineRule="auto"/>
              <w:jc w:val="center"/>
              <w:rPr>
                <w:rFonts w:ascii="Century Gothic" w:hAnsi="Century Gothic" w:cs="Arial"/>
                <w:sz w:val="24"/>
                <w:szCs w:val="24"/>
              </w:rPr>
            </w:pPr>
            <w:r w:rsidRPr="00DE69BB">
              <w:rPr>
                <w:rStyle w:val="Ninguno"/>
                <w:rFonts w:ascii="Century Gothic" w:eastAsia="Aptos" w:hAnsi="Century Gothic" w:cs="Arial"/>
                <w:b/>
                <w:bCs/>
                <w:kern w:val="2"/>
                <w:sz w:val="24"/>
                <w:szCs w:val="24"/>
              </w:rPr>
              <w:t>PROPUESTA</w:t>
            </w:r>
          </w:p>
        </w:tc>
      </w:tr>
      <w:tr w:rsidR="00602FD2" w:rsidRPr="00DE69BB" w14:paraId="62216E2D" w14:textId="77777777" w:rsidTr="00D20D25">
        <w:trPr>
          <w:trHeight w:val="2604"/>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F3ECB" w14:textId="77777777" w:rsidR="00602FD2" w:rsidRDefault="00602FD2" w:rsidP="00602FD2">
            <w:pPr>
              <w:pStyle w:val="CuerpoA"/>
              <w:spacing w:after="0" w:line="360" w:lineRule="auto"/>
              <w:jc w:val="both"/>
              <w:rPr>
                <w:rStyle w:val="Ninguno"/>
                <w:rFonts w:ascii="Century Gothic" w:hAnsi="Century Gothic" w:cs="Arial"/>
                <w:sz w:val="24"/>
                <w:szCs w:val="24"/>
              </w:rPr>
            </w:pPr>
            <w:r w:rsidRPr="003E2322">
              <w:rPr>
                <w:rStyle w:val="Ninguno"/>
                <w:rFonts w:ascii="Century Gothic" w:hAnsi="Century Gothic" w:cs="Arial"/>
                <w:b/>
                <w:sz w:val="24"/>
                <w:szCs w:val="24"/>
              </w:rPr>
              <w:t>ARTICULO 74</w:t>
            </w:r>
            <w:r w:rsidRPr="00DE69BB">
              <w:rPr>
                <w:rStyle w:val="Ninguno"/>
                <w:rFonts w:ascii="Century Gothic" w:hAnsi="Century Gothic" w:cs="Arial"/>
                <w:sz w:val="24"/>
                <w:szCs w:val="24"/>
              </w:rPr>
              <w:t>. Son días de descanso obligatorio:</w:t>
            </w:r>
          </w:p>
          <w:p w14:paraId="6FC8C67D"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 El 1o. de enero;</w:t>
            </w:r>
          </w:p>
          <w:p w14:paraId="047393F6"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II. El primer lunes de febrero en conmemoración del 5 de febrero;</w:t>
            </w:r>
          </w:p>
          <w:p w14:paraId="6100033B"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III. El tercer lunes de marzo en conmemoración del 21 de marzo;</w:t>
            </w:r>
          </w:p>
          <w:p w14:paraId="5888D77B"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IV. El 1o. de mayo;</w:t>
            </w:r>
          </w:p>
          <w:p w14:paraId="14BF7CDA"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V. El 16 de septiembre;</w:t>
            </w:r>
          </w:p>
          <w:p w14:paraId="112571A4" w14:textId="77777777" w:rsidR="00602FD2" w:rsidRDefault="00602FD2" w:rsidP="00602FD2">
            <w:pPr>
              <w:pStyle w:val="CuerpoA"/>
              <w:spacing w:after="0" w:line="360" w:lineRule="auto"/>
              <w:jc w:val="both"/>
              <w:rPr>
                <w:rStyle w:val="Ninguno"/>
                <w:rFonts w:ascii="Century Gothic" w:eastAsia="Arial Narrow" w:hAnsi="Century Gothic" w:cs="Arial"/>
                <w:sz w:val="24"/>
                <w:szCs w:val="24"/>
              </w:rPr>
            </w:pPr>
          </w:p>
          <w:p w14:paraId="64856E21" w14:textId="77777777" w:rsidR="00602FD2" w:rsidRDefault="00602FD2" w:rsidP="00602FD2">
            <w:pPr>
              <w:pStyle w:val="CuerpoA"/>
              <w:spacing w:after="0" w:line="360" w:lineRule="auto"/>
              <w:jc w:val="both"/>
              <w:rPr>
                <w:rStyle w:val="Ninguno"/>
                <w:rFonts w:ascii="Century Gothic" w:eastAsia="Arial Narrow" w:hAnsi="Century Gothic" w:cs="Arial"/>
                <w:sz w:val="24"/>
                <w:szCs w:val="24"/>
              </w:rPr>
            </w:pPr>
          </w:p>
          <w:p w14:paraId="6DDEC1C0"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VI. El tercer lunes de noviembre en conmemoración del 20 de noviembre;</w:t>
            </w:r>
          </w:p>
          <w:p w14:paraId="15BBD3D2"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VII. El 1o. de octubre de cada seis años, cuando corresponda a la transmisión del Poder Ejecutivo</w:t>
            </w:r>
          </w:p>
          <w:p w14:paraId="61B9D682"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Federal;</w:t>
            </w:r>
          </w:p>
          <w:p w14:paraId="31673469"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Fracción reformada DOF 30-09-2024</w:t>
            </w:r>
          </w:p>
          <w:p w14:paraId="5F526B4C"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lastRenderedPageBreak/>
              <w:t>VIII. El 25 de diciembre, y</w:t>
            </w:r>
          </w:p>
          <w:p w14:paraId="77EB2390"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IX. El que determinen las leyes federales y locales electorales, en el caso de elecciones ordinarias,</w:t>
            </w:r>
          </w:p>
          <w:p w14:paraId="765D15DA" w14:textId="157BAD8E" w:rsidR="00602FD2" w:rsidRPr="00A80156" w:rsidRDefault="00602FD2" w:rsidP="00602FD2">
            <w:pPr>
              <w:pStyle w:val="CuerpoA"/>
              <w:spacing w:after="0" w:line="360" w:lineRule="auto"/>
              <w:jc w:val="both"/>
              <w:rPr>
                <w:rFonts w:ascii="Century Gothic" w:eastAsia="Arial Narrow" w:hAnsi="Century Gothic" w:cs="Arial"/>
                <w:sz w:val="24"/>
                <w:szCs w:val="24"/>
              </w:rPr>
            </w:pPr>
            <w:r w:rsidRPr="003E2322">
              <w:rPr>
                <w:rStyle w:val="Ninguno"/>
                <w:rFonts w:ascii="Century Gothic" w:eastAsia="Arial Narrow" w:hAnsi="Century Gothic" w:cs="Arial"/>
                <w:sz w:val="24"/>
                <w:szCs w:val="24"/>
              </w:rPr>
              <w:t>para efectuar la jornada electoral.</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C44FA" w14:textId="77777777" w:rsidR="00602FD2" w:rsidRDefault="00602FD2" w:rsidP="00602FD2">
            <w:pPr>
              <w:pStyle w:val="CuerpoA"/>
              <w:spacing w:after="0" w:line="360" w:lineRule="auto"/>
              <w:jc w:val="both"/>
              <w:rPr>
                <w:rStyle w:val="Ninguno"/>
                <w:rFonts w:ascii="Century Gothic" w:hAnsi="Century Gothic" w:cs="Arial"/>
                <w:sz w:val="24"/>
                <w:szCs w:val="24"/>
              </w:rPr>
            </w:pPr>
            <w:r w:rsidRPr="003E2322">
              <w:rPr>
                <w:rStyle w:val="Ninguno"/>
                <w:rFonts w:ascii="Century Gothic" w:hAnsi="Century Gothic" w:cs="Arial"/>
                <w:b/>
                <w:sz w:val="24"/>
                <w:szCs w:val="24"/>
              </w:rPr>
              <w:lastRenderedPageBreak/>
              <w:t>ARTICULO 74</w:t>
            </w:r>
            <w:r w:rsidRPr="00DE69BB">
              <w:rPr>
                <w:rStyle w:val="Ninguno"/>
                <w:rFonts w:ascii="Century Gothic" w:hAnsi="Century Gothic" w:cs="Arial"/>
                <w:sz w:val="24"/>
                <w:szCs w:val="24"/>
              </w:rPr>
              <w:t>. Son días de descanso obligatorio:</w:t>
            </w:r>
          </w:p>
          <w:p w14:paraId="138F2388"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 El 1o. de enero;</w:t>
            </w:r>
          </w:p>
          <w:p w14:paraId="7552E3DB"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II. El primer lunes de febrero en conmemoración del 5 de febrero;</w:t>
            </w:r>
          </w:p>
          <w:p w14:paraId="07FC4565"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III. El tercer lunes de marzo en conmemoración del 21 de marzo;</w:t>
            </w:r>
          </w:p>
          <w:p w14:paraId="73FED87A"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IV. El 1o. de mayo;</w:t>
            </w:r>
          </w:p>
          <w:p w14:paraId="12C3C7A5"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V. El 16 de septiembre;</w:t>
            </w:r>
          </w:p>
          <w:p w14:paraId="7BCEBA36" w14:textId="77777777" w:rsidR="00602FD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t>VI.</w:t>
            </w:r>
            <w:r w:rsidRPr="003E2322">
              <w:rPr>
                <w:rStyle w:val="Ninguno"/>
                <w:rFonts w:ascii="Century Gothic" w:eastAsia="Arial Narrow" w:hAnsi="Century Gothic" w:cs="Arial"/>
                <w:sz w:val="24"/>
                <w:szCs w:val="24"/>
              </w:rPr>
              <w:t xml:space="preserve"> </w:t>
            </w:r>
            <w:r w:rsidRPr="003E2322">
              <w:rPr>
                <w:rStyle w:val="Ninguno"/>
                <w:rFonts w:ascii="Century Gothic" w:eastAsia="Arial Narrow" w:hAnsi="Century Gothic" w:cs="Arial"/>
                <w:b/>
                <w:sz w:val="24"/>
                <w:szCs w:val="24"/>
              </w:rPr>
              <w:t>El 2 de noviembre, en conmemoración del Día de Muertos;</w:t>
            </w:r>
          </w:p>
          <w:p w14:paraId="44CAAF70"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t>VI</w:t>
            </w:r>
            <w:r>
              <w:rPr>
                <w:rStyle w:val="Ninguno"/>
                <w:rFonts w:ascii="Century Gothic" w:eastAsia="Arial Narrow" w:hAnsi="Century Gothic" w:cs="Arial"/>
                <w:b/>
                <w:sz w:val="24"/>
                <w:szCs w:val="24"/>
              </w:rPr>
              <w:t>I</w:t>
            </w:r>
            <w:r w:rsidRPr="003E2322">
              <w:rPr>
                <w:rStyle w:val="Ninguno"/>
                <w:rFonts w:ascii="Century Gothic" w:eastAsia="Arial Narrow" w:hAnsi="Century Gothic" w:cs="Arial"/>
                <w:b/>
                <w:sz w:val="24"/>
                <w:szCs w:val="24"/>
              </w:rPr>
              <w:t>.</w:t>
            </w:r>
            <w:r w:rsidRPr="003E2322">
              <w:rPr>
                <w:rStyle w:val="Ninguno"/>
                <w:rFonts w:ascii="Century Gothic" w:eastAsia="Arial Narrow" w:hAnsi="Century Gothic" w:cs="Arial"/>
                <w:sz w:val="24"/>
                <w:szCs w:val="24"/>
              </w:rPr>
              <w:t xml:space="preserve"> El tercer lunes de noviembre en conmemoración del 20 de noviembre;</w:t>
            </w:r>
          </w:p>
          <w:p w14:paraId="2EB9456A"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t>VIII.</w:t>
            </w:r>
            <w:r w:rsidRPr="003E2322">
              <w:rPr>
                <w:rStyle w:val="Ninguno"/>
                <w:rFonts w:ascii="Century Gothic" w:eastAsia="Arial Narrow" w:hAnsi="Century Gothic" w:cs="Arial"/>
                <w:sz w:val="24"/>
                <w:szCs w:val="24"/>
              </w:rPr>
              <w:t xml:space="preserve"> El 1o. de octubre de cada seis años, cuando corresponda a la transmisión del Poder Ejecutivo</w:t>
            </w:r>
          </w:p>
          <w:p w14:paraId="14A8B24D"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Federal;</w:t>
            </w:r>
          </w:p>
          <w:p w14:paraId="26CCEFB1"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sz w:val="24"/>
                <w:szCs w:val="24"/>
              </w:rPr>
              <w:t>Fracción reformada DOF 30-09-2024</w:t>
            </w:r>
          </w:p>
          <w:p w14:paraId="1F142A3A"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lastRenderedPageBreak/>
              <w:t>IX.</w:t>
            </w:r>
            <w:r w:rsidRPr="003E2322">
              <w:rPr>
                <w:rStyle w:val="Ninguno"/>
                <w:rFonts w:ascii="Century Gothic" w:eastAsia="Arial Narrow" w:hAnsi="Century Gothic" w:cs="Arial"/>
                <w:sz w:val="24"/>
                <w:szCs w:val="24"/>
              </w:rPr>
              <w:t xml:space="preserve"> El 25 de diciembre, y</w:t>
            </w:r>
          </w:p>
          <w:p w14:paraId="63A4AD23" w14:textId="77777777" w:rsidR="00602FD2" w:rsidRPr="003E2322" w:rsidRDefault="00602FD2" w:rsidP="00602FD2">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t>X.</w:t>
            </w:r>
            <w:r w:rsidRPr="003E2322">
              <w:rPr>
                <w:rStyle w:val="Ninguno"/>
                <w:rFonts w:ascii="Century Gothic" w:eastAsia="Arial Narrow" w:hAnsi="Century Gothic" w:cs="Arial"/>
                <w:sz w:val="24"/>
                <w:szCs w:val="24"/>
              </w:rPr>
              <w:t xml:space="preserve"> El que determinen las leyes federales y locales electorales, en el caso de elecciones ordinarias,</w:t>
            </w:r>
          </w:p>
          <w:p w14:paraId="07B9132E" w14:textId="54643A73" w:rsidR="00602FD2" w:rsidRPr="00DE69BB" w:rsidRDefault="00602FD2" w:rsidP="00602FD2">
            <w:pPr>
              <w:pStyle w:val="CuerpoA"/>
              <w:spacing w:after="0" w:line="360" w:lineRule="auto"/>
              <w:jc w:val="both"/>
              <w:rPr>
                <w:rFonts w:ascii="Century Gothic" w:hAnsi="Century Gothic" w:cs="Arial"/>
                <w:sz w:val="24"/>
                <w:szCs w:val="24"/>
              </w:rPr>
            </w:pPr>
            <w:r w:rsidRPr="003E2322">
              <w:rPr>
                <w:rStyle w:val="Ninguno"/>
                <w:rFonts w:ascii="Century Gothic" w:eastAsia="Arial Narrow" w:hAnsi="Century Gothic" w:cs="Arial"/>
                <w:sz w:val="24"/>
                <w:szCs w:val="24"/>
              </w:rPr>
              <w:t>para efectuar la jornada electoral.</w:t>
            </w:r>
            <w:r w:rsidRPr="00DE69BB">
              <w:rPr>
                <w:rStyle w:val="Ninguno"/>
                <w:rFonts w:ascii="Century Gothic" w:hAnsi="Century Gothic" w:cs="Arial"/>
                <w:sz w:val="24"/>
                <w:szCs w:val="24"/>
              </w:rPr>
              <w:t xml:space="preserve"> </w:t>
            </w:r>
          </w:p>
        </w:tc>
      </w:tr>
    </w:tbl>
    <w:p w14:paraId="2967F462" w14:textId="77777777" w:rsidR="00602FD2" w:rsidRDefault="00602FD2" w:rsidP="00602FD2">
      <w:pPr>
        <w:spacing w:after="0" w:line="360" w:lineRule="auto"/>
        <w:jc w:val="both"/>
        <w:rPr>
          <w:rFonts w:ascii="Century Gothic" w:hAnsi="Century Gothic"/>
          <w:sz w:val="24"/>
          <w:szCs w:val="24"/>
        </w:rPr>
      </w:pPr>
    </w:p>
    <w:p w14:paraId="14171983" w14:textId="7B3E9748" w:rsidR="00602FD2" w:rsidRDefault="00602FD2" w:rsidP="00602FD2">
      <w:pPr>
        <w:spacing w:after="0" w:line="360" w:lineRule="auto"/>
        <w:rPr>
          <w:rFonts w:ascii="Century Gothic" w:hAnsi="Century Gothic"/>
          <w:b/>
          <w:sz w:val="24"/>
          <w:szCs w:val="24"/>
        </w:rPr>
      </w:pPr>
      <w:r>
        <w:rPr>
          <w:rFonts w:ascii="Century Gothic" w:hAnsi="Century Gothic"/>
          <w:b/>
          <w:sz w:val="24"/>
          <w:szCs w:val="24"/>
        </w:rPr>
        <w:t>I</w:t>
      </w:r>
      <w:r w:rsidRPr="00A8311F">
        <w:rPr>
          <w:rFonts w:ascii="Century Gothic" w:hAnsi="Century Gothic"/>
          <w:b/>
          <w:sz w:val="24"/>
          <w:szCs w:val="24"/>
        </w:rPr>
        <w:t xml:space="preserve">I. Importancia </w:t>
      </w:r>
      <w:r w:rsidR="007E21F0">
        <w:rPr>
          <w:rFonts w:ascii="Century Gothic" w:hAnsi="Century Gothic"/>
          <w:b/>
          <w:sz w:val="24"/>
          <w:szCs w:val="24"/>
        </w:rPr>
        <w:t>C</w:t>
      </w:r>
      <w:r w:rsidRPr="00A8311F">
        <w:rPr>
          <w:rFonts w:ascii="Century Gothic" w:hAnsi="Century Gothic"/>
          <w:b/>
          <w:sz w:val="24"/>
          <w:szCs w:val="24"/>
        </w:rPr>
        <w:t xml:space="preserve">ultural y </w:t>
      </w:r>
      <w:r w:rsidR="007E21F0">
        <w:rPr>
          <w:rFonts w:ascii="Century Gothic" w:hAnsi="Century Gothic"/>
          <w:b/>
          <w:sz w:val="24"/>
          <w:szCs w:val="24"/>
        </w:rPr>
        <w:t>S</w:t>
      </w:r>
      <w:r w:rsidRPr="00A8311F">
        <w:rPr>
          <w:rFonts w:ascii="Century Gothic" w:hAnsi="Century Gothic"/>
          <w:b/>
          <w:sz w:val="24"/>
          <w:szCs w:val="24"/>
        </w:rPr>
        <w:t>ocial del Día de Muertos</w:t>
      </w:r>
      <w:r w:rsidR="00A80156">
        <w:rPr>
          <w:rFonts w:ascii="Century Gothic" w:hAnsi="Century Gothic"/>
          <w:b/>
          <w:sz w:val="24"/>
          <w:szCs w:val="24"/>
        </w:rPr>
        <w:t>.</w:t>
      </w:r>
    </w:p>
    <w:p w14:paraId="7D9169D9" w14:textId="77777777" w:rsidR="00A80156" w:rsidRDefault="00A80156" w:rsidP="00602FD2">
      <w:pPr>
        <w:spacing w:after="0" w:line="360" w:lineRule="auto"/>
        <w:rPr>
          <w:rFonts w:ascii="Century Gothic" w:hAnsi="Century Gothic"/>
          <w:b/>
          <w:sz w:val="24"/>
          <w:szCs w:val="24"/>
        </w:rPr>
      </w:pPr>
    </w:p>
    <w:p w14:paraId="553A7C1F" w14:textId="77777777" w:rsidR="00602FD2" w:rsidRPr="003565E2" w:rsidRDefault="00602FD2" w:rsidP="00602FD2">
      <w:pPr>
        <w:spacing w:after="0" w:line="360" w:lineRule="auto"/>
        <w:jc w:val="both"/>
        <w:rPr>
          <w:rFonts w:ascii="Century Gothic" w:hAnsi="Century Gothic"/>
          <w:b/>
          <w:sz w:val="24"/>
          <w:szCs w:val="24"/>
        </w:rPr>
      </w:pPr>
      <w:r w:rsidRPr="00A8311F">
        <w:rPr>
          <w:rFonts w:ascii="Century Gothic" w:hAnsi="Century Gothic"/>
          <w:sz w:val="24"/>
          <w:szCs w:val="24"/>
        </w:rPr>
        <w:t>El Día de Muertos constituye una de las tradiciones más arraigadas en el país, caracterizada por prácticas que incluyen la instalación de altares, la elaboración de ofrendas, la visita a cementerios y la convivencia familiar en memoria de las personas fallecidas.</w:t>
      </w:r>
      <w:r>
        <w:rPr>
          <w:rFonts w:ascii="Century Gothic" w:hAnsi="Century Gothic"/>
          <w:b/>
          <w:sz w:val="24"/>
          <w:szCs w:val="24"/>
        </w:rPr>
        <w:t xml:space="preserve"> </w:t>
      </w:r>
      <w:r w:rsidRPr="00A8311F">
        <w:rPr>
          <w:rFonts w:ascii="Century Gothic" w:hAnsi="Century Gothic"/>
          <w:sz w:val="24"/>
          <w:szCs w:val="24"/>
        </w:rPr>
        <w:t>Estas prácticas no sólo re</w:t>
      </w:r>
      <w:r>
        <w:rPr>
          <w:rFonts w:ascii="Century Gothic" w:hAnsi="Century Gothic"/>
          <w:sz w:val="24"/>
          <w:szCs w:val="24"/>
        </w:rPr>
        <w:t>presentan un acto de recordar</w:t>
      </w:r>
      <w:r w:rsidRPr="00A8311F">
        <w:rPr>
          <w:rFonts w:ascii="Century Gothic" w:hAnsi="Century Gothic"/>
          <w:sz w:val="24"/>
          <w:szCs w:val="24"/>
        </w:rPr>
        <w:t>, sino que también cumplen una función social al fortalecer los vínculos comunitarios y familiares.</w:t>
      </w:r>
    </w:p>
    <w:p w14:paraId="28F910DF" w14:textId="77777777" w:rsidR="00602FD2"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Estas actividades se desarrollan principalmente el 2 de noviembre, fecha que en la práctica social s</w:t>
      </w:r>
      <w:r>
        <w:rPr>
          <w:rFonts w:ascii="Century Gothic" w:hAnsi="Century Gothic"/>
          <w:sz w:val="24"/>
          <w:szCs w:val="24"/>
        </w:rPr>
        <w:t>e destina a la conmemoración de</w:t>
      </w:r>
      <w:r w:rsidRPr="00A8311F">
        <w:rPr>
          <w:rFonts w:ascii="Century Gothic" w:hAnsi="Century Gothic"/>
          <w:sz w:val="24"/>
          <w:szCs w:val="24"/>
        </w:rPr>
        <w:t>l</w:t>
      </w:r>
      <w:r>
        <w:rPr>
          <w:rFonts w:ascii="Century Gothic" w:hAnsi="Century Gothic"/>
          <w:sz w:val="24"/>
          <w:szCs w:val="24"/>
        </w:rPr>
        <w:t xml:space="preserve"> día de muertos.</w:t>
      </w:r>
    </w:p>
    <w:p w14:paraId="55BC7D81" w14:textId="77777777" w:rsidR="00602FD2" w:rsidRPr="00A8311F"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Sin embargo, al no ser considerado un día de descanso obligatorio, un amplio sector de la población trabajadora enfrenta limitaciones para participar plenamente en estas prácticas culturales y familiares.</w:t>
      </w:r>
    </w:p>
    <w:p w14:paraId="3B279F32" w14:textId="77777777" w:rsidR="00602FD2" w:rsidRDefault="00602FD2" w:rsidP="00602FD2">
      <w:pPr>
        <w:spacing w:after="0" w:line="360" w:lineRule="auto"/>
        <w:jc w:val="both"/>
        <w:rPr>
          <w:rFonts w:ascii="Century Gothic" w:hAnsi="Century Gothic"/>
          <w:sz w:val="24"/>
          <w:szCs w:val="24"/>
        </w:rPr>
      </w:pPr>
    </w:p>
    <w:p w14:paraId="215635E0" w14:textId="77777777" w:rsidR="00A80156" w:rsidRDefault="00A80156" w:rsidP="00602FD2">
      <w:pPr>
        <w:spacing w:after="0" w:line="360" w:lineRule="auto"/>
        <w:jc w:val="both"/>
        <w:rPr>
          <w:rFonts w:ascii="Century Gothic" w:hAnsi="Century Gothic"/>
          <w:sz w:val="24"/>
          <w:szCs w:val="24"/>
        </w:rPr>
      </w:pPr>
    </w:p>
    <w:p w14:paraId="38ECEAF3" w14:textId="77777777" w:rsidR="00A80156" w:rsidRDefault="00A80156" w:rsidP="00602FD2">
      <w:pPr>
        <w:spacing w:after="0" w:line="360" w:lineRule="auto"/>
        <w:jc w:val="both"/>
        <w:rPr>
          <w:rFonts w:ascii="Century Gothic" w:hAnsi="Century Gothic"/>
          <w:sz w:val="24"/>
          <w:szCs w:val="24"/>
        </w:rPr>
      </w:pPr>
    </w:p>
    <w:p w14:paraId="7CBDBF9A" w14:textId="77777777" w:rsidR="00A80156" w:rsidRPr="00A8311F" w:rsidRDefault="00A80156" w:rsidP="00602FD2">
      <w:pPr>
        <w:spacing w:after="0" w:line="360" w:lineRule="auto"/>
        <w:jc w:val="both"/>
        <w:rPr>
          <w:rFonts w:ascii="Century Gothic" w:hAnsi="Century Gothic"/>
          <w:sz w:val="24"/>
          <w:szCs w:val="24"/>
        </w:rPr>
      </w:pPr>
    </w:p>
    <w:p w14:paraId="7A131920" w14:textId="769AD19D" w:rsidR="00602FD2" w:rsidRDefault="00602FD2" w:rsidP="00602FD2">
      <w:pPr>
        <w:spacing w:after="0" w:line="360" w:lineRule="auto"/>
        <w:jc w:val="both"/>
        <w:rPr>
          <w:rFonts w:ascii="Century Gothic" w:hAnsi="Century Gothic"/>
          <w:b/>
          <w:sz w:val="24"/>
          <w:szCs w:val="24"/>
        </w:rPr>
      </w:pPr>
      <w:r w:rsidRPr="00FD0D1B">
        <w:rPr>
          <w:rFonts w:ascii="Century Gothic" w:hAnsi="Century Gothic"/>
          <w:b/>
          <w:sz w:val="24"/>
          <w:szCs w:val="24"/>
        </w:rPr>
        <w:lastRenderedPageBreak/>
        <w:t xml:space="preserve">III. Reconocimiento </w:t>
      </w:r>
      <w:r w:rsidR="00A80156">
        <w:rPr>
          <w:rFonts w:ascii="Century Gothic" w:hAnsi="Century Gothic"/>
          <w:b/>
          <w:sz w:val="24"/>
          <w:szCs w:val="24"/>
        </w:rPr>
        <w:t>C</w:t>
      </w:r>
      <w:r w:rsidRPr="00FD0D1B">
        <w:rPr>
          <w:rFonts w:ascii="Century Gothic" w:hAnsi="Century Gothic"/>
          <w:b/>
          <w:sz w:val="24"/>
          <w:szCs w:val="24"/>
        </w:rPr>
        <w:t>onstitu</w:t>
      </w:r>
      <w:r>
        <w:rPr>
          <w:rFonts w:ascii="Century Gothic" w:hAnsi="Century Gothic"/>
          <w:b/>
          <w:sz w:val="24"/>
          <w:szCs w:val="24"/>
        </w:rPr>
        <w:t xml:space="preserve">cional del </w:t>
      </w:r>
      <w:r w:rsidR="00A80156">
        <w:rPr>
          <w:rFonts w:ascii="Century Gothic" w:hAnsi="Century Gothic"/>
          <w:b/>
          <w:sz w:val="24"/>
          <w:szCs w:val="24"/>
        </w:rPr>
        <w:t>D</w:t>
      </w:r>
      <w:r>
        <w:rPr>
          <w:rFonts w:ascii="Century Gothic" w:hAnsi="Century Gothic"/>
          <w:b/>
          <w:sz w:val="24"/>
          <w:szCs w:val="24"/>
        </w:rPr>
        <w:t xml:space="preserve">erecho a la </w:t>
      </w:r>
      <w:r w:rsidR="00A80156">
        <w:rPr>
          <w:rFonts w:ascii="Century Gothic" w:hAnsi="Century Gothic"/>
          <w:b/>
          <w:sz w:val="24"/>
          <w:szCs w:val="24"/>
        </w:rPr>
        <w:t>C</w:t>
      </w:r>
      <w:r>
        <w:rPr>
          <w:rFonts w:ascii="Century Gothic" w:hAnsi="Century Gothic"/>
          <w:b/>
          <w:sz w:val="24"/>
          <w:szCs w:val="24"/>
        </w:rPr>
        <w:t>ultura</w:t>
      </w:r>
      <w:r w:rsidR="00A80156">
        <w:rPr>
          <w:rFonts w:ascii="Century Gothic" w:hAnsi="Century Gothic"/>
          <w:b/>
          <w:sz w:val="24"/>
          <w:szCs w:val="24"/>
        </w:rPr>
        <w:t>.</w:t>
      </w:r>
    </w:p>
    <w:p w14:paraId="183FCDD2" w14:textId="77777777" w:rsidR="00A80156" w:rsidRPr="00FD0D1B" w:rsidRDefault="00A80156" w:rsidP="00602FD2">
      <w:pPr>
        <w:spacing w:after="0" w:line="360" w:lineRule="auto"/>
        <w:jc w:val="both"/>
        <w:rPr>
          <w:rFonts w:ascii="Century Gothic" w:hAnsi="Century Gothic"/>
          <w:b/>
          <w:sz w:val="24"/>
          <w:szCs w:val="24"/>
        </w:rPr>
      </w:pPr>
    </w:p>
    <w:p w14:paraId="49B7EA45" w14:textId="77777777" w:rsidR="00602FD2" w:rsidRPr="00F40B81" w:rsidRDefault="00602FD2" w:rsidP="00602FD2">
      <w:pPr>
        <w:spacing w:after="0" w:line="360" w:lineRule="auto"/>
        <w:jc w:val="both"/>
        <w:rPr>
          <w:rFonts w:ascii="Century Gothic" w:hAnsi="Century Gothic"/>
          <w:b/>
          <w:sz w:val="24"/>
          <w:szCs w:val="24"/>
        </w:rPr>
      </w:pPr>
      <w:r w:rsidRPr="00A8311F">
        <w:rPr>
          <w:rFonts w:ascii="Century Gothic" w:hAnsi="Century Gothic"/>
          <w:sz w:val="24"/>
          <w:szCs w:val="24"/>
        </w:rPr>
        <w:t xml:space="preserve">La presente iniciativa encuentra sustento en el </w:t>
      </w:r>
      <w:r w:rsidRPr="00F40B81">
        <w:rPr>
          <w:rFonts w:ascii="Century Gothic" w:hAnsi="Century Gothic"/>
          <w:b/>
          <w:sz w:val="24"/>
          <w:szCs w:val="24"/>
        </w:rPr>
        <w:t>derecho de acceso a la cultura reconocido en la Constitución Política de los Estados Unidos Mexicanos, particularmente en su artículo 4°, el cual establece que toda persona tiene derecho al acceso a la cultura y al disfrute de los bienes y servicios que presta el Estado en la materia.</w:t>
      </w:r>
    </w:p>
    <w:p w14:paraId="2107956C" w14:textId="77777777" w:rsidR="00602FD2" w:rsidRPr="00A8311F"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Asimismo, dicho precepto establece la obligación del Estado de promover los medios para la difusión y desarrollo de la cultura, así como de garantizar el ejercicio de los derechos culturales de la población.</w:t>
      </w:r>
    </w:p>
    <w:p w14:paraId="75DE7878" w14:textId="77777777" w:rsidR="00602FD2" w:rsidRPr="00A8311F"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Reconocer el 2 de noviembre como día de descanso obligatorio contribuye a garantizar el ejercicio efectivo de este derecho cultural, permitiendo que las personas trabajadoras puedan participar en una de las tradiciones más significativas del país.</w:t>
      </w:r>
    </w:p>
    <w:p w14:paraId="72C08ED9" w14:textId="77777777" w:rsidR="00602FD2" w:rsidRPr="00A8311F" w:rsidRDefault="00602FD2" w:rsidP="00602FD2">
      <w:pPr>
        <w:spacing w:after="0" w:line="360" w:lineRule="auto"/>
        <w:jc w:val="both"/>
        <w:rPr>
          <w:rFonts w:ascii="Century Gothic" w:hAnsi="Century Gothic"/>
          <w:sz w:val="24"/>
          <w:szCs w:val="24"/>
        </w:rPr>
      </w:pPr>
    </w:p>
    <w:p w14:paraId="60351364" w14:textId="1963C515" w:rsidR="00602FD2" w:rsidRPr="00F84937" w:rsidRDefault="00602FD2" w:rsidP="00602FD2">
      <w:pPr>
        <w:spacing w:after="0" w:line="360" w:lineRule="auto"/>
        <w:jc w:val="both"/>
        <w:rPr>
          <w:rFonts w:ascii="Century Gothic" w:hAnsi="Century Gothic"/>
          <w:b/>
          <w:sz w:val="24"/>
          <w:szCs w:val="24"/>
        </w:rPr>
      </w:pPr>
      <w:r w:rsidRPr="00FD0D1B">
        <w:rPr>
          <w:rFonts w:ascii="Century Gothic" w:hAnsi="Century Gothic"/>
          <w:b/>
          <w:sz w:val="24"/>
          <w:szCs w:val="24"/>
        </w:rPr>
        <w:t>IV. Impac</w:t>
      </w:r>
      <w:r>
        <w:rPr>
          <w:rFonts w:ascii="Century Gothic" w:hAnsi="Century Gothic"/>
          <w:b/>
          <w:sz w:val="24"/>
          <w:szCs w:val="24"/>
        </w:rPr>
        <w:t xml:space="preserve">to </w:t>
      </w:r>
      <w:r w:rsidR="00A80156">
        <w:rPr>
          <w:rFonts w:ascii="Century Gothic" w:hAnsi="Century Gothic"/>
          <w:b/>
          <w:sz w:val="24"/>
          <w:szCs w:val="24"/>
        </w:rPr>
        <w:t>C</w:t>
      </w:r>
      <w:r>
        <w:rPr>
          <w:rFonts w:ascii="Century Gothic" w:hAnsi="Century Gothic"/>
          <w:b/>
          <w:sz w:val="24"/>
          <w:szCs w:val="24"/>
        </w:rPr>
        <w:t xml:space="preserve">ultural, </w:t>
      </w:r>
      <w:r w:rsidR="00A80156">
        <w:rPr>
          <w:rFonts w:ascii="Century Gothic" w:hAnsi="Century Gothic"/>
          <w:b/>
          <w:sz w:val="24"/>
          <w:szCs w:val="24"/>
        </w:rPr>
        <w:t>S</w:t>
      </w:r>
      <w:r>
        <w:rPr>
          <w:rFonts w:ascii="Century Gothic" w:hAnsi="Century Gothic"/>
          <w:b/>
          <w:sz w:val="24"/>
          <w:szCs w:val="24"/>
        </w:rPr>
        <w:t xml:space="preserve">ocial y </w:t>
      </w:r>
      <w:r w:rsidR="00A80156">
        <w:rPr>
          <w:rFonts w:ascii="Century Gothic" w:hAnsi="Century Gothic"/>
          <w:b/>
          <w:sz w:val="24"/>
          <w:szCs w:val="24"/>
        </w:rPr>
        <w:t>T</w:t>
      </w:r>
      <w:r>
        <w:rPr>
          <w:rFonts w:ascii="Century Gothic" w:hAnsi="Century Gothic"/>
          <w:b/>
          <w:sz w:val="24"/>
          <w:szCs w:val="24"/>
        </w:rPr>
        <w:t>urístico</w:t>
      </w:r>
      <w:r w:rsidR="00A80156">
        <w:rPr>
          <w:rFonts w:ascii="Century Gothic" w:hAnsi="Century Gothic"/>
          <w:b/>
          <w:sz w:val="24"/>
          <w:szCs w:val="24"/>
        </w:rPr>
        <w:t>.</w:t>
      </w:r>
    </w:p>
    <w:p w14:paraId="612AAD4D" w14:textId="77777777" w:rsidR="00A80156" w:rsidRDefault="00A80156" w:rsidP="00602FD2">
      <w:pPr>
        <w:spacing w:after="0" w:line="360" w:lineRule="auto"/>
        <w:jc w:val="both"/>
        <w:rPr>
          <w:rFonts w:ascii="Century Gothic" w:hAnsi="Century Gothic"/>
          <w:sz w:val="24"/>
          <w:szCs w:val="24"/>
        </w:rPr>
      </w:pPr>
    </w:p>
    <w:p w14:paraId="6F35C734" w14:textId="238C872E" w:rsidR="00602FD2" w:rsidRPr="00A8311F" w:rsidRDefault="00602FD2" w:rsidP="00602FD2">
      <w:pPr>
        <w:spacing w:after="0" w:line="360" w:lineRule="auto"/>
        <w:jc w:val="both"/>
        <w:rPr>
          <w:rFonts w:ascii="Century Gothic" w:hAnsi="Century Gothic"/>
          <w:sz w:val="24"/>
          <w:szCs w:val="24"/>
        </w:rPr>
      </w:pPr>
      <w:r w:rsidRPr="00A8311F">
        <w:rPr>
          <w:rFonts w:ascii="Century Gothic" w:hAnsi="Century Gothic"/>
          <w:sz w:val="24"/>
          <w:szCs w:val="24"/>
        </w:rPr>
        <w:t>La celebración del Día de Muertos no sólo posee un valor cultural, sino que también representa un fenómeno social y económico relevante para diversas regiones del país.</w:t>
      </w:r>
    </w:p>
    <w:p w14:paraId="069F3FFD" w14:textId="77777777" w:rsidR="00602FD2" w:rsidRPr="00A8311F"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Durante estas fechas se realizan festivales, exposiciones y actividades culturales que atraen a visitantes nacionales e internacionales, generando un</w:t>
      </w:r>
      <w:r>
        <w:rPr>
          <w:rFonts w:ascii="Century Gothic" w:hAnsi="Century Gothic"/>
          <w:sz w:val="24"/>
          <w:szCs w:val="24"/>
        </w:rPr>
        <w:t xml:space="preserve">a importante derrama económica. </w:t>
      </w:r>
      <w:r w:rsidRPr="00A8311F">
        <w:rPr>
          <w:rFonts w:ascii="Century Gothic" w:hAnsi="Century Gothic"/>
          <w:sz w:val="24"/>
          <w:szCs w:val="24"/>
        </w:rPr>
        <w:t xml:space="preserve">Entre los destinos que destacan por la </w:t>
      </w:r>
      <w:r w:rsidRPr="00A8311F">
        <w:rPr>
          <w:rFonts w:ascii="Century Gothic" w:hAnsi="Century Gothic"/>
          <w:sz w:val="24"/>
          <w:szCs w:val="24"/>
        </w:rPr>
        <w:lastRenderedPageBreak/>
        <w:t>celebración de esta tradici</w:t>
      </w:r>
      <w:r>
        <w:rPr>
          <w:rFonts w:ascii="Century Gothic" w:hAnsi="Century Gothic"/>
          <w:sz w:val="24"/>
          <w:szCs w:val="24"/>
        </w:rPr>
        <w:t xml:space="preserve">ón se encuentran ciudades como: Pátzcuaro, Oaxaca y la </w:t>
      </w:r>
      <w:r w:rsidRPr="00A8311F">
        <w:rPr>
          <w:rFonts w:ascii="Century Gothic" w:hAnsi="Century Gothic"/>
          <w:sz w:val="24"/>
          <w:szCs w:val="24"/>
        </w:rPr>
        <w:t>Ciudad de México</w:t>
      </w:r>
      <w:r>
        <w:rPr>
          <w:rFonts w:ascii="Century Gothic" w:hAnsi="Century Gothic"/>
          <w:sz w:val="24"/>
          <w:szCs w:val="24"/>
        </w:rPr>
        <w:t>.</w:t>
      </w:r>
    </w:p>
    <w:p w14:paraId="4563A71F" w14:textId="77777777" w:rsidR="00602FD2" w:rsidRDefault="00602FD2" w:rsidP="00A80156">
      <w:pPr>
        <w:spacing w:after="0" w:line="360" w:lineRule="auto"/>
        <w:ind w:firstLine="708"/>
        <w:jc w:val="both"/>
        <w:rPr>
          <w:rFonts w:ascii="Century Gothic" w:hAnsi="Century Gothic"/>
          <w:sz w:val="24"/>
          <w:szCs w:val="24"/>
        </w:rPr>
      </w:pPr>
      <w:r w:rsidRPr="00A8311F">
        <w:rPr>
          <w:rFonts w:ascii="Century Gothic" w:hAnsi="Century Gothic"/>
          <w:sz w:val="24"/>
          <w:szCs w:val="24"/>
        </w:rPr>
        <w:t>En estos lugares se desarrollan eventos culturales y comunitarios que han adquirido reconocimiento internacional y que contribuyen a fortalecer el turismo cultural en el país.</w:t>
      </w:r>
      <w:r>
        <w:rPr>
          <w:rFonts w:ascii="Century Gothic" w:hAnsi="Century Gothic"/>
          <w:sz w:val="24"/>
          <w:szCs w:val="24"/>
        </w:rPr>
        <w:t xml:space="preserve"> </w:t>
      </w:r>
      <w:r w:rsidRPr="00F84937">
        <w:rPr>
          <w:rFonts w:ascii="Century Gothic" w:hAnsi="Century Gothic"/>
          <w:sz w:val="24"/>
          <w:szCs w:val="24"/>
        </w:rPr>
        <w:t>Además de</w:t>
      </w:r>
      <w:r>
        <w:rPr>
          <w:rFonts w:ascii="Century Gothic" w:hAnsi="Century Gothic"/>
          <w:sz w:val="24"/>
          <w:szCs w:val="24"/>
        </w:rPr>
        <w:t>l</w:t>
      </w:r>
      <w:r w:rsidRPr="00F84937">
        <w:rPr>
          <w:rFonts w:ascii="Century Gothic" w:hAnsi="Century Gothic"/>
          <w:sz w:val="24"/>
          <w:szCs w:val="24"/>
        </w:rPr>
        <w:t xml:space="preserve"> </w:t>
      </w:r>
      <w:r>
        <w:rPr>
          <w:rFonts w:ascii="Century Gothic" w:hAnsi="Century Gothic"/>
          <w:sz w:val="24"/>
          <w:szCs w:val="24"/>
        </w:rPr>
        <w:t xml:space="preserve">ya mencionado </w:t>
      </w:r>
      <w:r w:rsidRPr="00F84937">
        <w:rPr>
          <w:rFonts w:ascii="Century Gothic" w:hAnsi="Century Gothic"/>
          <w:sz w:val="24"/>
          <w:szCs w:val="24"/>
        </w:rPr>
        <w:t>valor cultural, el Día de Muertos representa uno de los eventos turísticos más importantes de México.</w:t>
      </w:r>
    </w:p>
    <w:p w14:paraId="2D455659" w14:textId="77777777" w:rsidR="00602FD2" w:rsidRPr="00F84937" w:rsidRDefault="00602FD2" w:rsidP="00A80156">
      <w:pPr>
        <w:spacing w:after="0" w:line="360" w:lineRule="auto"/>
        <w:ind w:firstLine="708"/>
        <w:jc w:val="both"/>
        <w:rPr>
          <w:rFonts w:ascii="Century Gothic" w:hAnsi="Century Gothic"/>
          <w:sz w:val="24"/>
          <w:szCs w:val="24"/>
        </w:rPr>
      </w:pPr>
      <w:r>
        <w:rPr>
          <w:rFonts w:ascii="Century Gothic" w:hAnsi="Century Gothic"/>
          <w:sz w:val="24"/>
          <w:szCs w:val="24"/>
        </w:rPr>
        <w:t>Por todo lo anteriormente expuesto, l</w:t>
      </w:r>
      <w:r w:rsidRPr="003565E2">
        <w:rPr>
          <w:rFonts w:ascii="Century Gothic" w:hAnsi="Century Gothic"/>
          <w:sz w:val="24"/>
          <w:szCs w:val="24"/>
        </w:rPr>
        <w:t>a celebración del Día de Muertos constituye una de las expresiones más representativas de México y un elemento central de su identidad histórica y simbólica. Esta tradición, reconocida por la UNESCO como parte del Patrimonio Cultural Inmaterial de la Humanidad, ha trascendido las fronteras nacionales al convertirse en una fuente constante de inspiración para múltiples manifestaciones artísticas, académicas</w:t>
      </w:r>
      <w:r>
        <w:rPr>
          <w:rFonts w:ascii="Century Gothic" w:hAnsi="Century Gothic"/>
          <w:sz w:val="24"/>
          <w:szCs w:val="24"/>
        </w:rPr>
        <w:t>,</w:t>
      </w:r>
      <w:r w:rsidRPr="003565E2">
        <w:rPr>
          <w:rFonts w:ascii="Century Gothic" w:hAnsi="Century Gothic"/>
          <w:sz w:val="24"/>
          <w:szCs w:val="24"/>
        </w:rPr>
        <w:t xml:space="preserve"> y comerciales en el ámbito internacional. Su riqueza simbólica ha sido reflejada en producciones cinematográficas, obras teatrales, literatura, artes plásticas, festivales culturales y una amplia industria de artesanías y suvenires asociados a la iconografía del altar, la calavera y las flores de cempasúchil. Ejemplo de ello es la proyección global alcanzada por obras como la película Coco, que contribuyó a difundir mundialmente los valores, símbolos y significados del Día de Muertos, </w:t>
      </w:r>
      <w:r w:rsidRPr="00F40B81">
        <w:rPr>
          <w:rFonts w:ascii="Century Gothic" w:hAnsi="Century Gothic"/>
          <w:b/>
          <w:sz w:val="24"/>
          <w:szCs w:val="24"/>
        </w:rPr>
        <w:t>fortaleciendo la imagen cultural de México ante la comunidad internacional y consolidando esta tradición como un referente identitario del país</w:t>
      </w:r>
      <w:r w:rsidRPr="003565E2">
        <w:rPr>
          <w:rFonts w:ascii="Century Gothic" w:hAnsi="Century Gothic"/>
          <w:sz w:val="24"/>
          <w:szCs w:val="24"/>
        </w:rPr>
        <w:t>.</w:t>
      </w:r>
    </w:p>
    <w:p w14:paraId="580E51FF" w14:textId="77777777" w:rsidR="00602FD2" w:rsidRPr="00F84937" w:rsidRDefault="00602FD2" w:rsidP="00602FD2">
      <w:pPr>
        <w:spacing w:after="0" w:line="360" w:lineRule="auto"/>
        <w:jc w:val="both"/>
        <w:rPr>
          <w:rFonts w:ascii="Century Gothic" w:hAnsi="Century Gothic"/>
          <w:sz w:val="24"/>
          <w:szCs w:val="24"/>
        </w:rPr>
      </w:pPr>
    </w:p>
    <w:p w14:paraId="37E80288" w14:textId="44F645BC" w:rsidR="00602FD2" w:rsidRPr="00A80156" w:rsidRDefault="00602FD2" w:rsidP="00602FD2">
      <w:pPr>
        <w:spacing w:after="0" w:line="360" w:lineRule="auto"/>
        <w:jc w:val="both"/>
        <w:rPr>
          <w:rFonts w:ascii="Century Gothic" w:hAnsi="Century Gothic"/>
          <w:sz w:val="24"/>
          <w:szCs w:val="24"/>
        </w:rPr>
      </w:pPr>
      <w:r w:rsidRPr="00A80156">
        <w:rPr>
          <w:rFonts w:ascii="Century Gothic" w:hAnsi="Century Gothic"/>
          <w:sz w:val="24"/>
          <w:szCs w:val="24"/>
        </w:rPr>
        <w:lastRenderedPageBreak/>
        <w:t>De acuerdo con estimaciones de la Secretaría de Turismo Federal, durante las festividades del Día de Muertos se generan importantes flujos turísticos y económicos en diversas regiones del país. Según estadísticas nacionales:</w:t>
      </w:r>
    </w:p>
    <w:p w14:paraId="5AB5F638" w14:textId="77777777" w:rsidR="00602FD2" w:rsidRPr="00A80156" w:rsidRDefault="00602FD2" w:rsidP="00602FD2">
      <w:pPr>
        <w:pStyle w:val="Prrafodelista"/>
        <w:numPr>
          <w:ilvl w:val="0"/>
          <w:numId w:val="4"/>
        </w:numPr>
        <w:spacing w:after="0" w:line="360" w:lineRule="auto"/>
        <w:jc w:val="both"/>
        <w:rPr>
          <w:rFonts w:ascii="Century Gothic" w:hAnsi="Century Gothic"/>
          <w:sz w:val="24"/>
          <w:szCs w:val="24"/>
        </w:rPr>
      </w:pPr>
      <w:r w:rsidRPr="00A80156">
        <w:rPr>
          <w:rFonts w:ascii="Century Gothic" w:hAnsi="Century Gothic"/>
          <w:sz w:val="24"/>
          <w:szCs w:val="24"/>
        </w:rPr>
        <w:t>Se estima el desplazamiento de más de 3.1 millones de turistas durante el periodo del 1 al 3 de noviembre.</w:t>
      </w:r>
      <w:r w:rsidRPr="00A80156">
        <w:rPr>
          <w:rStyle w:val="Refdenotaalpie"/>
          <w:rFonts w:ascii="Century Gothic" w:hAnsi="Century Gothic"/>
          <w:sz w:val="24"/>
          <w:szCs w:val="24"/>
        </w:rPr>
        <w:footnoteReference w:id="2"/>
      </w:r>
    </w:p>
    <w:p w14:paraId="11B3A1E1" w14:textId="77777777" w:rsidR="00602FD2" w:rsidRPr="00A80156" w:rsidRDefault="00602FD2" w:rsidP="00602FD2">
      <w:pPr>
        <w:pStyle w:val="Prrafodelista"/>
        <w:numPr>
          <w:ilvl w:val="0"/>
          <w:numId w:val="4"/>
        </w:numPr>
        <w:spacing w:after="0" w:line="360" w:lineRule="auto"/>
        <w:jc w:val="both"/>
        <w:rPr>
          <w:rFonts w:ascii="Century Gothic" w:hAnsi="Century Gothic"/>
          <w:sz w:val="24"/>
          <w:szCs w:val="24"/>
        </w:rPr>
      </w:pPr>
      <w:r w:rsidRPr="00A80156">
        <w:rPr>
          <w:rFonts w:ascii="Century Gothic" w:hAnsi="Century Gothic"/>
          <w:sz w:val="24"/>
          <w:szCs w:val="24"/>
        </w:rPr>
        <w:t>La derrama económica asociada a las celebraciones alcanza 25 mil 605 millones de pesos en consumo turístico.</w:t>
      </w:r>
    </w:p>
    <w:p w14:paraId="3355FEEB" w14:textId="77777777" w:rsidR="00602FD2" w:rsidRPr="00A80156" w:rsidRDefault="00602FD2" w:rsidP="00602FD2">
      <w:pPr>
        <w:pStyle w:val="Prrafodelista"/>
        <w:numPr>
          <w:ilvl w:val="0"/>
          <w:numId w:val="4"/>
        </w:numPr>
        <w:spacing w:after="0" w:line="360" w:lineRule="auto"/>
        <w:jc w:val="both"/>
        <w:rPr>
          <w:rFonts w:ascii="Century Gothic" w:hAnsi="Century Gothic"/>
          <w:sz w:val="24"/>
          <w:szCs w:val="24"/>
        </w:rPr>
      </w:pPr>
      <w:r w:rsidRPr="00A80156">
        <w:rPr>
          <w:rFonts w:ascii="Century Gothic" w:hAnsi="Century Gothic"/>
          <w:sz w:val="24"/>
          <w:szCs w:val="24"/>
        </w:rPr>
        <w:t xml:space="preserve">Aproximadamente 1.23 millones de turistas se hospedan en hoteles, de los cuales más de 950 mil son nacionales y cerca de 274 mil internacionales. </w:t>
      </w:r>
    </w:p>
    <w:p w14:paraId="54EDAA1D" w14:textId="77777777" w:rsidR="00602FD2" w:rsidRPr="00664426" w:rsidRDefault="00602FD2" w:rsidP="00A80156">
      <w:pPr>
        <w:spacing w:after="0" w:line="360" w:lineRule="auto"/>
        <w:jc w:val="both"/>
        <w:rPr>
          <w:rFonts w:ascii="Century Gothic" w:hAnsi="Century Gothic"/>
        </w:rPr>
      </w:pPr>
    </w:p>
    <w:p w14:paraId="77D78492" w14:textId="558A4134" w:rsidR="00602FD2" w:rsidRPr="00664426" w:rsidRDefault="00602FD2" w:rsidP="00602FD2">
      <w:pPr>
        <w:spacing w:after="0" w:line="360" w:lineRule="auto"/>
        <w:jc w:val="both"/>
        <w:rPr>
          <w:rFonts w:ascii="Century Gothic" w:hAnsi="Century Gothic"/>
          <w:sz w:val="24"/>
          <w:szCs w:val="24"/>
        </w:rPr>
      </w:pPr>
      <w:r w:rsidRPr="00664426">
        <w:rPr>
          <w:rFonts w:ascii="Century Gothic" w:hAnsi="Century Gothic"/>
          <w:sz w:val="24"/>
          <w:szCs w:val="24"/>
        </w:rPr>
        <w:t>En periodos más amplios de la celebración, las cifras pueden ser aún mayores:</w:t>
      </w:r>
    </w:p>
    <w:p w14:paraId="2205D46B" w14:textId="77777777" w:rsidR="00602FD2" w:rsidRPr="00A80156" w:rsidRDefault="00602FD2" w:rsidP="00602FD2">
      <w:pPr>
        <w:pStyle w:val="Prrafodelista"/>
        <w:numPr>
          <w:ilvl w:val="0"/>
          <w:numId w:val="4"/>
        </w:numPr>
        <w:spacing w:after="0" w:line="360" w:lineRule="auto"/>
        <w:jc w:val="both"/>
        <w:rPr>
          <w:rFonts w:ascii="Century Gothic" w:hAnsi="Century Gothic"/>
          <w:sz w:val="24"/>
          <w:szCs w:val="24"/>
        </w:rPr>
      </w:pPr>
      <w:r w:rsidRPr="00A80156">
        <w:rPr>
          <w:rFonts w:ascii="Century Gothic" w:hAnsi="Century Gothic"/>
          <w:sz w:val="24"/>
          <w:szCs w:val="24"/>
        </w:rPr>
        <w:t xml:space="preserve">Se han estimado 2.36 millones de turistas hospedados en hoteles durante la temporada del Día de Muertos. </w:t>
      </w:r>
      <w:r w:rsidRPr="00A80156">
        <w:rPr>
          <w:rStyle w:val="Refdenotaalpie"/>
          <w:rFonts w:ascii="Century Gothic" w:hAnsi="Century Gothic"/>
          <w:sz w:val="24"/>
          <w:szCs w:val="24"/>
        </w:rPr>
        <w:footnoteReference w:id="3"/>
      </w:r>
    </w:p>
    <w:p w14:paraId="54B2DE9E" w14:textId="77777777" w:rsidR="00602FD2" w:rsidRPr="00A80156" w:rsidRDefault="00602FD2" w:rsidP="00602FD2">
      <w:pPr>
        <w:pStyle w:val="Prrafodelista"/>
        <w:numPr>
          <w:ilvl w:val="0"/>
          <w:numId w:val="4"/>
        </w:numPr>
        <w:spacing w:after="0" w:line="360" w:lineRule="auto"/>
        <w:jc w:val="both"/>
        <w:rPr>
          <w:rFonts w:ascii="Century Gothic" w:hAnsi="Century Gothic"/>
          <w:sz w:val="24"/>
          <w:szCs w:val="24"/>
        </w:rPr>
      </w:pPr>
      <w:r w:rsidRPr="00A80156">
        <w:rPr>
          <w:rFonts w:ascii="Century Gothic" w:hAnsi="Century Gothic"/>
          <w:sz w:val="24"/>
          <w:szCs w:val="24"/>
        </w:rPr>
        <w:t xml:space="preserve">La derrama económica total puede superar 41 mil millones de pesos en el país. </w:t>
      </w:r>
      <w:r w:rsidRPr="00A80156">
        <w:rPr>
          <w:rStyle w:val="Refdenotaalpie"/>
          <w:rFonts w:ascii="Century Gothic" w:hAnsi="Century Gothic"/>
          <w:sz w:val="24"/>
          <w:szCs w:val="24"/>
        </w:rPr>
        <w:footnoteReference w:id="4"/>
      </w:r>
    </w:p>
    <w:p w14:paraId="6D1333C1" w14:textId="77777777" w:rsidR="00602FD2" w:rsidRDefault="00602FD2" w:rsidP="00602FD2">
      <w:pPr>
        <w:spacing w:after="0" w:line="360" w:lineRule="auto"/>
        <w:jc w:val="both"/>
        <w:rPr>
          <w:rFonts w:ascii="Century Gothic" w:hAnsi="Century Gothic"/>
          <w:b/>
          <w:sz w:val="24"/>
          <w:szCs w:val="24"/>
        </w:rPr>
      </w:pPr>
    </w:p>
    <w:p w14:paraId="14B56395" w14:textId="77777777" w:rsidR="00602FD2" w:rsidRPr="00F40B81" w:rsidRDefault="00602FD2" w:rsidP="00602FD2">
      <w:pPr>
        <w:spacing w:after="0" w:line="360" w:lineRule="auto"/>
        <w:jc w:val="both"/>
        <w:rPr>
          <w:rFonts w:ascii="Century Gothic" w:hAnsi="Century Gothic"/>
          <w:b/>
          <w:sz w:val="24"/>
          <w:szCs w:val="24"/>
        </w:rPr>
      </w:pPr>
      <w:r w:rsidRPr="00F40B81">
        <w:rPr>
          <w:rFonts w:ascii="Century Gothic" w:hAnsi="Century Gothic"/>
          <w:b/>
          <w:sz w:val="24"/>
          <w:szCs w:val="24"/>
        </w:rPr>
        <w:t>Estas cifras reflejan que el Día de Muertos constituye uno de los periodos turísticos más relevantes del año en México.</w:t>
      </w:r>
    </w:p>
    <w:p w14:paraId="371DE74E" w14:textId="77777777" w:rsidR="00602FD2" w:rsidRDefault="00602FD2" w:rsidP="00602FD2">
      <w:pPr>
        <w:spacing w:after="0" w:line="360" w:lineRule="auto"/>
        <w:jc w:val="both"/>
        <w:rPr>
          <w:rFonts w:ascii="Century Gothic" w:hAnsi="Century Gothic"/>
          <w:sz w:val="24"/>
          <w:szCs w:val="24"/>
        </w:rPr>
      </w:pPr>
      <w:r>
        <w:rPr>
          <w:rFonts w:ascii="Century Gothic" w:hAnsi="Century Gothic"/>
          <w:sz w:val="24"/>
          <w:szCs w:val="24"/>
        </w:rPr>
        <w:lastRenderedPageBreak/>
        <w:t>El tema también se aborda d</w:t>
      </w:r>
      <w:r w:rsidRPr="00AC3415">
        <w:rPr>
          <w:rFonts w:ascii="Century Gothic" w:hAnsi="Century Gothic"/>
          <w:sz w:val="24"/>
          <w:szCs w:val="24"/>
        </w:rPr>
        <w:t xml:space="preserve">esde la perspectiva del Derecho Comparado, diversas naciones han reconocido jurídicamente la importancia social y cultural de las conmemoraciones vinculadas a la memoria de los fallecidos, estableciendo en sus respectivos ordenamientos laborales y calendarios cívicos días de descanso oficial asociados a dichas celebraciones. </w:t>
      </w:r>
    </w:p>
    <w:p w14:paraId="113F637F" w14:textId="77777777" w:rsidR="00602FD2" w:rsidRPr="00AC3415" w:rsidRDefault="00602FD2" w:rsidP="00602FD2">
      <w:pPr>
        <w:spacing w:after="0" w:line="360" w:lineRule="auto"/>
        <w:ind w:firstLine="708"/>
        <w:jc w:val="both"/>
        <w:rPr>
          <w:rFonts w:ascii="Century Gothic" w:hAnsi="Century Gothic"/>
          <w:sz w:val="24"/>
          <w:szCs w:val="24"/>
        </w:rPr>
      </w:pPr>
      <w:r w:rsidRPr="00AC3415">
        <w:rPr>
          <w:rFonts w:ascii="Century Gothic" w:hAnsi="Century Gothic"/>
          <w:sz w:val="24"/>
          <w:szCs w:val="24"/>
        </w:rPr>
        <w:t xml:space="preserve">En múltiples países de tradición histórica y cultural afín, particularmente en </w:t>
      </w:r>
      <w:r w:rsidRPr="00AC3415">
        <w:rPr>
          <w:rFonts w:ascii="Century Gothic" w:hAnsi="Century Gothic"/>
          <w:b/>
          <w:sz w:val="24"/>
          <w:szCs w:val="24"/>
        </w:rPr>
        <w:t>Europa y América Latina, el Día de Todos los Santos o el Día de los Fieles Difuntos se encuentran reconocidos como feriados legales o días inhábiles</w:t>
      </w:r>
      <w:r w:rsidRPr="00AC3415">
        <w:rPr>
          <w:rFonts w:ascii="Century Gothic" w:hAnsi="Century Gothic"/>
          <w:sz w:val="24"/>
          <w:szCs w:val="24"/>
        </w:rPr>
        <w:t>, permitiendo a la población participar plenamente en los actos culturales, religiosos y familiares que integran estas tradiciones. Este panorama comparado evidencia que el reconocimiento normativo de fechas vinculadas a la memoria colectiva y al patrimonio cultural constituye una práctica común en distintos sistemas jurídicos, lo cual refuerza la pertinencia de analizar mecanismos que fortalezcan en México la protección y promoción de una de sus tradiciones culturales más emblemáticas.</w:t>
      </w:r>
    </w:p>
    <w:p w14:paraId="47D8AF8A" w14:textId="77777777" w:rsidR="00602FD2" w:rsidRPr="00A8311F" w:rsidRDefault="00602FD2" w:rsidP="00602FD2">
      <w:pPr>
        <w:spacing w:after="0" w:line="360" w:lineRule="auto"/>
        <w:jc w:val="both"/>
        <w:rPr>
          <w:rFonts w:ascii="Century Gothic" w:hAnsi="Century Gothic"/>
          <w:sz w:val="24"/>
          <w:szCs w:val="24"/>
        </w:rPr>
      </w:pPr>
    </w:p>
    <w:p w14:paraId="5ED32802" w14:textId="77777777" w:rsidR="00602FD2" w:rsidRDefault="00602FD2" w:rsidP="00602FD2">
      <w:pPr>
        <w:spacing w:after="0" w:line="360" w:lineRule="auto"/>
        <w:jc w:val="both"/>
        <w:rPr>
          <w:rFonts w:ascii="Century Gothic" w:hAnsi="Century Gothic"/>
          <w:b/>
          <w:sz w:val="24"/>
          <w:szCs w:val="24"/>
        </w:rPr>
      </w:pPr>
      <w:r>
        <w:rPr>
          <w:rFonts w:ascii="Century Gothic" w:hAnsi="Century Gothic"/>
          <w:b/>
          <w:sz w:val="24"/>
          <w:szCs w:val="24"/>
        </w:rPr>
        <w:t>V. Antecedentes Legislativos.</w:t>
      </w:r>
    </w:p>
    <w:p w14:paraId="65B2BDA0" w14:textId="77777777" w:rsidR="00602FD2" w:rsidRPr="00FD0D1B" w:rsidRDefault="00602FD2" w:rsidP="00602FD2">
      <w:pPr>
        <w:spacing w:after="0" w:line="360" w:lineRule="auto"/>
        <w:jc w:val="both"/>
        <w:rPr>
          <w:rFonts w:ascii="Century Gothic" w:hAnsi="Century Gothic"/>
          <w:b/>
          <w:sz w:val="24"/>
          <w:szCs w:val="24"/>
        </w:rPr>
      </w:pPr>
    </w:p>
    <w:p w14:paraId="1521885B" w14:textId="77777777" w:rsidR="00602FD2" w:rsidRPr="00A8311F" w:rsidRDefault="00602FD2" w:rsidP="00602FD2">
      <w:pPr>
        <w:spacing w:after="0" w:line="360" w:lineRule="auto"/>
        <w:jc w:val="both"/>
        <w:rPr>
          <w:rFonts w:ascii="Century Gothic" w:hAnsi="Century Gothic"/>
          <w:sz w:val="24"/>
          <w:szCs w:val="24"/>
        </w:rPr>
      </w:pPr>
      <w:r w:rsidRPr="00A8311F">
        <w:rPr>
          <w:rFonts w:ascii="Century Gothic" w:hAnsi="Century Gothic"/>
          <w:sz w:val="24"/>
          <w:szCs w:val="24"/>
        </w:rPr>
        <w:t>En el ámbito local, diversas entidades federativas han reconocido la relevancia institucional de esta fecha mediante disposiciones administrativas que establecen el 2 de noviembre como día inhábil en dependencias públicas.</w:t>
      </w:r>
    </w:p>
    <w:p w14:paraId="2F79E531" w14:textId="77777777" w:rsidR="00602FD2" w:rsidRPr="00F40B81" w:rsidRDefault="00602FD2" w:rsidP="00A80156">
      <w:pPr>
        <w:spacing w:after="0" w:line="360" w:lineRule="auto"/>
        <w:ind w:firstLine="708"/>
        <w:jc w:val="both"/>
        <w:rPr>
          <w:rFonts w:ascii="Century Gothic" w:hAnsi="Century Gothic"/>
          <w:b/>
          <w:sz w:val="24"/>
          <w:szCs w:val="24"/>
        </w:rPr>
      </w:pPr>
      <w:r w:rsidRPr="00A8311F">
        <w:rPr>
          <w:rFonts w:ascii="Century Gothic" w:hAnsi="Century Gothic"/>
          <w:sz w:val="24"/>
          <w:szCs w:val="24"/>
        </w:rPr>
        <w:t xml:space="preserve">Entre estos casos destaca el estado de </w:t>
      </w:r>
      <w:r w:rsidRPr="00F40B81">
        <w:rPr>
          <w:rFonts w:ascii="Century Gothic" w:hAnsi="Century Gothic"/>
          <w:b/>
          <w:sz w:val="24"/>
          <w:szCs w:val="24"/>
        </w:rPr>
        <w:t xml:space="preserve">Chihuahua, donde el Congreso del Estado aprobó la declaración del 2 de noviembre como día inhábil para las </w:t>
      </w:r>
      <w:r w:rsidRPr="00F40B81">
        <w:rPr>
          <w:rFonts w:ascii="Century Gothic" w:hAnsi="Century Gothic"/>
          <w:b/>
          <w:sz w:val="24"/>
          <w:szCs w:val="24"/>
        </w:rPr>
        <w:lastRenderedPageBreak/>
        <w:t>dependencias de la administración pública estatal, reconociendo la importancia cultural y social de esta fecha.</w:t>
      </w:r>
    </w:p>
    <w:p w14:paraId="0BD29571" w14:textId="77777777" w:rsidR="00602FD2" w:rsidRPr="00F40B81" w:rsidRDefault="00602FD2" w:rsidP="00A80156">
      <w:pPr>
        <w:spacing w:after="0" w:line="360" w:lineRule="auto"/>
        <w:ind w:firstLine="708"/>
        <w:jc w:val="both"/>
        <w:rPr>
          <w:rFonts w:ascii="Century Gothic" w:hAnsi="Century Gothic"/>
          <w:b/>
          <w:sz w:val="24"/>
          <w:szCs w:val="24"/>
        </w:rPr>
      </w:pPr>
      <w:r w:rsidRPr="00F40B81">
        <w:rPr>
          <w:rFonts w:ascii="Century Gothic" w:hAnsi="Century Gothic"/>
          <w:b/>
          <w:sz w:val="24"/>
          <w:szCs w:val="24"/>
        </w:rPr>
        <w:t>Este antecedente demuestra la viabilidad jurídica y administrativa de avanzar hacia un reconocimiento más amplio dentro del marco normativo federal.</w:t>
      </w:r>
    </w:p>
    <w:p w14:paraId="28BBC387" w14:textId="77777777" w:rsidR="00602FD2" w:rsidRPr="00A8311F" w:rsidRDefault="00602FD2" w:rsidP="00602FD2">
      <w:pPr>
        <w:spacing w:after="0" w:line="360" w:lineRule="auto"/>
        <w:jc w:val="both"/>
        <w:rPr>
          <w:rFonts w:ascii="Century Gothic" w:hAnsi="Century Gothic"/>
          <w:sz w:val="24"/>
          <w:szCs w:val="24"/>
        </w:rPr>
      </w:pPr>
    </w:p>
    <w:p w14:paraId="4648E3B7" w14:textId="2B5FAACE" w:rsidR="00602FD2" w:rsidRDefault="00602FD2" w:rsidP="00602FD2">
      <w:pPr>
        <w:spacing w:after="0" w:line="360" w:lineRule="auto"/>
        <w:jc w:val="both"/>
        <w:rPr>
          <w:rFonts w:ascii="Century Gothic" w:hAnsi="Century Gothic"/>
          <w:b/>
          <w:sz w:val="24"/>
          <w:szCs w:val="24"/>
        </w:rPr>
      </w:pPr>
      <w:r>
        <w:rPr>
          <w:rFonts w:ascii="Century Gothic" w:hAnsi="Century Gothic"/>
          <w:b/>
          <w:sz w:val="24"/>
          <w:szCs w:val="24"/>
        </w:rPr>
        <w:t xml:space="preserve">VI. Justificación de la </w:t>
      </w:r>
      <w:r w:rsidR="00A80156">
        <w:rPr>
          <w:rFonts w:ascii="Century Gothic" w:hAnsi="Century Gothic"/>
          <w:b/>
          <w:sz w:val="24"/>
          <w:szCs w:val="24"/>
        </w:rPr>
        <w:t>R</w:t>
      </w:r>
      <w:r>
        <w:rPr>
          <w:rFonts w:ascii="Century Gothic" w:hAnsi="Century Gothic"/>
          <w:b/>
          <w:sz w:val="24"/>
          <w:szCs w:val="24"/>
        </w:rPr>
        <w:t>eforma.</w:t>
      </w:r>
    </w:p>
    <w:p w14:paraId="43990E50" w14:textId="77777777" w:rsidR="00A80156" w:rsidRPr="00FD0D1B" w:rsidRDefault="00A80156" w:rsidP="00602FD2">
      <w:pPr>
        <w:spacing w:after="0" w:line="360" w:lineRule="auto"/>
        <w:jc w:val="both"/>
        <w:rPr>
          <w:rFonts w:ascii="Century Gothic" w:hAnsi="Century Gothic"/>
          <w:b/>
          <w:sz w:val="24"/>
          <w:szCs w:val="24"/>
        </w:rPr>
      </w:pPr>
    </w:p>
    <w:p w14:paraId="79B26AA4" w14:textId="43F50045" w:rsidR="00A80156" w:rsidRPr="00A80156" w:rsidRDefault="00602FD2" w:rsidP="00602FD2">
      <w:pPr>
        <w:spacing w:after="0" w:line="360" w:lineRule="auto"/>
        <w:jc w:val="both"/>
        <w:rPr>
          <w:rFonts w:ascii="Century Gothic" w:hAnsi="Century Gothic"/>
          <w:sz w:val="24"/>
          <w:szCs w:val="24"/>
        </w:rPr>
      </w:pPr>
      <w:r w:rsidRPr="00A8311F">
        <w:rPr>
          <w:rFonts w:ascii="Century Gothic" w:hAnsi="Century Gothic"/>
          <w:sz w:val="24"/>
          <w:szCs w:val="24"/>
        </w:rPr>
        <w:t>La incorporación del 2 de noviembre como día de descanso obligatorio dentro de la Ley Federal del Trabajo tiene como finalidad:</w:t>
      </w:r>
    </w:p>
    <w:p w14:paraId="49AA40EA" w14:textId="77777777" w:rsidR="00602FD2" w:rsidRPr="00A80156" w:rsidRDefault="00602FD2" w:rsidP="00602FD2">
      <w:pPr>
        <w:pStyle w:val="Prrafodelista"/>
        <w:numPr>
          <w:ilvl w:val="0"/>
          <w:numId w:val="3"/>
        </w:numPr>
        <w:spacing w:after="0" w:line="360" w:lineRule="auto"/>
        <w:jc w:val="both"/>
        <w:rPr>
          <w:rFonts w:ascii="Century Gothic" w:hAnsi="Century Gothic"/>
          <w:sz w:val="24"/>
          <w:szCs w:val="24"/>
        </w:rPr>
      </w:pPr>
      <w:r w:rsidRPr="00A80156">
        <w:rPr>
          <w:rFonts w:ascii="Century Gothic" w:hAnsi="Century Gothic"/>
          <w:sz w:val="24"/>
          <w:szCs w:val="24"/>
        </w:rPr>
        <w:t>Reconocer institucionalmente una de las tradiciones culturales más importantes de México.</w:t>
      </w:r>
    </w:p>
    <w:p w14:paraId="23891CFD" w14:textId="77777777" w:rsidR="00602FD2" w:rsidRPr="00A80156" w:rsidRDefault="00602FD2" w:rsidP="00602FD2">
      <w:pPr>
        <w:pStyle w:val="Prrafodelista"/>
        <w:numPr>
          <w:ilvl w:val="0"/>
          <w:numId w:val="3"/>
        </w:numPr>
        <w:spacing w:after="0" w:line="360" w:lineRule="auto"/>
        <w:jc w:val="both"/>
        <w:rPr>
          <w:rFonts w:ascii="Century Gothic" w:hAnsi="Century Gothic"/>
          <w:sz w:val="24"/>
          <w:szCs w:val="24"/>
        </w:rPr>
      </w:pPr>
      <w:r w:rsidRPr="00A80156">
        <w:rPr>
          <w:rFonts w:ascii="Century Gothic" w:hAnsi="Century Gothic"/>
          <w:sz w:val="24"/>
          <w:szCs w:val="24"/>
        </w:rPr>
        <w:t>Garantizar el ejercicio del derecho cultural de las personas trabajadoras.</w:t>
      </w:r>
    </w:p>
    <w:p w14:paraId="5E29D06D" w14:textId="77777777" w:rsidR="00602FD2" w:rsidRPr="00A80156" w:rsidRDefault="00602FD2" w:rsidP="00602FD2">
      <w:pPr>
        <w:pStyle w:val="Prrafodelista"/>
        <w:numPr>
          <w:ilvl w:val="0"/>
          <w:numId w:val="3"/>
        </w:numPr>
        <w:spacing w:after="0" w:line="360" w:lineRule="auto"/>
        <w:jc w:val="both"/>
        <w:rPr>
          <w:rFonts w:ascii="Century Gothic" w:hAnsi="Century Gothic"/>
          <w:sz w:val="24"/>
          <w:szCs w:val="24"/>
        </w:rPr>
      </w:pPr>
      <w:r w:rsidRPr="00A80156">
        <w:rPr>
          <w:rFonts w:ascii="Century Gothic" w:hAnsi="Century Gothic"/>
          <w:sz w:val="24"/>
          <w:szCs w:val="24"/>
        </w:rPr>
        <w:t>Favorecer la convivencia familiar y comunitaria.</w:t>
      </w:r>
    </w:p>
    <w:p w14:paraId="052DE07C" w14:textId="77777777" w:rsidR="00602FD2" w:rsidRPr="00A80156" w:rsidRDefault="00602FD2" w:rsidP="00602FD2">
      <w:pPr>
        <w:pStyle w:val="Prrafodelista"/>
        <w:numPr>
          <w:ilvl w:val="0"/>
          <w:numId w:val="3"/>
        </w:numPr>
        <w:spacing w:after="0" w:line="360" w:lineRule="auto"/>
        <w:jc w:val="both"/>
        <w:rPr>
          <w:rFonts w:ascii="Century Gothic" w:hAnsi="Century Gothic"/>
          <w:sz w:val="24"/>
          <w:szCs w:val="24"/>
        </w:rPr>
      </w:pPr>
      <w:r w:rsidRPr="00A80156">
        <w:rPr>
          <w:rFonts w:ascii="Century Gothic" w:hAnsi="Century Gothic"/>
          <w:sz w:val="24"/>
          <w:szCs w:val="24"/>
        </w:rPr>
        <w:t>Fortalecer la preservación del patrimonio cultural inmaterial del país.</w:t>
      </w:r>
    </w:p>
    <w:p w14:paraId="4C09A454" w14:textId="77777777" w:rsidR="00602FD2" w:rsidRPr="00A80156" w:rsidRDefault="00602FD2" w:rsidP="00602FD2">
      <w:pPr>
        <w:pStyle w:val="Prrafodelista"/>
        <w:numPr>
          <w:ilvl w:val="0"/>
          <w:numId w:val="3"/>
        </w:numPr>
        <w:spacing w:after="0" w:line="360" w:lineRule="auto"/>
        <w:jc w:val="both"/>
        <w:rPr>
          <w:rFonts w:ascii="Century Gothic" w:hAnsi="Century Gothic"/>
          <w:sz w:val="24"/>
          <w:szCs w:val="24"/>
        </w:rPr>
      </w:pPr>
      <w:r w:rsidRPr="00A80156">
        <w:rPr>
          <w:rFonts w:ascii="Century Gothic" w:hAnsi="Century Gothic"/>
          <w:sz w:val="24"/>
          <w:szCs w:val="24"/>
        </w:rPr>
        <w:t>Armonizar la legislación laboral con las prácticas sociales y culturales de la población.</w:t>
      </w:r>
    </w:p>
    <w:p w14:paraId="28F1F598" w14:textId="77777777" w:rsidR="00602FD2" w:rsidRDefault="00602FD2" w:rsidP="00602FD2">
      <w:pPr>
        <w:spacing w:after="0" w:line="360" w:lineRule="auto"/>
        <w:jc w:val="both"/>
        <w:rPr>
          <w:rFonts w:ascii="Century Gothic" w:hAnsi="Century Gothic"/>
        </w:rPr>
      </w:pPr>
    </w:p>
    <w:p w14:paraId="6567A235" w14:textId="31620F27" w:rsidR="00602FD2" w:rsidRDefault="00602FD2" w:rsidP="00602FD2">
      <w:pPr>
        <w:spacing w:after="0" w:line="360" w:lineRule="auto"/>
        <w:jc w:val="both"/>
        <w:rPr>
          <w:rFonts w:ascii="Century Gothic" w:hAnsi="Century Gothic"/>
          <w:sz w:val="24"/>
          <w:szCs w:val="24"/>
        </w:rPr>
      </w:pPr>
      <w:r w:rsidRPr="00E932B3">
        <w:rPr>
          <w:rFonts w:ascii="Century Gothic" w:hAnsi="Century Gothic"/>
          <w:sz w:val="24"/>
          <w:szCs w:val="24"/>
        </w:rPr>
        <w:t xml:space="preserve">Es por lo anteriormente expuesto que </w:t>
      </w:r>
      <w:r w:rsidR="00C5669E">
        <w:rPr>
          <w:rFonts w:ascii="Century Gothic" w:hAnsi="Century Gothic"/>
          <w:sz w:val="24"/>
          <w:szCs w:val="24"/>
        </w:rPr>
        <w:t>se somete</w:t>
      </w:r>
      <w:r w:rsidR="00C5669E" w:rsidRPr="00C5669E">
        <w:rPr>
          <w:rFonts w:ascii="Century Gothic" w:hAnsi="Century Gothic"/>
          <w:sz w:val="24"/>
          <w:szCs w:val="24"/>
        </w:rPr>
        <w:t xml:space="preserve"> a consideración de esta Soberanía, la siguiente iniciativa con carácter de:</w:t>
      </w:r>
    </w:p>
    <w:p w14:paraId="139C6C2B" w14:textId="77777777" w:rsidR="00C5669E" w:rsidRDefault="00C5669E" w:rsidP="00602FD2">
      <w:pPr>
        <w:spacing w:after="0" w:line="360" w:lineRule="auto"/>
        <w:jc w:val="both"/>
        <w:rPr>
          <w:rFonts w:ascii="Century Gothic" w:hAnsi="Century Gothic"/>
          <w:sz w:val="24"/>
          <w:szCs w:val="24"/>
        </w:rPr>
      </w:pPr>
    </w:p>
    <w:p w14:paraId="3FCD59B5" w14:textId="77777777" w:rsidR="00C5669E" w:rsidRDefault="00C5669E" w:rsidP="00602FD2">
      <w:pPr>
        <w:spacing w:after="0" w:line="360" w:lineRule="auto"/>
        <w:jc w:val="both"/>
        <w:rPr>
          <w:rFonts w:ascii="Century Gothic" w:hAnsi="Century Gothic"/>
          <w:sz w:val="24"/>
          <w:szCs w:val="24"/>
        </w:rPr>
      </w:pPr>
    </w:p>
    <w:p w14:paraId="03831864" w14:textId="77777777" w:rsidR="00C5669E" w:rsidRDefault="00C5669E" w:rsidP="00602FD2">
      <w:pPr>
        <w:spacing w:after="0" w:line="360" w:lineRule="auto"/>
        <w:jc w:val="both"/>
        <w:rPr>
          <w:rFonts w:ascii="Century Gothic" w:hAnsi="Century Gothic"/>
          <w:sz w:val="24"/>
          <w:szCs w:val="24"/>
        </w:rPr>
      </w:pPr>
    </w:p>
    <w:p w14:paraId="048F07DB" w14:textId="77777777" w:rsidR="00C5669E" w:rsidRPr="00E932B3" w:rsidRDefault="00C5669E" w:rsidP="00602FD2">
      <w:pPr>
        <w:spacing w:after="0" w:line="360" w:lineRule="auto"/>
        <w:jc w:val="both"/>
        <w:rPr>
          <w:rFonts w:ascii="Century Gothic" w:hAnsi="Century Gothic"/>
          <w:sz w:val="24"/>
          <w:szCs w:val="24"/>
        </w:rPr>
      </w:pPr>
    </w:p>
    <w:p w14:paraId="53C6AADD" w14:textId="77777777" w:rsidR="00602FD2" w:rsidRPr="00AC3415" w:rsidRDefault="00602FD2" w:rsidP="00602FD2">
      <w:pPr>
        <w:spacing w:after="0" w:line="360" w:lineRule="auto"/>
        <w:jc w:val="both"/>
        <w:rPr>
          <w:rFonts w:ascii="Century Gothic" w:hAnsi="Century Gothic"/>
        </w:rPr>
      </w:pPr>
    </w:p>
    <w:p w14:paraId="0795B170" w14:textId="77777777" w:rsidR="00602FD2" w:rsidRPr="00DE69BB" w:rsidRDefault="00602FD2" w:rsidP="00602FD2">
      <w:pPr>
        <w:pStyle w:val="CuerpoA"/>
        <w:spacing w:after="0" w:line="360" w:lineRule="auto"/>
        <w:jc w:val="center"/>
        <w:rPr>
          <w:rStyle w:val="Ninguno"/>
          <w:rFonts w:ascii="Century Gothic" w:eastAsia="Arial Narrow" w:hAnsi="Century Gothic" w:cs="Arial"/>
          <w:b/>
          <w:bCs/>
          <w:sz w:val="24"/>
          <w:szCs w:val="24"/>
        </w:rPr>
      </w:pPr>
      <w:r w:rsidRPr="00DE69BB">
        <w:rPr>
          <w:rStyle w:val="Ninguno"/>
          <w:rFonts w:ascii="Century Gothic" w:hAnsi="Century Gothic" w:cs="Arial"/>
          <w:b/>
          <w:bCs/>
          <w:sz w:val="24"/>
          <w:szCs w:val="24"/>
        </w:rPr>
        <w:lastRenderedPageBreak/>
        <w:t>DECRETO.</w:t>
      </w:r>
    </w:p>
    <w:p w14:paraId="14C4BE4D" w14:textId="77777777" w:rsidR="00602FD2" w:rsidRPr="00DE69BB" w:rsidRDefault="00602FD2" w:rsidP="00602FD2">
      <w:pPr>
        <w:pStyle w:val="CuerpoA"/>
        <w:spacing w:after="0" w:line="360" w:lineRule="auto"/>
        <w:jc w:val="both"/>
        <w:rPr>
          <w:rStyle w:val="Ninguno"/>
          <w:rFonts w:ascii="Century Gothic" w:eastAsia="Arial Narrow" w:hAnsi="Century Gothic" w:cs="Arial"/>
          <w:b/>
          <w:bCs/>
          <w:sz w:val="24"/>
          <w:szCs w:val="24"/>
        </w:rPr>
      </w:pPr>
    </w:p>
    <w:p w14:paraId="5AC554AE" w14:textId="77777777" w:rsidR="00602FD2" w:rsidRDefault="00602FD2" w:rsidP="00602FD2">
      <w:pPr>
        <w:pStyle w:val="CuerpoA"/>
        <w:spacing w:after="0" w:line="360" w:lineRule="auto"/>
        <w:jc w:val="both"/>
        <w:rPr>
          <w:rStyle w:val="Ninguno"/>
          <w:rFonts w:ascii="Century Gothic" w:hAnsi="Century Gothic" w:cs="Arial"/>
          <w:sz w:val="24"/>
          <w:szCs w:val="24"/>
        </w:rPr>
      </w:pPr>
      <w:r w:rsidRPr="00DE69BB">
        <w:rPr>
          <w:rStyle w:val="Ninguno"/>
          <w:rFonts w:ascii="Century Gothic" w:hAnsi="Century Gothic" w:cs="Arial"/>
          <w:b/>
          <w:bCs/>
          <w:sz w:val="24"/>
          <w:szCs w:val="24"/>
        </w:rPr>
        <w:t xml:space="preserve">ÚNICO. - </w:t>
      </w:r>
      <w:r w:rsidRPr="00DE69BB">
        <w:rPr>
          <w:rStyle w:val="Ninguno"/>
          <w:rFonts w:ascii="Century Gothic" w:hAnsi="Century Gothic" w:cs="Arial"/>
          <w:sz w:val="24"/>
          <w:szCs w:val="24"/>
        </w:rPr>
        <w:t xml:space="preserve">Se modifica el </w:t>
      </w:r>
      <w:r>
        <w:rPr>
          <w:rStyle w:val="Ninguno"/>
          <w:rFonts w:ascii="Century Gothic" w:hAnsi="Century Gothic" w:cs="Arial"/>
          <w:b/>
          <w:bCs/>
          <w:sz w:val="24"/>
          <w:szCs w:val="24"/>
        </w:rPr>
        <w:t>Artículo 74</w:t>
      </w:r>
      <w:r w:rsidRPr="00DE69BB">
        <w:rPr>
          <w:rStyle w:val="Ninguno"/>
          <w:rFonts w:ascii="Century Gothic" w:hAnsi="Century Gothic" w:cs="Arial"/>
          <w:b/>
          <w:bCs/>
          <w:sz w:val="24"/>
          <w:szCs w:val="24"/>
        </w:rPr>
        <w:t xml:space="preserve"> </w:t>
      </w:r>
      <w:r w:rsidRPr="00DE69BB">
        <w:rPr>
          <w:rStyle w:val="Ninguno"/>
          <w:rFonts w:ascii="Century Gothic" w:hAnsi="Century Gothic" w:cs="Arial"/>
          <w:sz w:val="24"/>
          <w:szCs w:val="24"/>
        </w:rPr>
        <w:t>de</w:t>
      </w:r>
      <w:r>
        <w:rPr>
          <w:rStyle w:val="Ninguno"/>
          <w:rFonts w:ascii="Century Gothic" w:hAnsi="Century Gothic" w:cs="Arial"/>
          <w:sz w:val="24"/>
          <w:szCs w:val="24"/>
        </w:rPr>
        <w:t xml:space="preserve"> la </w:t>
      </w:r>
      <w:r w:rsidRPr="008671B1">
        <w:rPr>
          <w:rStyle w:val="Ninguno"/>
          <w:rFonts w:ascii="Century Gothic" w:hAnsi="Century Gothic" w:cs="Arial"/>
          <w:b/>
          <w:sz w:val="24"/>
          <w:szCs w:val="24"/>
        </w:rPr>
        <w:t>Ley Federal del Trabajo</w:t>
      </w:r>
      <w:r w:rsidRPr="00DE69BB">
        <w:rPr>
          <w:rStyle w:val="Ninguno"/>
          <w:rFonts w:ascii="Century Gothic" w:hAnsi="Century Gothic" w:cs="Arial"/>
          <w:sz w:val="24"/>
          <w:szCs w:val="24"/>
        </w:rPr>
        <w:t xml:space="preserve"> para quedar redactado de la siguiente manera:</w:t>
      </w:r>
    </w:p>
    <w:p w14:paraId="5F4E86B4" w14:textId="77777777" w:rsidR="00602FD2" w:rsidRDefault="00602FD2" w:rsidP="00602FD2">
      <w:pPr>
        <w:pStyle w:val="CuerpoA"/>
        <w:spacing w:after="0" w:line="360" w:lineRule="auto"/>
        <w:jc w:val="both"/>
        <w:rPr>
          <w:rStyle w:val="Ninguno"/>
          <w:rFonts w:ascii="Century Gothic" w:hAnsi="Century Gothic" w:cs="Arial"/>
          <w:sz w:val="24"/>
          <w:szCs w:val="24"/>
        </w:rPr>
      </w:pPr>
    </w:p>
    <w:p w14:paraId="62928C04" w14:textId="77777777" w:rsidR="00602FD2" w:rsidRPr="00F84937" w:rsidRDefault="00602FD2" w:rsidP="00C5669E">
      <w:pPr>
        <w:pStyle w:val="CuerpoA"/>
        <w:spacing w:after="0" w:line="360" w:lineRule="auto"/>
        <w:jc w:val="both"/>
        <w:rPr>
          <w:rStyle w:val="Ninguno"/>
          <w:rFonts w:ascii="Century Gothic" w:hAnsi="Century Gothic" w:cs="Arial"/>
          <w:b/>
          <w:sz w:val="24"/>
          <w:szCs w:val="24"/>
        </w:rPr>
      </w:pPr>
      <w:r w:rsidRPr="00F84937">
        <w:rPr>
          <w:rStyle w:val="Ninguno"/>
          <w:rFonts w:ascii="Century Gothic" w:hAnsi="Century Gothic" w:cs="Arial"/>
          <w:b/>
          <w:sz w:val="24"/>
          <w:szCs w:val="24"/>
        </w:rPr>
        <w:t xml:space="preserve">Artículo 74. </w:t>
      </w:r>
      <w:r w:rsidRPr="00F84937">
        <w:rPr>
          <w:rStyle w:val="Ninguno"/>
          <w:rFonts w:ascii="Century Gothic" w:hAnsi="Century Gothic" w:cs="Arial"/>
          <w:sz w:val="24"/>
          <w:szCs w:val="24"/>
        </w:rPr>
        <w:t>Son días de descanso obligatorio:</w:t>
      </w:r>
    </w:p>
    <w:p w14:paraId="2B12737C" w14:textId="77777777" w:rsidR="00602FD2" w:rsidRPr="00FB172C" w:rsidRDefault="00602FD2" w:rsidP="00C5669E">
      <w:pPr>
        <w:pStyle w:val="CuerpoA"/>
        <w:spacing w:after="0" w:line="360" w:lineRule="auto"/>
        <w:jc w:val="both"/>
        <w:rPr>
          <w:rStyle w:val="Ninguno"/>
          <w:rFonts w:ascii="Century Gothic" w:hAnsi="Century Gothic" w:cs="Arial"/>
          <w:sz w:val="24"/>
          <w:szCs w:val="24"/>
        </w:rPr>
      </w:pPr>
      <w:r>
        <w:rPr>
          <w:rStyle w:val="Ninguno"/>
          <w:rFonts w:ascii="Century Gothic" w:hAnsi="Century Gothic" w:cs="Arial"/>
          <w:sz w:val="24"/>
          <w:szCs w:val="24"/>
        </w:rPr>
        <w:t>I. El 1o. de enero;</w:t>
      </w:r>
    </w:p>
    <w:p w14:paraId="7DE52373" w14:textId="77777777" w:rsidR="00602FD2" w:rsidRPr="00FB172C" w:rsidRDefault="00602FD2" w:rsidP="00C5669E">
      <w:pPr>
        <w:pStyle w:val="CuerpoA"/>
        <w:spacing w:after="0" w:line="360" w:lineRule="auto"/>
        <w:jc w:val="both"/>
        <w:rPr>
          <w:rStyle w:val="Ninguno"/>
          <w:rFonts w:ascii="Century Gothic" w:hAnsi="Century Gothic" w:cs="Arial"/>
          <w:sz w:val="24"/>
          <w:szCs w:val="24"/>
        </w:rPr>
      </w:pPr>
      <w:r w:rsidRPr="00FB172C">
        <w:rPr>
          <w:rStyle w:val="Ninguno"/>
          <w:rFonts w:ascii="Century Gothic" w:hAnsi="Century Gothic" w:cs="Arial"/>
          <w:sz w:val="24"/>
          <w:szCs w:val="24"/>
        </w:rPr>
        <w:t xml:space="preserve">II. El primer lunes de febrero en </w:t>
      </w:r>
      <w:r>
        <w:rPr>
          <w:rStyle w:val="Ninguno"/>
          <w:rFonts w:ascii="Century Gothic" w:hAnsi="Century Gothic" w:cs="Arial"/>
          <w:sz w:val="24"/>
          <w:szCs w:val="24"/>
        </w:rPr>
        <w:t>conmemoración del 5 de febrero;</w:t>
      </w:r>
    </w:p>
    <w:p w14:paraId="5A8DF6F3" w14:textId="77777777" w:rsidR="00602FD2" w:rsidRPr="00FB172C" w:rsidRDefault="00602FD2" w:rsidP="00C5669E">
      <w:pPr>
        <w:pStyle w:val="CuerpoA"/>
        <w:spacing w:after="0" w:line="360" w:lineRule="auto"/>
        <w:jc w:val="both"/>
        <w:rPr>
          <w:rStyle w:val="Ninguno"/>
          <w:rFonts w:ascii="Century Gothic" w:hAnsi="Century Gothic" w:cs="Arial"/>
          <w:sz w:val="24"/>
          <w:szCs w:val="24"/>
        </w:rPr>
      </w:pPr>
      <w:r w:rsidRPr="00FB172C">
        <w:rPr>
          <w:rStyle w:val="Ninguno"/>
          <w:rFonts w:ascii="Century Gothic" w:hAnsi="Century Gothic" w:cs="Arial"/>
          <w:sz w:val="24"/>
          <w:szCs w:val="24"/>
        </w:rPr>
        <w:t>III. El tercer lunes de marzo en</w:t>
      </w:r>
      <w:r>
        <w:rPr>
          <w:rStyle w:val="Ninguno"/>
          <w:rFonts w:ascii="Century Gothic" w:hAnsi="Century Gothic" w:cs="Arial"/>
          <w:sz w:val="24"/>
          <w:szCs w:val="24"/>
        </w:rPr>
        <w:t xml:space="preserve"> conmemoración del 21 de marzo;</w:t>
      </w:r>
    </w:p>
    <w:p w14:paraId="1347B201" w14:textId="77777777" w:rsidR="00602FD2" w:rsidRPr="00FB172C" w:rsidRDefault="00602FD2" w:rsidP="00C5669E">
      <w:pPr>
        <w:pStyle w:val="CuerpoA"/>
        <w:spacing w:after="0" w:line="360" w:lineRule="auto"/>
        <w:jc w:val="both"/>
        <w:rPr>
          <w:rStyle w:val="Ninguno"/>
          <w:rFonts w:ascii="Century Gothic" w:hAnsi="Century Gothic" w:cs="Arial"/>
          <w:sz w:val="24"/>
          <w:szCs w:val="24"/>
        </w:rPr>
      </w:pPr>
      <w:r>
        <w:rPr>
          <w:rStyle w:val="Ninguno"/>
          <w:rFonts w:ascii="Century Gothic" w:hAnsi="Century Gothic" w:cs="Arial"/>
          <w:sz w:val="24"/>
          <w:szCs w:val="24"/>
        </w:rPr>
        <w:t>IV. El 1o. de mayo;</w:t>
      </w:r>
    </w:p>
    <w:p w14:paraId="40848F27" w14:textId="77777777" w:rsidR="00602FD2" w:rsidRDefault="00602FD2" w:rsidP="00C5669E">
      <w:pPr>
        <w:pStyle w:val="CuerpoA"/>
        <w:spacing w:after="0" w:line="360" w:lineRule="auto"/>
        <w:jc w:val="both"/>
        <w:rPr>
          <w:rStyle w:val="Ninguno"/>
          <w:rFonts w:ascii="Century Gothic" w:hAnsi="Century Gothic" w:cs="Arial"/>
          <w:sz w:val="24"/>
          <w:szCs w:val="24"/>
        </w:rPr>
      </w:pPr>
      <w:r>
        <w:rPr>
          <w:rStyle w:val="Ninguno"/>
          <w:rFonts w:ascii="Century Gothic" w:hAnsi="Century Gothic" w:cs="Arial"/>
          <w:sz w:val="24"/>
          <w:szCs w:val="24"/>
        </w:rPr>
        <w:t>V. El 16 de septiembre;</w:t>
      </w:r>
    </w:p>
    <w:p w14:paraId="3874AD40" w14:textId="77777777" w:rsidR="00602FD2" w:rsidRPr="003E2322" w:rsidRDefault="00602FD2" w:rsidP="00C5669E">
      <w:pPr>
        <w:pStyle w:val="CuerpoA"/>
        <w:spacing w:after="0" w:line="360" w:lineRule="auto"/>
        <w:jc w:val="both"/>
        <w:rPr>
          <w:rStyle w:val="Ninguno"/>
          <w:rFonts w:ascii="Century Gothic" w:eastAsia="Arial Narrow" w:hAnsi="Century Gothic" w:cs="Arial"/>
          <w:sz w:val="24"/>
          <w:szCs w:val="24"/>
        </w:rPr>
      </w:pPr>
      <w:r w:rsidRPr="003E2322">
        <w:rPr>
          <w:rStyle w:val="Ninguno"/>
          <w:rFonts w:ascii="Century Gothic" w:eastAsia="Arial Narrow" w:hAnsi="Century Gothic" w:cs="Arial"/>
          <w:b/>
          <w:sz w:val="24"/>
          <w:szCs w:val="24"/>
        </w:rPr>
        <w:t>VI.</w:t>
      </w:r>
      <w:r w:rsidRPr="003E2322">
        <w:rPr>
          <w:rStyle w:val="Ninguno"/>
          <w:rFonts w:ascii="Century Gothic" w:eastAsia="Arial Narrow" w:hAnsi="Century Gothic" w:cs="Arial"/>
          <w:sz w:val="24"/>
          <w:szCs w:val="24"/>
        </w:rPr>
        <w:t xml:space="preserve"> </w:t>
      </w:r>
      <w:r w:rsidRPr="003E2322">
        <w:rPr>
          <w:rStyle w:val="Ninguno"/>
          <w:rFonts w:ascii="Century Gothic" w:eastAsia="Arial Narrow" w:hAnsi="Century Gothic" w:cs="Arial"/>
          <w:b/>
          <w:sz w:val="24"/>
          <w:szCs w:val="24"/>
        </w:rPr>
        <w:t>El 2 de noviembre, en conmemoración del Día de Muertos;</w:t>
      </w:r>
      <w:r>
        <w:rPr>
          <w:rStyle w:val="Ninguno"/>
          <w:rFonts w:ascii="Century Gothic" w:eastAsia="Arial Narrow" w:hAnsi="Century Gothic" w:cs="Arial"/>
          <w:sz w:val="24"/>
          <w:szCs w:val="24"/>
        </w:rPr>
        <w:br/>
      </w:r>
      <w:r>
        <w:rPr>
          <w:rStyle w:val="Ninguno"/>
          <w:rFonts w:ascii="Century Gothic" w:hAnsi="Century Gothic" w:cs="Arial"/>
          <w:sz w:val="24"/>
          <w:szCs w:val="24"/>
        </w:rPr>
        <w:t>VII</w:t>
      </w:r>
      <w:r w:rsidRPr="00FB172C">
        <w:rPr>
          <w:rStyle w:val="Ninguno"/>
          <w:rFonts w:ascii="Century Gothic" w:hAnsi="Century Gothic" w:cs="Arial"/>
          <w:sz w:val="24"/>
          <w:szCs w:val="24"/>
        </w:rPr>
        <w:t>. El tercer lunes de noviembre en conmemoración del 20</w:t>
      </w:r>
      <w:r>
        <w:rPr>
          <w:rStyle w:val="Ninguno"/>
          <w:rFonts w:ascii="Century Gothic" w:hAnsi="Century Gothic" w:cs="Arial"/>
          <w:sz w:val="24"/>
          <w:szCs w:val="24"/>
        </w:rPr>
        <w:t xml:space="preserve"> de noviembre;</w:t>
      </w:r>
      <w:r>
        <w:rPr>
          <w:rStyle w:val="Ninguno"/>
          <w:rFonts w:ascii="Century Gothic" w:eastAsia="Arial Narrow" w:hAnsi="Century Gothic" w:cs="Arial"/>
          <w:sz w:val="24"/>
          <w:szCs w:val="24"/>
        </w:rPr>
        <w:br/>
      </w:r>
      <w:r w:rsidRPr="00FB172C">
        <w:rPr>
          <w:rStyle w:val="Ninguno"/>
          <w:rFonts w:ascii="Century Gothic" w:hAnsi="Century Gothic" w:cs="Arial"/>
          <w:sz w:val="24"/>
          <w:szCs w:val="24"/>
        </w:rPr>
        <w:t>VII</w:t>
      </w:r>
      <w:r>
        <w:rPr>
          <w:rStyle w:val="Ninguno"/>
          <w:rFonts w:ascii="Century Gothic" w:hAnsi="Century Gothic" w:cs="Arial"/>
          <w:sz w:val="24"/>
          <w:szCs w:val="24"/>
        </w:rPr>
        <w:t>I</w:t>
      </w:r>
      <w:r w:rsidRPr="00FB172C">
        <w:rPr>
          <w:rStyle w:val="Ninguno"/>
          <w:rFonts w:ascii="Century Gothic" w:hAnsi="Century Gothic" w:cs="Arial"/>
          <w:sz w:val="24"/>
          <w:szCs w:val="24"/>
        </w:rPr>
        <w:t>. El 1o. de octubre de cada seis años, cuando corresponda a la transmisi</w:t>
      </w:r>
      <w:r>
        <w:rPr>
          <w:rStyle w:val="Ninguno"/>
          <w:rFonts w:ascii="Century Gothic" w:hAnsi="Century Gothic" w:cs="Arial"/>
          <w:sz w:val="24"/>
          <w:szCs w:val="24"/>
        </w:rPr>
        <w:t>ón del Poder Ejecutivo Federal;</w:t>
      </w:r>
    </w:p>
    <w:p w14:paraId="6F27412C" w14:textId="77777777" w:rsidR="00602FD2" w:rsidRPr="00FB172C" w:rsidRDefault="00602FD2" w:rsidP="00C5669E">
      <w:pPr>
        <w:pStyle w:val="CuerpoA"/>
        <w:spacing w:after="0" w:line="360" w:lineRule="auto"/>
        <w:jc w:val="both"/>
        <w:rPr>
          <w:rStyle w:val="Ninguno"/>
          <w:rFonts w:ascii="Century Gothic" w:hAnsi="Century Gothic" w:cs="Arial"/>
          <w:sz w:val="24"/>
          <w:szCs w:val="24"/>
        </w:rPr>
      </w:pPr>
      <w:r>
        <w:rPr>
          <w:rStyle w:val="Ninguno"/>
          <w:rFonts w:ascii="Century Gothic" w:hAnsi="Century Gothic" w:cs="Arial"/>
          <w:sz w:val="24"/>
          <w:szCs w:val="24"/>
        </w:rPr>
        <w:t>IX. El 25 de diciembre;</w:t>
      </w:r>
    </w:p>
    <w:p w14:paraId="4FFC156B" w14:textId="77777777" w:rsidR="00602FD2" w:rsidRPr="00AC3415" w:rsidRDefault="00602FD2" w:rsidP="00C5669E">
      <w:pPr>
        <w:pStyle w:val="CuerpoA"/>
        <w:spacing w:after="0" w:line="360" w:lineRule="auto"/>
        <w:jc w:val="both"/>
        <w:rPr>
          <w:rFonts w:ascii="Century Gothic" w:hAnsi="Century Gothic" w:cs="Arial"/>
          <w:sz w:val="24"/>
          <w:szCs w:val="24"/>
        </w:rPr>
      </w:pPr>
      <w:r w:rsidRPr="00FB172C">
        <w:rPr>
          <w:rStyle w:val="Ninguno"/>
          <w:rFonts w:ascii="Century Gothic" w:hAnsi="Century Gothic" w:cs="Arial"/>
          <w:sz w:val="24"/>
          <w:szCs w:val="24"/>
        </w:rPr>
        <w:t>X. El que determinen las leyes federales y loc</w:t>
      </w:r>
      <w:r>
        <w:rPr>
          <w:rStyle w:val="Ninguno"/>
          <w:rFonts w:ascii="Century Gothic" w:hAnsi="Century Gothic" w:cs="Arial"/>
          <w:sz w:val="24"/>
          <w:szCs w:val="24"/>
        </w:rPr>
        <w:t xml:space="preserve">ales electorales, en el caso de </w:t>
      </w:r>
      <w:r w:rsidRPr="00FB172C">
        <w:rPr>
          <w:rStyle w:val="Ninguno"/>
          <w:rFonts w:ascii="Century Gothic" w:hAnsi="Century Gothic" w:cs="Arial"/>
          <w:sz w:val="24"/>
          <w:szCs w:val="24"/>
        </w:rPr>
        <w:t>elecciones ordinarias, para efectuar la jornada electoral.</w:t>
      </w:r>
    </w:p>
    <w:p w14:paraId="14CE7B05" w14:textId="77777777" w:rsidR="00602FD2" w:rsidRDefault="00602FD2" w:rsidP="00602FD2">
      <w:pPr>
        <w:spacing w:after="0" w:line="360" w:lineRule="auto"/>
        <w:jc w:val="center"/>
        <w:rPr>
          <w:rFonts w:ascii="Century Gothic" w:hAnsi="Century Gothic"/>
          <w:b/>
          <w:bCs/>
          <w:sz w:val="24"/>
          <w:szCs w:val="27"/>
        </w:rPr>
      </w:pPr>
    </w:p>
    <w:p w14:paraId="50523DCA" w14:textId="77777777" w:rsidR="00602FD2" w:rsidRDefault="00602FD2" w:rsidP="00602FD2">
      <w:pPr>
        <w:spacing w:after="0" w:line="360" w:lineRule="auto"/>
        <w:jc w:val="center"/>
        <w:rPr>
          <w:rFonts w:ascii="Century Gothic" w:hAnsi="Century Gothic"/>
          <w:b/>
          <w:bCs/>
          <w:sz w:val="24"/>
          <w:szCs w:val="27"/>
        </w:rPr>
      </w:pPr>
    </w:p>
    <w:p w14:paraId="7E195974" w14:textId="77777777" w:rsidR="00602FD2" w:rsidRDefault="00602FD2" w:rsidP="00602FD2">
      <w:pPr>
        <w:spacing w:after="0" w:line="360" w:lineRule="auto"/>
        <w:jc w:val="center"/>
        <w:rPr>
          <w:rFonts w:ascii="Century Gothic" w:hAnsi="Century Gothic"/>
          <w:b/>
          <w:bCs/>
          <w:sz w:val="24"/>
          <w:szCs w:val="27"/>
        </w:rPr>
      </w:pPr>
      <w:r w:rsidRPr="00FB172C">
        <w:rPr>
          <w:rFonts w:ascii="Century Gothic" w:hAnsi="Century Gothic"/>
          <w:b/>
          <w:bCs/>
          <w:sz w:val="24"/>
          <w:szCs w:val="27"/>
        </w:rPr>
        <w:t>ARTÍCULOS TRANSITORIOS</w:t>
      </w:r>
    </w:p>
    <w:p w14:paraId="3F3C357C" w14:textId="77777777" w:rsidR="007E21F0" w:rsidRDefault="007E21F0" w:rsidP="00602FD2">
      <w:pPr>
        <w:spacing w:after="0" w:line="360" w:lineRule="auto"/>
        <w:jc w:val="center"/>
        <w:rPr>
          <w:rFonts w:ascii="Century Gothic" w:hAnsi="Century Gothic"/>
          <w:b/>
          <w:bCs/>
          <w:sz w:val="24"/>
          <w:szCs w:val="27"/>
        </w:rPr>
      </w:pPr>
    </w:p>
    <w:p w14:paraId="2D89A6A3" w14:textId="77777777" w:rsidR="00602FD2" w:rsidRPr="00FB172C" w:rsidRDefault="00602FD2" w:rsidP="00602FD2">
      <w:pPr>
        <w:spacing w:after="0" w:line="360" w:lineRule="auto"/>
        <w:jc w:val="both"/>
        <w:rPr>
          <w:rFonts w:ascii="Century Gothic" w:hAnsi="Century Gothic"/>
          <w:bCs/>
          <w:sz w:val="24"/>
          <w:szCs w:val="27"/>
        </w:rPr>
      </w:pPr>
      <w:r w:rsidRPr="00FB172C">
        <w:rPr>
          <w:rFonts w:ascii="Century Gothic" w:hAnsi="Century Gothic"/>
          <w:b/>
          <w:bCs/>
          <w:sz w:val="24"/>
          <w:szCs w:val="27"/>
        </w:rPr>
        <w:t>PRIMERO</w:t>
      </w:r>
      <w:r w:rsidRPr="00FB172C">
        <w:rPr>
          <w:rFonts w:ascii="Century Gothic" w:hAnsi="Century Gothic"/>
          <w:bCs/>
          <w:sz w:val="24"/>
          <w:szCs w:val="27"/>
        </w:rPr>
        <w:t>. El presente Decreto entrará en vigor al día siguiente de su publicación en el Periódico Oficial del Estado.</w:t>
      </w:r>
    </w:p>
    <w:p w14:paraId="14CA797C" w14:textId="77777777" w:rsidR="00602FD2" w:rsidRPr="00FB172C" w:rsidRDefault="00602FD2" w:rsidP="00602FD2">
      <w:pPr>
        <w:spacing w:after="0" w:line="360" w:lineRule="auto"/>
        <w:jc w:val="both"/>
        <w:rPr>
          <w:rFonts w:ascii="Century Gothic" w:hAnsi="Century Gothic"/>
          <w:bCs/>
          <w:sz w:val="24"/>
          <w:szCs w:val="27"/>
        </w:rPr>
      </w:pPr>
    </w:p>
    <w:p w14:paraId="36A33B5A" w14:textId="77777777" w:rsidR="00602FD2" w:rsidRDefault="00602FD2" w:rsidP="00602FD2">
      <w:pPr>
        <w:spacing w:after="0" w:line="360" w:lineRule="auto"/>
        <w:jc w:val="both"/>
        <w:rPr>
          <w:rFonts w:ascii="Century Gothic" w:hAnsi="Century Gothic"/>
          <w:bCs/>
          <w:sz w:val="24"/>
          <w:szCs w:val="27"/>
        </w:rPr>
      </w:pPr>
      <w:r w:rsidRPr="00FB172C">
        <w:rPr>
          <w:rFonts w:ascii="Century Gothic" w:hAnsi="Century Gothic"/>
          <w:b/>
          <w:bCs/>
          <w:sz w:val="24"/>
          <w:szCs w:val="27"/>
        </w:rPr>
        <w:t>SEGUNDO.</w:t>
      </w:r>
      <w:r w:rsidRPr="00FB172C">
        <w:rPr>
          <w:rFonts w:ascii="Century Gothic" w:hAnsi="Century Gothic"/>
          <w:bCs/>
          <w:sz w:val="24"/>
          <w:szCs w:val="27"/>
        </w:rPr>
        <w:t xml:space="preserve"> Remítase copia del presente Decreto al Congreso de la Unión para los efectos constitucionales correspondientes.</w:t>
      </w:r>
    </w:p>
    <w:p w14:paraId="44574902" w14:textId="77777777" w:rsidR="007E21F0" w:rsidRPr="00FB172C" w:rsidRDefault="007E21F0" w:rsidP="00602FD2">
      <w:pPr>
        <w:spacing w:after="0" w:line="360" w:lineRule="auto"/>
        <w:jc w:val="both"/>
        <w:rPr>
          <w:rFonts w:ascii="Century Gothic" w:hAnsi="Century Gothic"/>
          <w:bCs/>
          <w:sz w:val="24"/>
          <w:szCs w:val="27"/>
        </w:rPr>
      </w:pPr>
    </w:p>
    <w:p w14:paraId="2F28B31A" w14:textId="4EAFE15A" w:rsidR="00602FD2" w:rsidRPr="00F84937" w:rsidRDefault="00602FD2" w:rsidP="00602FD2">
      <w:pPr>
        <w:spacing w:after="0" w:line="360" w:lineRule="auto"/>
        <w:jc w:val="both"/>
        <w:rPr>
          <w:rFonts w:ascii="Century Gothic" w:hAnsi="Century Gothic"/>
          <w:color w:val="000000" w:themeColor="text1"/>
          <w:sz w:val="24"/>
          <w:szCs w:val="24"/>
        </w:rPr>
      </w:pPr>
      <w:r w:rsidRPr="00DE69BB">
        <w:rPr>
          <w:rFonts w:ascii="Century Gothic" w:hAnsi="Century Gothic"/>
          <w:b/>
          <w:bCs/>
          <w:color w:val="000000" w:themeColor="text1"/>
          <w:sz w:val="24"/>
          <w:szCs w:val="24"/>
        </w:rPr>
        <w:t>DADO</w:t>
      </w:r>
      <w:r w:rsidRPr="00DE69BB">
        <w:rPr>
          <w:rFonts w:ascii="Century Gothic" w:hAnsi="Century Gothic"/>
          <w:color w:val="000000" w:themeColor="text1"/>
          <w:sz w:val="24"/>
          <w:szCs w:val="24"/>
        </w:rPr>
        <w:t xml:space="preserve"> en la sede del Poder Legislativo en la Ciudad de Chihuahua, Chihuahua, a </w:t>
      </w:r>
      <w:r w:rsidR="007E21F0">
        <w:rPr>
          <w:rFonts w:ascii="Century Gothic" w:hAnsi="Century Gothic"/>
          <w:color w:val="000000" w:themeColor="text1"/>
          <w:sz w:val="24"/>
          <w:szCs w:val="24"/>
        </w:rPr>
        <w:t>23</w:t>
      </w:r>
      <w:r w:rsidRPr="00DE69BB">
        <w:rPr>
          <w:rFonts w:ascii="Century Gothic" w:hAnsi="Century Gothic"/>
          <w:color w:val="000000" w:themeColor="text1"/>
          <w:sz w:val="24"/>
          <w:szCs w:val="24"/>
        </w:rPr>
        <w:t xml:space="preserve"> de </w:t>
      </w:r>
      <w:r w:rsidR="007E21F0">
        <w:rPr>
          <w:rFonts w:ascii="Century Gothic" w:hAnsi="Century Gothic"/>
          <w:color w:val="000000" w:themeColor="text1"/>
          <w:sz w:val="24"/>
          <w:szCs w:val="24"/>
        </w:rPr>
        <w:t>marzo</w:t>
      </w:r>
      <w:r>
        <w:rPr>
          <w:rFonts w:ascii="Century Gothic" w:hAnsi="Century Gothic"/>
          <w:color w:val="000000" w:themeColor="text1"/>
          <w:sz w:val="24"/>
          <w:szCs w:val="24"/>
        </w:rPr>
        <w:t xml:space="preserve"> de dos mil veintiséis</w:t>
      </w:r>
      <w:r w:rsidRPr="00DE69BB">
        <w:rPr>
          <w:rFonts w:ascii="Century Gothic" w:hAnsi="Century Gothic"/>
          <w:color w:val="000000" w:themeColor="text1"/>
          <w:sz w:val="24"/>
          <w:szCs w:val="24"/>
        </w:rPr>
        <w:t>.</w:t>
      </w:r>
    </w:p>
    <w:p w14:paraId="476BCA41" w14:textId="77777777" w:rsidR="00602FD2" w:rsidRDefault="00602FD2" w:rsidP="00602FD2">
      <w:pPr>
        <w:spacing w:after="0" w:line="360" w:lineRule="auto"/>
        <w:jc w:val="center"/>
        <w:rPr>
          <w:rFonts w:ascii="Century Gothic" w:hAnsi="Century Gothic"/>
          <w:b/>
          <w:bCs/>
          <w:sz w:val="24"/>
          <w:szCs w:val="24"/>
        </w:rPr>
      </w:pPr>
    </w:p>
    <w:p w14:paraId="0A14C417" w14:textId="77777777" w:rsidR="007E21F0" w:rsidRDefault="007E21F0" w:rsidP="00602FD2">
      <w:pPr>
        <w:spacing w:after="0" w:line="360" w:lineRule="auto"/>
        <w:jc w:val="center"/>
        <w:rPr>
          <w:rFonts w:ascii="Century Gothic" w:hAnsi="Century Gothic"/>
          <w:b/>
          <w:bCs/>
          <w:sz w:val="24"/>
          <w:szCs w:val="24"/>
        </w:rPr>
      </w:pPr>
    </w:p>
    <w:p w14:paraId="0D3B0957" w14:textId="77777777" w:rsidR="00602FD2" w:rsidRDefault="00602FD2" w:rsidP="00602FD2">
      <w:pPr>
        <w:spacing w:after="0" w:line="360" w:lineRule="auto"/>
        <w:jc w:val="center"/>
        <w:rPr>
          <w:rFonts w:ascii="Century Gothic" w:hAnsi="Century Gothic"/>
          <w:b/>
          <w:bCs/>
          <w:sz w:val="24"/>
          <w:szCs w:val="24"/>
        </w:rPr>
      </w:pPr>
      <w:r w:rsidRPr="00D37021">
        <w:rPr>
          <w:rFonts w:ascii="Century Gothic" w:hAnsi="Century Gothic"/>
          <w:b/>
          <w:bCs/>
          <w:sz w:val="24"/>
          <w:szCs w:val="24"/>
        </w:rPr>
        <w:t>ATENTAMENT</w:t>
      </w:r>
      <w:r>
        <w:rPr>
          <w:rFonts w:ascii="Century Gothic" w:hAnsi="Century Gothic"/>
          <w:b/>
          <w:bCs/>
          <w:sz w:val="24"/>
          <w:szCs w:val="24"/>
        </w:rPr>
        <w:t>E</w:t>
      </w:r>
    </w:p>
    <w:p w14:paraId="5FC49CBF" w14:textId="77777777" w:rsidR="007E21F0" w:rsidRDefault="007E21F0" w:rsidP="00602FD2">
      <w:pPr>
        <w:spacing w:after="0" w:line="360" w:lineRule="auto"/>
        <w:jc w:val="center"/>
        <w:rPr>
          <w:rFonts w:ascii="Century Gothic" w:hAnsi="Century Gothic"/>
          <w:b/>
          <w:bCs/>
          <w:sz w:val="24"/>
          <w:szCs w:val="24"/>
        </w:rPr>
      </w:pPr>
    </w:p>
    <w:p w14:paraId="5F9B1D3D" w14:textId="77777777" w:rsidR="007E21F0" w:rsidRDefault="007E21F0" w:rsidP="00602FD2">
      <w:pPr>
        <w:spacing w:after="0" w:line="360" w:lineRule="auto"/>
        <w:jc w:val="center"/>
        <w:rPr>
          <w:rFonts w:ascii="Century Gothic" w:hAnsi="Century Gothic"/>
          <w:b/>
          <w:bCs/>
          <w:sz w:val="24"/>
          <w:szCs w:val="24"/>
        </w:rPr>
      </w:pPr>
    </w:p>
    <w:p w14:paraId="6FA5C903" w14:textId="77777777" w:rsidR="007E21F0" w:rsidRDefault="007E21F0" w:rsidP="00602FD2">
      <w:pPr>
        <w:spacing w:after="0" w:line="360" w:lineRule="auto"/>
        <w:jc w:val="center"/>
        <w:rPr>
          <w:rFonts w:ascii="Century Gothic" w:hAnsi="Century Gothic"/>
          <w:b/>
          <w:bCs/>
          <w:sz w:val="24"/>
          <w:szCs w:val="24"/>
        </w:rPr>
      </w:pPr>
    </w:p>
    <w:p w14:paraId="71A87D7E" w14:textId="77777777" w:rsidR="007E21F0" w:rsidRDefault="007E21F0" w:rsidP="00602FD2">
      <w:pPr>
        <w:spacing w:after="0" w:line="360" w:lineRule="auto"/>
        <w:jc w:val="center"/>
        <w:rPr>
          <w:rFonts w:ascii="Century Gothic" w:hAnsi="Century Gothic"/>
          <w:b/>
          <w:bCs/>
          <w:sz w:val="24"/>
          <w:szCs w:val="24"/>
        </w:rPr>
      </w:pPr>
    </w:p>
    <w:p w14:paraId="14F413AD" w14:textId="77777777" w:rsidR="007E21F0" w:rsidRPr="00D37021" w:rsidRDefault="007E21F0" w:rsidP="00602FD2">
      <w:pPr>
        <w:spacing w:after="0" w:line="360" w:lineRule="auto"/>
        <w:jc w:val="center"/>
        <w:rPr>
          <w:rFonts w:ascii="Century Gothic" w:hAnsi="Century Gothic"/>
          <w:b/>
          <w:bCs/>
          <w:sz w:val="24"/>
          <w:szCs w:val="24"/>
        </w:rPr>
      </w:pPr>
    </w:p>
    <w:p w14:paraId="710525D9" w14:textId="77777777" w:rsidR="00602FD2" w:rsidRPr="00465EE5" w:rsidRDefault="00602FD2" w:rsidP="00602FD2">
      <w:pPr>
        <w:spacing w:after="0" w:line="360" w:lineRule="auto"/>
        <w:jc w:val="center"/>
        <w:rPr>
          <w:rFonts w:ascii="Century Gothic" w:hAnsi="Century Gothic"/>
          <w:b/>
          <w:bCs/>
          <w:sz w:val="24"/>
          <w:szCs w:val="24"/>
        </w:rPr>
      </w:pPr>
      <w:r w:rsidRPr="00465EE5">
        <w:rPr>
          <w:rFonts w:ascii="Century Gothic" w:hAnsi="Century Gothic"/>
          <w:b/>
          <w:bCs/>
          <w:sz w:val="24"/>
          <w:szCs w:val="24"/>
        </w:rPr>
        <w:t>________________________________________</w:t>
      </w:r>
    </w:p>
    <w:p w14:paraId="6D89FCA0" w14:textId="77777777" w:rsidR="00602FD2" w:rsidRPr="00465EE5" w:rsidRDefault="00602FD2" w:rsidP="00602FD2">
      <w:pPr>
        <w:spacing w:after="0" w:line="360" w:lineRule="auto"/>
        <w:jc w:val="center"/>
        <w:rPr>
          <w:rFonts w:ascii="Century Gothic" w:hAnsi="Century Gothic"/>
          <w:b/>
          <w:bCs/>
          <w:sz w:val="24"/>
          <w:szCs w:val="24"/>
        </w:rPr>
      </w:pPr>
      <w:r w:rsidRPr="00465EE5">
        <w:rPr>
          <w:rFonts w:ascii="Century Gothic" w:hAnsi="Century Gothic"/>
          <w:b/>
          <w:bCs/>
          <w:sz w:val="24"/>
          <w:szCs w:val="24"/>
        </w:rPr>
        <w:t>DIP. AMÉRICA VICTORIA AGUILAR GIL</w:t>
      </w:r>
    </w:p>
    <w:p w14:paraId="61AD7DA2" w14:textId="77777777" w:rsidR="00602FD2" w:rsidRPr="00BF28A4" w:rsidRDefault="00602FD2" w:rsidP="00602FD2">
      <w:pPr>
        <w:spacing w:after="0" w:line="360" w:lineRule="auto"/>
        <w:jc w:val="center"/>
        <w:rPr>
          <w:rFonts w:ascii="Century Gothic" w:hAnsi="Century Gothic"/>
          <w:b/>
          <w:bCs/>
          <w:sz w:val="24"/>
        </w:rPr>
      </w:pPr>
    </w:p>
    <w:p w14:paraId="4FAFD287" w14:textId="0E505587" w:rsidR="000C1CA3" w:rsidRPr="00661505" w:rsidRDefault="000C1CA3" w:rsidP="00602FD2">
      <w:pPr>
        <w:spacing w:after="0" w:line="360" w:lineRule="auto"/>
        <w:jc w:val="center"/>
        <w:rPr>
          <w:rFonts w:ascii="Century Gothic" w:hAnsi="Century Gothic"/>
          <w:b/>
          <w:bCs/>
        </w:rPr>
      </w:pPr>
    </w:p>
    <w:sectPr w:rsidR="000C1CA3" w:rsidRPr="00661505" w:rsidSect="006E20BA">
      <w:headerReference w:type="default" r:id="rId7"/>
      <w:footerReference w:type="default" r:id="rId8"/>
      <w:pgSz w:w="12240" w:h="15840"/>
      <w:pgMar w:top="35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A91D" w14:textId="77777777" w:rsidR="002B247F" w:rsidRDefault="002B247F" w:rsidP="006E20BA">
      <w:r>
        <w:separator/>
      </w:r>
    </w:p>
  </w:endnote>
  <w:endnote w:type="continuationSeparator" w:id="0">
    <w:p w14:paraId="40E0C923" w14:textId="77777777" w:rsidR="002B247F" w:rsidRDefault="002B247F" w:rsidP="006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8C6C" w14:textId="0C2CAE0B" w:rsidR="0029346D" w:rsidRDefault="0029346D">
    <w:pPr>
      <w:pStyle w:val="Piedepgina"/>
    </w:pPr>
    <w:r>
      <w:rPr>
        <w:noProof/>
        <w:lang w:val="es-ES" w:eastAsia="es-ES"/>
      </w:rPr>
      <w:drawing>
        <wp:anchor distT="0" distB="0" distL="114300" distR="114300" simplePos="0" relativeHeight="251661312" behindDoc="1" locked="0" layoutInCell="1" allowOverlap="1" wp14:anchorId="291DA0DB" wp14:editId="792AC872">
          <wp:simplePos x="0" y="0"/>
          <wp:positionH relativeFrom="column">
            <wp:posOffset>4655820</wp:posOffset>
          </wp:positionH>
          <wp:positionV relativeFrom="paragraph">
            <wp:posOffset>-510540</wp:posOffset>
          </wp:positionV>
          <wp:extent cx="2118360" cy="1059180"/>
          <wp:effectExtent l="0" t="0" r="0" b="7620"/>
          <wp:wrapNone/>
          <wp:docPr id="125418361" name="Imagen 3"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26375" name="Imagen 3" descr="Nombre de la empresa&#10;&#10;El contenido generado por IA puede ser incorrecto."/>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118360" cy="1059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F7B9" w14:textId="77777777" w:rsidR="002B247F" w:rsidRDefault="002B247F" w:rsidP="006E20BA">
      <w:r>
        <w:separator/>
      </w:r>
    </w:p>
  </w:footnote>
  <w:footnote w:type="continuationSeparator" w:id="0">
    <w:p w14:paraId="2F645998" w14:textId="77777777" w:rsidR="002B247F" w:rsidRDefault="002B247F" w:rsidP="006E20BA">
      <w:r>
        <w:continuationSeparator/>
      </w:r>
    </w:p>
  </w:footnote>
  <w:footnote w:id="1">
    <w:p w14:paraId="57B9A543" w14:textId="77777777" w:rsidR="00602FD2" w:rsidRPr="003527B8" w:rsidRDefault="00602FD2" w:rsidP="00602FD2">
      <w:pPr>
        <w:pStyle w:val="Textonotapie"/>
        <w:jc w:val="both"/>
        <w:rPr>
          <w:rFonts w:ascii="Century Gothic" w:hAnsi="Century Gothic"/>
          <w:lang w:val="en-US"/>
        </w:rPr>
      </w:pPr>
      <w:r w:rsidRPr="003527B8">
        <w:rPr>
          <w:rStyle w:val="Refdenotaalpie"/>
          <w:rFonts w:ascii="Century Gothic" w:hAnsi="Century Gothic"/>
        </w:rPr>
        <w:footnoteRef/>
      </w:r>
      <w:r w:rsidRPr="003527B8">
        <w:rPr>
          <w:rFonts w:ascii="Century Gothic" w:hAnsi="Century Gothic"/>
          <w:lang w:val="en-US"/>
        </w:rPr>
        <w:t xml:space="preserve"> Indigenous festivity dedicated to the dead - UNESCO Intangible Cultural Heritage. (s. f.). https://ich.unesco.org/en/RL/indigenous-festivity-dedicated-to-the-dead-00054</w:t>
      </w:r>
    </w:p>
  </w:footnote>
  <w:footnote w:id="2">
    <w:p w14:paraId="0805ED62" w14:textId="77777777" w:rsidR="00602FD2" w:rsidRPr="000C2D7E" w:rsidRDefault="00602FD2" w:rsidP="00602FD2">
      <w:pPr>
        <w:pStyle w:val="Textonotapie"/>
        <w:jc w:val="both"/>
        <w:rPr>
          <w:rFonts w:ascii="Century Gothic" w:hAnsi="Century Gothic"/>
        </w:rPr>
      </w:pPr>
      <w:r w:rsidRPr="000C2D7E">
        <w:rPr>
          <w:rStyle w:val="Refdenotaalpie"/>
          <w:rFonts w:ascii="Century Gothic" w:hAnsi="Century Gothic"/>
        </w:rPr>
        <w:footnoteRef/>
      </w:r>
      <w:r w:rsidRPr="000C2D7E">
        <w:rPr>
          <w:rFonts w:ascii="Century Gothic" w:hAnsi="Century Gothic"/>
        </w:rPr>
        <w:t xml:space="preserve"> Sáenz, C. (s. f.). </w:t>
      </w:r>
      <w:r w:rsidRPr="000C2D7E">
        <w:rPr>
          <w:rFonts w:ascii="Century Gothic" w:hAnsi="Century Gothic"/>
        </w:rPr>
        <w:t>Sectur espera derrama de 25 mil 605 millones de pesos por Día de Muertos. MVS Noticias. https://mvsnoticias.com/economia/2024/11/1/sectur-espera-derrama-de-25-mil-605-millones-de-pesos-por-dia-de-muertos-663769.html</w:t>
      </w:r>
    </w:p>
  </w:footnote>
  <w:footnote w:id="3">
    <w:p w14:paraId="66708D9C" w14:textId="77777777" w:rsidR="00602FD2" w:rsidRPr="00015558" w:rsidRDefault="00602FD2" w:rsidP="00602FD2">
      <w:pPr>
        <w:pStyle w:val="Textonotapie"/>
        <w:jc w:val="both"/>
        <w:rPr>
          <w:rFonts w:ascii="Century Gothic" w:hAnsi="Century Gothic"/>
        </w:rPr>
      </w:pPr>
      <w:r w:rsidRPr="00015558">
        <w:rPr>
          <w:rStyle w:val="Refdenotaalpie"/>
          <w:rFonts w:ascii="Century Gothic" w:hAnsi="Century Gothic"/>
        </w:rPr>
        <w:footnoteRef/>
      </w:r>
      <w:r w:rsidRPr="00015558">
        <w:rPr>
          <w:rFonts w:ascii="Century Gothic" w:hAnsi="Century Gothic"/>
        </w:rPr>
        <w:t xml:space="preserve"> Expansión. (2023, 23 octubre). Día de Muertos generará una derrama económica de 41,198 </w:t>
      </w:r>
      <w:r w:rsidRPr="00015558">
        <w:rPr>
          <w:rFonts w:ascii="Century Gothic" w:hAnsi="Century Gothic"/>
        </w:rPr>
        <w:t>mdp. Expansión. https://expansion.mx/economia/2023/10/22/festividades-dia-de-muertos-mexico</w:t>
      </w:r>
    </w:p>
  </w:footnote>
  <w:footnote w:id="4">
    <w:p w14:paraId="06F57EAE" w14:textId="77777777" w:rsidR="00602FD2" w:rsidRDefault="00602FD2" w:rsidP="00602FD2">
      <w:pPr>
        <w:pStyle w:val="Textonotapie"/>
        <w:jc w:val="both"/>
      </w:pPr>
      <w:r w:rsidRPr="00015558">
        <w:rPr>
          <w:rStyle w:val="Refdenotaalpie"/>
          <w:rFonts w:ascii="Century Gothic" w:hAnsi="Century Gothic"/>
        </w:rPr>
        <w:footnoteRef/>
      </w:r>
      <w:r w:rsidRPr="00015558">
        <w:rPr>
          <w:rFonts w:ascii="Century Gothic" w:hAnsi="Century Gothic"/>
        </w:rPr>
        <w:t xml:space="preserve"> Gutiérrez, J. (2023, 22 octubre). Derrama económica superará los 41 mil </w:t>
      </w:r>
      <w:r w:rsidRPr="00015558">
        <w:rPr>
          <w:rFonts w:ascii="Century Gothic" w:hAnsi="Century Gothic"/>
        </w:rPr>
        <w:t>mdp por día de muertos: Sectur. La Jornada. https://www.jornada.com.mx/noticia/2023/10/22/economia/derrama-economica-superara-los-41-mil-mdp-por-dia-de-muertos-sectur-2581?utm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70F9" w14:textId="00A8BAF2" w:rsidR="006E20BA" w:rsidRDefault="007D0827">
    <w:pPr>
      <w:pStyle w:val="Encabezado"/>
    </w:pPr>
    <w:sdt>
      <w:sdtPr>
        <w:id w:val="1672985189"/>
        <w:docPartObj>
          <w:docPartGallery w:val="Page Numbers (Margins)"/>
          <w:docPartUnique/>
        </w:docPartObj>
      </w:sdtPr>
      <w:sdtEndPr/>
      <w:sdtContent>
        <w:r w:rsidR="00732CE0">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0" allowOverlap="1" wp14:anchorId="721CCA39" wp14:editId="1F3F9BE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2137835673"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1CCA39" id="Elipse 1" o:spid="_x0000_s1026" style="position:absolute;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" o:allowincell="f" fillcolor="#c00000" stroked="f">
                  <v:textbox inset="0,,0">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F66E0C">
      <w:rPr>
        <w:noProof/>
      </w:rPr>
      <mc:AlternateContent>
        <mc:Choice Requires="wps">
          <w:drawing>
            <wp:anchor distT="0" distB="0" distL="114300" distR="114300" simplePos="0" relativeHeight="251663360" behindDoc="0" locked="0" layoutInCell="1" allowOverlap="1" wp14:anchorId="7AB9DCCF" wp14:editId="1A140D42">
              <wp:simplePos x="0" y="0"/>
              <wp:positionH relativeFrom="column">
                <wp:posOffset>406401</wp:posOffset>
              </wp:positionH>
              <wp:positionV relativeFrom="paragraph">
                <wp:posOffset>49953</wp:posOffset>
              </wp:positionV>
              <wp:extent cx="6127538" cy="285750"/>
              <wp:effectExtent l="0" t="0" r="6985" b="0"/>
              <wp:wrapNone/>
              <wp:docPr id="4" name="Cuadro de texto 4"/>
              <wp:cNvGraphicFramePr/>
              <a:graphic xmlns:a="http://schemas.openxmlformats.org/drawingml/2006/main">
                <a:graphicData uri="http://schemas.microsoft.com/office/word/2010/wordprocessingShape">
                  <wps:wsp>
                    <wps:cNvSpPr txBox="1"/>
                    <wps:spPr>
                      <a:xfrm>
                        <a:off x="0" y="0"/>
                        <a:ext cx="6127538" cy="285750"/>
                      </a:xfrm>
                      <a:prstGeom prst="rect">
                        <a:avLst/>
                      </a:prstGeom>
                      <a:solidFill>
                        <a:sysClr val="window" lastClr="FFFFFF"/>
                      </a:solidFill>
                      <a:ln w="6350">
                        <a:noFill/>
                      </a:ln>
                    </wps:spPr>
                    <wps:txb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9DCCF" id="_x0000_t202" coordsize="21600,21600" o:spt="202" path="m,l,21600r21600,l21600,xe">
              <v:stroke joinstyle="miter"/>
              <v:path gradientshapeok="t" o:connecttype="rect"/>
            </v:shapetype>
            <v:shape id="Cuadro de texto 4" o:spid="_x0000_s1027" type="#_x0000_t202" style="position:absolute;margin-left:32pt;margin-top:3.95pt;width:48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" fillcolor="window" stroked="f" strokeweight=".5pt">
              <v:textbo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v:textbox>
            </v:shape>
          </w:pict>
        </mc:Fallback>
      </mc:AlternateContent>
    </w:r>
    <w:r w:rsidR="006E20BA">
      <w:rPr>
        <w:noProof/>
        <w:lang w:val="es-ES" w:eastAsia="es-ES"/>
      </w:rPr>
      <w:drawing>
        <wp:anchor distT="0" distB="0" distL="114300" distR="114300" simplePos="0" relativeHeight="251659264" behindDoc="1" locked="0" layoutInCell="1" allowOverlap="1" wp14:anchorId="0B4D6B7A" wp14:editId="0B7F3163">
          <wp:simplePos x="0" y="0"/>
          <wp:positionH relativeFrom="page">
            <wp:align>right</wp:align>
          </wp:positionH>
          <wp:positionV relativeFrom="paragraph">
            <wp:posOffset>-434975</wp:posOffset>
          </wp:positionV>
          <wp:extent cx="7772400" cy="10058400"/>
          <wp:effectExtent l="0" t="0" r="0" b="0"/>
          <wp:wrapNone/>
          <wp:docPr id="1645573918" name="Imagen 1645573918"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484" name="Imagen 179079248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44D8"/>
    <w:multiLevelType w:val="hybridMultilevel"/>
    <w:tmpl w:val="87403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2879C3"/>
    <w:multiLevelType w:val="hybridMultilevel"/>
    <w:tmpl w:val="C56694CC"/>
    <w:lvl w:ilvl="0" w:tplc="A544C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7C7C52"/>
    <w:multiLevelType w:val="hybridMultilevel"/>
    <w:tmpl w:val="DB5AA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9E20BD"/>
    <w:multiLevelType w:val="hybridMultilevel"/>
    <w:tmpl w:val="6EB45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7E"/>
    <w:rsid w:val="00005C07"/>
    <w:rsid w:val="00006A25"/>
    <w:rsid w:val="00013FCF"/>
    <w:rsid w:val="00021D6A"/>
    <w:rsid w:val="00027146"/>
    <w:rsid w:val="000403F1"/>
    <w:rsid w:val="000470BD"/>
    <w:rsid w:val="000508EB"/>
    <w:rsid w:val="00056F42"/>
    <w:rsid w:val="000735BC"/>
    <w:rsid w:val="0009792E"/>
    <w:rsid w:val="000A5135"/>
    <w:rsid w:val="000A7F70"/>
    <w:rsid w:val="000B2C8F"/>
    <w:rsid w:val="000B65DA"/>
    <w:rsid w:val="000B6BB1"/>
    <w:rsid w:val="000C1CA3"/>
    <w:rsid w:val="000D4078"/>
    <w:rsid w:val="000D7EF2"/>
    <w:rsid w:val="000E740C"/>
    <w:rsid w:val="000F2C76"/>
    <w:rsid w:val="00113472"/>
    <w:rsid w:val="0015434D"/>
    <w:rsid w:val="00164DE6"/>
    <w:rsid w:val="00190960"/>
    <w:rsid w:val="001A7F02"/>
    <w:rsid w:val="001B1BE0"/>
    <w:rsid w:val="001C110B"/>
    <w:rsid w:val="001C3F7E"/>
    <w:rsid w:val="001E575E"/>
    <w:rsid w:val="001F0F47"/>
    <w:rsid w:val="00201DE4"/>
    <w:rsid w:val="00204452"/>
    <w:rsid w:val="002260B0"/>
    <w:rsid w:val="0023430B"/>
    <w:rsid w:val="00241B41"/>
    <w:rsid w:val="00242081"/>
    <w:rsid w:val="002431F9"/>
    <w:rsid w:val="00261302"/>
    <w:rsid w:val="00273BE2"/>
    <w:rsid w:val="00284315"/>
    <w:rsid w:val="0029346D"/>
    <w:rsid w:val="002950C4"/>
    <w:rsid w:val="002A52EF"/>
    <w:rsid w:val="002A5CF7"/>
    <w:rsid w:val="002B247F"/>
    <w:rsid w:val="002B4554"/>
    <w:rsid w:val="002C568C"/>
    <w:rsid w:val="002D7F96"/>
    <w:rsid w:val="002E6037"/>
    <w:rsid w:val="002F6DE8"/>
    <w:rsid w:val="0032336F"/>
    <w:rsid w:val="00326168"/>
    <w:rsid w:val="003505D9"/>
    <w:rsid w:val="003772DA"/>
    <w:rsid w:val="0039018F"/>
    <w:rsid w:val="003C4C80"/>
    <w:rsid w:val="003E1D51"/>
    <w:rsid w:val="003E4A23"/>
    <w:rsid w:val="003F0344"/>
    <w:rsid w:val="003F7421"/>
    <w:rsid w:val="004347C0"/>
    <w:rsid w:val="004358FC"/>
    <w:rsid w:val="00441664"/>
    <w:rsid w:val="004512C6"/>
    <w:rsid w:val="00466EF2"/>
    <w:rsid w:val="00472BA2"/>
    <w:rsid w:val="00475104"/>
    <w:rsid w:val="004763B1"/>
    <w:rsid w:val="00490653"/>
    <w:rsid w:val="004B5DF7"/>
    <w:rsid w:val="004C2959"/>
    <w:rsid w:val="004D1F01"/>
    <w:rsid w:val="004D5922"/>
    <w:rsid w:val="004E5893"/>
    <w:rsid w:val="00511D22"/>
    <w:rsid w:val="0051450F"/>
    <w:rsid w:val="00526389"/>
    <w:rsid w:val="00532E3B"/>
    <w:rsid w:val="00536EAB"/>
    <w:rsid w:val="005461DC"/>
    <w:rsid w:val="005573A3"/>
    <w:rsid w:val="00563372"/>
    <w:rsid w:val="00575B5D"/>
    <w:rsid w:val="00584954"/>
    <w:rsid w:val="00591D16"/>
    <w:rsid w:val="005A242D"/>
    <w:rsid w:val="005B1773"/>
    <w:rsid w:val="005B65A4"/>
    <w:rsid w:val="005D014E"/>
    <w:rsid w:val="005E6262"/>
    <w:rsid w:val="00602FD2"/>
    <w:rsid w:val="00620E6A"/>
    <w:rsid w:val="00627876"/>
    <w:rsid w:val="00647E33"/>
    <w:rsid w:val="00661505"/>
    <w:rsid w:val="00671A88"/>
    <w:rsid w:val="00673A86"/>
    <w:rsid w:val="00684EA8"/>
    <w:rsid w:val="006A7E6D"/>
    <w:rsid w:val="006B6DCF"/>
    <w:rsid w:val="006D106B"/>
    <w:rsid w:val="006E02B6"/>
    <w:rsid w:val="006E20BA"/>
    <w:rsid w:val="006F4291"/>
    <w:rsid w:val="006F5C4D"/>
    <w:rsid w:val="006F7B70"/>
    <w:rsid w:val="00712C5D"/>
    <w:rsid w:val="00732CE0"/>
    <w:rsid w:val="00745BF9"/>
    <w:rsid w:val="00746A73"/>
    <w:rsid w:val="00752167"/>
    <w:rsid w:val="007528F4"/>
    <w:rsid w:val="00757317"/>
    <w:rsid w:val="0077466A"/>
    <w:rsid w:val="00775BAE"/>
    <w:rsid w:val="007A7AD7"/>
    <w:rsid w:val="007C528F"/>
    <w:rsid w:val="007D0827"/>
    <w:rsid w:val="007D1007"/>
    <w:rsid w:val="007D5A0B"/>
    <w:rsid w:val="007D5D18"/>
    <w:rsid w:val="007D6609"/>
    <w:rsid w:val="007E1459"/>
    <w:rsid w:val="007E21F0"/>
    <w:rsid w:val="007E3AE0"/>
    <w:rsid w:val="007F6128"/>
    <w:rsid w:val="00801E37"/>
    <w:rsid w:val="00823CE3"/>
    <w:rsid w:val="0084211B"/>
    <w:rsid w:val="00844C91"/>
    <w:rsid w:val="008509AA"/>
    <w:rsid w:val="0088171A"/>
    <w:rsid w:val="008B579F"/>
    <w:rsid w:val="008C6F78"/>
    <w:rsid w:val="008D5CAD"/>
    <w:rsid w:val="008E2F9A"/>
    <w:rsid w:val="00911BC9"/>
    <w:rsid w:val="00916304"/>
    <w:rsid w:val="00934A57"/>
    <w:rsid w:val="00953FF3"/>
    <w:rsid w:val="0096282E"/>
    <w:rsid w:val="00962DF2"/>
    <w:rsid w:val="00963DFA"/>
    <w:rsid w:val="00967C6D"/>
    <w:rsid w:val="00973C0E"/>
    <w:rsid w:val="009D1181"/>
    <w:rsid w:val="009D7963"/>
    <w:rsid w:val="009E309D"/>
    <w:rsid w:val="009F00A2"/>
    <w:rsid w:val="009F4157"/>
    <w:rsid w:val="00A54FEB"/>
    <w:rsid w:val="00A61249"/>
    <w:rsid w:val="00A650D3"/>
    <w:rsid w:val="00A7166D"/>
    <w:rsid w:val="00A80156"/>
    <w:rsid w:val="00A964C1"/>
    <w:rsid w:val="00A96720"/>
    <w:rsid w:val="00AA757D"/>
    <w:rsid w:val="00AB49A8"/>
    <w:rsid w:val="00AC06A5"/>
    <w:rsid w:val="00AD556B"/>
    <w:rsid w:val="00B22395"/>
    <w:rsid w:val="00B23F83"/>
    <w:rsid w:val="00B26212"/>
    <w:rsid w:val="00B272D2"/>
    <w:rsid w:val="00B316F6"/>
    <w:rsid w:val="00B33DEF"/>
    <w:rsid w:val="00B34477"/>
    <w:rsid w:val="00B7437F"/>
    <w:rsid w:val="00B7796A"/>
    <w:rsid w:val="00B84822"/>
    <w:rsid w:val="00B979A1"/>
    <w:rsid w:val="00BB62CB"/>
    <w:rsid w:val="00BB664A"/>
    <w:rsid w:val="00BC53AC"/>
    <w:rsid w:val="00BE5ECD"/>
    <w:rsid w:val="00BF3D7D"/>
    <w:rsid w:val="00C151C8"/>
    <w:rsid w:val="00C53F17"/>
    <w:rsid w:val="00C5669E"/>
    <w:rsid w:val="00C60EF2"/>
    <w:rsid w:val="00C71C2F"/>
    <w:rsid w:val="00C77C5E"/>
    <w:rsid w:val="00CD5068"/>
    <w:rsid w:val="00CE5EAE"/>
    <w:rsid w:val="00CE67C0"/>
    <w:rsid w:val="00D0046B"/>
    <w:rsid w:val="00D00D45"/>
    <w:rsid w:val="00D072C2"/>
    <w:rsid w:val="00D24EF7"/>
    <w:rsid w:val="00D52595"/>
    <w:rsid w:val="00D52837"/>
    <w:rsid w:val="00D83DED"/>
    <w:rsid w:val="00D84A08"/>
    <w:rsid w:val="00DC5A64"/>
    <w:rsid w:val="00DD1D76"/>
    <w:rsid w:val="00DD59B9"/>
    <w:rsid w:val="00DD61AD"/>
    <w:rsid w:val="00DE0857"/>
    <w:rsid w:val="00DF6882"/>
    <w:rsid w:val="00E06139"/>
    <w:rsid w:val="00E21697"/>
    <w:rsid w:val="00E24551"/>
    <w:rsid w:val="00E361B6"/>
    <w:rsid w:val="00E431E3"/>
    <w:rsid w:val="00E8496D"/>
    <w:rsid w:val="00E908BF"/>
    <w:rsid w:val="00EB08A1"/>
    <w:rsid w:val="00EC3DA4"/>
    <w:rsid w:val="00F36595"/>
    <w:rsid w:val="00F60E4C"/>
    <w:rsid w:val="00F667B9"/>
    <w:rsid w:val="00F66E0C"/>
    <w:rsid w:val="00F73063"/>
    <w:rsid w:val="00F75594"/>
    <w:rsid w:val="00F97D83"/>
    <w:rsid w:val="00FA5FB1"/>
    <w:rsid w:val="00FF5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D041"/>
  <w15:chartTrackingRefBased/>
  <w15:docId w15:val="{9DF76C1E-AF0B-41B6-BF90-4A9616EC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Display" w:eastAsiaTheme="minorHAnsi" w:hAnsi="Aptos Display"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D2"/>
    <w:pPr>
      <w:spacing w:after="160" w:line="259" w:lineRule="auto"/>
    </w:pPr>
    <w:rPr>
      <w:rFonts w:asciiTheme="minorHAnsi" w:hAnsiTheme="minorHAnsi"/>
      <w:sz w:val="22"/>
      <w:szCs w:val="22"/>
    </w:rPr>
  </w:style>
  <w:style w:type="paragraph" w:styleId="Ttulo1">
    <w:name w:val="heading 1"/>
    <w:basedOn w:val="Normal"/>
    <w:next w:val="Normal"/>
    <w:link w:val="Ttulo1Car"/>
    <w:uiPriority w:val="9"/>
    <w:qFormat/>
    <w:rsid w:val="001C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F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F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F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F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F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F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F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F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F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F7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F7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C3F7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C3F7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C3F7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C3F7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C3F7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C3F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F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F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F7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C3F7E"/>
    <w:pPr>
      <w:spacing w:before="160"/>
      <w:jc w:val="center"/>
    </w:pPr>
    <w:rPr>
      <w:i/>
      <w:iCs/>
      <w:color w:val="404040" w:themeColor="text1" w:themeTint="BF"/>
    </w:rPr>
  </w:style>
  <w:style w:type="character" w:customStyle="1" w:styleId="CitaCar">
    <w:name w:val="Cita Car"/>
    <w:basedOn w:val="Fuentedeprrafopredeter"/>
    <w:link w:val="Cita"/>
    <w:uiPriority w:val="29"/>
    <w:rsid w:val="001C3F7E"/>
    <w:rPr>
      <w:i/>
      <w:iCs/>
      <w:color w:val="404040" w:themeColor="text1" w:themeTint="BF"/>
    </w:rPr>
  </w:style>
  <w:style w:type="paragraph" w:styleId="Prrafodelista">
    <w:name w:val="List Paragraph"/>
    <w:basedOn w:val="Normal"/>
    <w:uiPriority w:val="34"/>
    <w:qFormat/>
    <w:rsid w:val="001C3F7E"/>
    <w:pPr>
      <w:ind w:left="720"/>
      <w:contextualSpacing/>
    </w:pPr>
  </w:style>
  <w:style w:type="character" w:styleId="nfasisintenso">
    <w:name w:val="Intense Emphasis"/>
    <w:basedOn w:val="Fuentedeprrafopredeter"/>
    <w:uiPriority w:val="21"/>
    <w:qFormat/>
    <w:rsid w:val="001C3F7E"/>
    <w:rPr>
      <w:i/>
      <w:iCs/>
      <w:color w:val="0F4761" w:themeColor="accent1" w:themeShade="BF"/>
    </w:rPr>
  </w:style>
  <w:style w:type="paragraph" w:styleId="Citadestacada">
    <w:name w:val="Intense Quote"/>
    <w:basedOn w:val="Normal"/>
    <w:next w:val="Normal"/>
    <w:link w:val="CitadestacadaCar"/>
    <w:uiPriority w:val="30"/>
    <w:qFormat/>
    <w:rsid w:val="001C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F7E"/>
    <w:rPr>
      <w:i/>
      <w:iCs/>
      <w:color w:val="0F4761" w:themeColor="accent1" w:themeShade="BF"/>
    </w:rPr>
  </w:style>
  <w:style w:type="character" w:styleId="Referenciaintensa">
    <w:name w:val="Intense Reference"/>
    <w:basedOn w:val="Fuentedeprrafopredeter"/>
    <w:uiPriority w:val="32"/>
    <w:qFormat/>
    <w:rsid w:val="001C3F7E"/>
    <w:rPr>
      <w:b/>
      <w:bCs/>
      <w:smallCaps/>
      <w:color w:val="0F4761" w:themeColor="accent1" w:themeShade="BF"/>
      <w:spacing w:val="5"/>
    </w:rPr>
  </w:style>
  <w:style w:type="paragraph" w:styleId="Encabezado">
    <w:name w:val="header"/>
    <w:basedOn w:val="Normal"/>
    <w:link w:val="EncabezadoCar"/>
    <w:uiPriority w:val="99"/>
    <w:unhideWhenUsed/>
    <w:rsid w:val="006E20BA"/>
    <w:pPr>
      <w:tabs>
        <w:tab w:val="center" w:pos="4680"/>
        <w:tab w:val="right" w:pos="9360"/>
      </w:tabs>
    </w:pPr>
  </w:style>
  <w:style w:type="character" w:customStyle="1" w:styleId="EncabezadoCar">
    <w:name w:val="Encabezado Car"/>
    <w:basedOn w:val="Fuentedeprrafopredeter"/>
    <w:link w:val="Encabezado"/>
    <w:uiPriority w:val="99"/>
    <w:rsid w:val="006E20BA"/>
  </w:style>
  <w:style w:type="paragraph" w:styleId="Piedepgina">
    <w:name w:val="footer"/>
    <w:basedOn w:val="Normal"/>
    <w:link w:val="PiedepginaCar"/>
    <w:uiPriority w:val="99"/>
    <w:unhideWhenUsed/>
    <w:rsid w:val="006E20BA"/>
    <w:pPr>
      <w:tabs>
        <w:tab w:val="center" w:pos="4680"/>
        <w:tab w:val="right" w:pos="9360"/>
      </w:tabs>
    </w:pPr>
  </w:style>
  <w:style w:type="character" w:customStyle="1" w:styleId="PiedepginaCar">
    <w:name w:val="Pie de página Car"/>
    <w:basedOn w:val="Fuentedeprrafopredeter"/>
    <w:link w:val="Piedepgina"/>
    <w:uiPriority w:val="99"/>
    <w:rsid w:val="006E20BA"/>
  </w:style>
  <w:style w:type="character" w:styleId="Nmerodepgina">
    <w:name w:val="page number"/>
    <w:basedOn w:val="Fuentedeprrafopredeter"/>
    <w:uiPriority w:val="99"/>
    <w:unhideWhenUsed/>
    <w:rsid w:val="00732CE0"/>
  </w:style>
  <w:style w:type="paragraph" w:styleId="Textonotapie">
    <w:name w:val="footnote text"/>
    <w:basedOn w:val="Normal"/>
    <w:link w:val="TextonotapieCar"/>
    <w:uiPriority w:val="99"/>
    <w:semiHidden/>
    <w:unhideWhenUsed/>
    <w:rsid w:val="00602F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2FD2"/>
    <w:rPr>
      <w:rFonts w:asciiTheme="minorHAnsi" w:hAnsiTheme="minorHAnsi"/>
      <w:sz w:val="20"/>
      <w:szCs w:val="20"/>
    </w:rPr>
  </w:style>
  <w:style w:type="character" w:styleId="Refdenotaalpie">
    <w:name w:val="footnote reference"/>
    <w:basedOn w:val="Fuentedeprrafopredeter"/>
    <w:uiPriority w:val="99"/>
    <w:semiHidden/>
    <w:unhideWhenUsed/>
    <w:rsid w:val="00602FD2"/>
    <w:rPr>
      <w:vertAlign w:val="superscript"/>
    </w:rPr>
  </w:style>
  <w:style w:type="table" w:customStyle="1" w:styleId="TableNormal1">
    <w:name w:val="Table Normal1"/>
    <w:rsid w:val="00602FD2"/>
    <w:pPr>
      <w:pBdr>
        <w:top w:val="nil"/>
        <w:left w:val="nil"/>
        <w:bottom w:val="nil"/>
        <w:right w:val="nil"/>
        <w:between w:val="nil"/>
        <w:bar w:val="nil"/>
      </w:pBdr>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customStyle="1" w:styleId="CuerpoA">
    <w:name w:val="Cuerpo A"/>
    <w:rsid w:val="00602FD2"/>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es-MX"/>
      <w14:textOutline w14:w="12700" w14:cap="flat" w14:cmpd="sng" w14:algn="ctr">
        <w14:noFill/>
        <w14:prstDash w14:val="solid"/>
        <w14:miter w14:lim="400000"/>
      </w14:textOutline>
      <w14:ligatures w14:val="none"/>
    </w:rPr>
  </w:style>
  <w:style w:type="character" w:customStyle="1" w:styleId="Ninguno">
    <w:name w:val="Ninguno"/>
    <w:rsid w:val="0060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1878</Words>
  <Characters>10334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VP</dc:creator>
  <cp:keywords/>
  <dc:description/>
  <cp:lastModifiedBy>Andrea Daniela Flores Chacon</cp:lastModifiedBy>
  <cp:revision>2</cp:revision>
  <cp:lastPrinted>2025-11-26T21:32:00Z</cp:lastPrinted>
  <dcterms:created xsi:type="dcterms:W3CDTF">2026-03-23T21:27:00Z</dcterms:created>
  <dcterms:modified xsi:type="dcterms:W3CDTF">2026-03-23T21:27:00Z</dcterms:modified>
</cp:coreProperties>
</file>