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EDFF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color w:val="000000"/>
          <w:lang w:val="es-MX"/>
        </w:rPr>
      </w:pPr>
      <w:r w:rsidRPr="001201EE">
        <w:rPr>
          <w:rFonts w:ascii="Century Gothic" w:eastAsia="Century Gothic" w:hAnsi="Century Gothic" w:cs="Century Gothic"/>
          <w:b/>
          <w:color w:val="000000"/>
          <w:lang w:val="es-MX"/>
        </w:rPr>
        <w:t xml:space="preserve">HONORABLE CONGRESO DEL ESTADO DE CHIHUAHUA </w:t>
      </w:r>
    </w:p>
    <w:p w14:paraId="6D5023DB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color w:val="000000"/>
          <w:lang w:val="es-MX"/>
        </w:rPr>
      </w:pPr>
      <w:r w:rsidRPr="001201EE">
        <w:rPr>
          <w:rFonts w:ascii="Century Gothic" w:eastAsia="Century Gothic" w:hAnsi="Century Gothic" w:cs="Century Gothic"/>
          <w:b/>
          <w:color w:val="000000"/>
          <w:lang w:val="es-MX"/>
        </w:rPr>
        <w:t>P R E S E N T E. -</w:t>
      </w:r>
    </w:p>
    <w:p w14:paraId="367C68B1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entury Gothic" w:hAnsi="Century Gothic" w:cs="Century Gothic"/>
          <w:b/>
          <w:color w:val="000000"/>
          <w:lang w:val="es-MX"/>
        </w:rPr>
      </w:pPr>
    </w:p>
    <w:p w14:paraId="5DC929F0" w14:textId="77777777" w:rsidR="002D35D0" w:rsidRPr="001201EE" w:rsidRDefault="002D35D0" w:rsidP="002D35D0">
      <w:pPr>
        <w:shd w:val="clear" w:color="auto" w:fill="FFFFFF"/>
        <w:spacing w:after="120" w:line="432" w:lineRule="auto"/>
        <w:jc w:val="both"/>
        <w:rPr>
          <w:rFonts w:ascii="Century Gothic" w:eastAsia="Century Gothic" w:hAnsi="Century Gothic" w:cs="Century Gothic"/>
          <w:b/>
          <w:highlight w:val="white"/>
          <w:lang w:val="es-MX"/>
        </w:rPr>
      </w:pPr>
      <w:r w:rsidRPr="001201EE">
        <w:rPr>
          <w:rFonts w:ascii="Century Gothic" w:eastAsia="Century Gothic" w:hAnsi="Century Gothic" w:cs="Century Gothic"/>
          <w:b/>
          <w:highlight w:val="white"/>
          <w:lang w:val="es-MX"/>
        </w:rPr>
        <w:t xml:space="preserve">El suscrito </w:t>
      </w:r>
      <w:r w:rsidRPr="004A322A">
        <w:rPr>
          <w:rFonts w:ascii="Century Gothic" w:eastAsia="Century Gothic" w:hAnsi="Century Gothic" w:cs="Century Gothic"/>
          <w:b/>
          <w:lang w:val="es-MX"/>
        </w:rPr>
        <w:t>Jaime Torres Amaya</w:t>
      </w:r>
      <w:r w:rsidRPr="001201EE">
        <w:rPr>
          <w:rFonts w:ascii="Century Gothic" w:eastAsia="Century Gothic" w:hAnsi="Century Gothic" w:cs="Century Gothic"/>
          <w:b/>
          <w:highlight w:val="white"/>
          <w:lang w:val="es-MX"/>
        </w:rPr>
        <w:t>, en mi carácter de diputado a la Sexagésima Octava Legislatura del Estado de Chihuahua y en representación del Grupo Parlamentario del Partido Acción Nacional, con fundamento en lo dispuesto por los artículos 169, 174, fracción I y 175 todos de la Ley Orgánica del Poder Legislativo del Estado de Chihuahua; así como artículo 2, fracción IX, del Reglamento Interior y de Prácticas Parlamentarias del Poder Legislativo; comparezco  ante est</w:t>
      </w:r>
      <w:r>
        <w:rPr>
          <w:rFonts w:ascii="Century Gothic" w:eastAsia="Century Gothic" w:hAnsi="Century Gothic" w:cs="Century Gothic"/>
          <w:b/>
          <w:highlight w:val="white"/>
          <w:lang w:val="es-MX"/>
        </w:rPr>
        <w:t>a</w:t>
      </w:r>
      <w:r w:rsidRPr="001201EE">
        <w:rPr>
          <w:rFonts w:ascii="Century Gothic" w:eastAsia="Century Gothic" w:hAnsi="Century Gothic" w:cs="Century Gothic"/>
          <w:b/>
          <w:highlight w:val="white"/>
          <w:lang w:val="es-MX"/>
        </w:rPr>
        <w:t xml:space="preserve"> Honorable Soberanía, a fin de presentar PROPOSICIÓN DE PUNTO DE ACUERDO, A EFECTO DE EXHORTAR A LA TITULAR DEL PODER EJECUTIVO FEDERAL A TRAVÉS DE LA SECRETARIA DE EDUCACIÓN PÚBLICA A BRIND</w:t>
      </w:r>
      <w:r>
        <w:rPr>
          <w:rFonts w:ascii="Century Gothic" w:eastAsia="Century Gothic" w:hAnsi="Century Gothic" w:cs="Century Gothic"/>
          <w:b/>
          <w:highlight w:val="white"/>
          <w:lang w:val="es-MX"/>
        </w:rPr>
        <w:t>AR</w:t>
      </w:r>
      <w:r w:rsidRPr="001201EE">
        <w:rPr>
          <w:rFonts w:ascii="Century Gothic" w:eastAsia="Century Gothic" w:hAnsi="Century Gothic" w:cs="Century Gothic"/>
          <w:b/>
          <w:highlight w:val="white"/>
          <w:lang w:val="es-MX"/>
        </w:rPr>
        <w:t xml:space="preserve"> INFORMACIÓN RESPECTO AL MANEJO DE RECURSOS DEL PROGRAMA LA ESCUELA ES NUESTRA EN EL ESTADO DE CHIHUAHUA, al tenor de la siguiente:</w:t>
      </w:r>
    </w:p>
    <w:p w14:paraId="095ABBA6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entury Gothic" w:hAnsi="Century Gothic" w:cs="Century Gothic"/>
          <w:b/>
          <w:highlight w:val="white"/>
          <w:lang w:val="es-MX"/>
        </w:rPr>
      </w:pPr>
    </w:p>
    <w:p w14:paraId="78DD9283" w14:textId="483DF89A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entury Gothic" w:eastAsia="Century Gothic" w:hAnsi="Century Gothic" w:cs="Century Gothic"/>
          <w:b/>
          <w:color w:val="000000"/>
          <w:highlight w:val="white"/>
          <w:lang w:val="es-MX"/>
        </w:rPr>
      </w:pPr>
      <w:r>
        <w:rPr>
          <w:rFonts w:ascii="Century Gothic" w:eastAsia="Century Gothic" w:hAnsi="Century Gothic" w:cs="Century Gothic"/>
          <w:b/>
          <w:color w:val="000000"/>
          <w:highlight w:val="white"/>
          <w:lang w:val="es-MX"/>
        </w:rPr>
        <w:t xml:space="preserve"> </w:t>
      </w:r>
      <w:r w:rsidRPr="001201EE">
        <w:rPr>
          <w:rFonts w:ascii="Century Gothic" w:eastAsia="Century Gothic" w:hAnsi="Century Gothic" w:cs="Century Gothic"/>
          <w:b/>
          <w:color w:val="000000"/>
          <w:highlight w:val="white"/>
          <w:lang w:val="es-MX"/>
        </w:rPr>
        <w:t>EXPOSICIÓN DE MOTIVOS</w:t>
      </w:r>
    </w:p>
    <w:p w14:paraId="674AA92B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color w:val="000000"/>
          <w:highlight w:val="white"/>
          <w:lang w:val="es-MX"/>
        </w:rPr>
      </w:pP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>A inicios de su administración, el presidente López Obrador puso en marcha el programa “La Escuela es Nuestra” mediante el cual se beneficia a las escuelas de educación básica y media superior del país,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 xml:space="preserve"> </w:t>
      </w:r>
      <w:r>
        <w:rPr>
          <w:rFonts w:ascii="Century Gothic" w:eastAsia="Century Gothic" w:hAnsi="Century Gothic" w:cs="Century Gothic"/>
          <w:color w:val="000000"/>
          <w:highlight w:val="white"/>
          <w:lang w:val="es-MX"/>
        </w:rPr>
        <w:t>con la entrega de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recursos para el mantenimiento de los planteles escolares.  </w:t>
      </w:r>
    </w:p>
    <w:p w14:paraId="3648C0F2" w14:textId="77777777" w:rsidR="002D35D0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color w:val="000000"/>
          <w:highlight w:val="white"/>
          <w:lang w:val="es-MX"/>
        </w:rPr>
      </w:pP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El programa funciona a través de </w:t>
      </w:r>
      <w:r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los 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>comités de padres de familia</w:t>
      </w:r>
      <w:r>
        <w:rPr>
          <w:rFonts w:ascii="Century Gothic" w:eastAsia="Century Gothic" w:hAnsi="Century Gothic" w:cs="Century Gothic"/>
          <w:color w:val="000000"/>
          <w:highlight w:val="white"/>
          <w:lang w:val="es-MX"/>
        </w:rPr>
        <w:t>, los cuales reciben dicho apoyo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y son asesorados por los “Servidores de la Nación” sobre la manera de invertir los recursos</w:t>
      </w:r>
      <w:r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, estos varían dependiendo de la </w:t>
      </w:r>
      <w:r>
        <w:rPr>
          <w:rFonts w:ascii="Century Gothic" w:eastAsia="Century Gothic" w:hAnsi="Century Gothic" w:cs="Century Gothic"/>
          <w:color w:val="000000"/>
          <w:highlight w:val="white"/>
          <w:lang w:val="es-MX"/>
        </w:rPr>
        <w:lastRenderedPageBreak/>
        <w:t xml:space="preserve">matricula con la que cuente el Plantel Educativo, siendo desde $200,000.00 hasta 1,500,000.00 pesos., los cuales, al ser entregados a las escuelas, el recurso no se encuentra reflejado en mejoras a los mismos, siendo las infancias, las principales afectadas. </w:t>
      </w:r>
    </w:p>
    <w:p w14:paraId="201ED417" w14:textId="77777777" w:rsidR="002D35D0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color w:val="1155CC"/>
          <w:u w:val="single"/>
          <w:lang w:val="es-MX"/>
        </w:rPr>
      </w:pPr>
      <w:r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De igual manera, 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>ya que este carece de un sistema de transparencia</w:t>
      </w:r>
      <w:r>
        <w:rPr>
          <w:rFonts w:ascii="Century Gothic" w:eastAsia="Century Gothic" w:hAnsi="Century Gothic" w:cs="Century Gothic"/>
          <w:color w:val="000000"/>
          <w:highlight w:val="white"/>
          <w:lang w:val="es-MX"/>
        </w:rPr>
        <w:t>,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</w:t>
      </w:r>
      <w:r>
        <w:rPr>
          <w:rFonts w:ascii="Century Gothic" w:eastAsia="Century Gothic" w:hAnsi="Century Gothic" w:cs="Century Gothic"/>
          <w:color w:val="000000"/>
          <w:highlight w:val="white"/>
          <w:lang w:val="es-MX"/>
        </w:rPr>
        <w:t>existen diversas irregularidades al querer obtener información del proyecto en comento. Por lo que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se desconoce </w:t>
      </w:r>
      <w:r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a cabalidad 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el destino </w:t>
      </w:r>
      <w:r w:rsidRPr="001201EE">
        <w:rPr>
          <w:rFonts w:ascii="Century Gothic" w:eastAsia="Century Gothic" w:hAnsi="Century Gothic" w:cs="Century Gothic"/>
          <w:color w:val="000000"/>
          <w:lang w:val="es-MX"/>
        </w:rPr>
        <w:t xml:space="preserve">de </w:t>
      </w:r>
      <w:r>
        <w:rPr>
          <w:rFonts w:ascii="Century Gothic" w:eastAsia="Century Gothic" w:hAnsi="Century Gothic" w:cs="Century Gothic"/>
          <w:color w:val="000000"/>
          <w:lang w:val="es-MX"/>
        </w:rPr>
        <w:t xml:space="preserve">los más de </w:t>
      </w:r>
      <w:r w:rsidRPr="001201EE">
        <w:rPr>
          <w:rFonts w:ascii="Century Gothic" w:eastAsia="Century Gothic" w:hAnsi="Century Gothic" w:cs="Century Gothic"/>
          <w:color w:val="000000"/>
          <w:lang w:val="es-MX"/>
        </w:rPr>
        <w:t>8</w:t>
      </w:r>
      <w:r w:rsidRPr="001201EE">
        <w:rPr>
          <w:rFonts w:ascii="Century Gothic" w:eastAsia="Century Gothic" w:hAnsi="Century Gothic" w:cs="Century Gothic"/>
          <w:lang w:val="es-MX"/>
        </w:rPr>
        <w:t>4</w:t>
      </w:r>
      <w:r w:rsidRPr="001201EE">
        <w:rPr>
          <w:rFonts w:ascii="Century Gothic" w:eastAsia="Century Gothic" w:hAnsi="Century Gothic" w:cs="Century Gothic"/>
          <w:color w:val="000000"/>
          <w:lang w:val="es-MX"/>
        </w:rPr>
        <w:t xml:space="preserve"> mil millones de pesos invert</w:t>
      </w:r>
      <w:r>
        <w:rPr>
          <w:rFonts w:ascii="Century Gothic" w:eastAsia="Century Gothic" w:hAnsi="Century Gothic" w:cs="Century Gothic"/>
          <w:color w:val="000000"/>
          <w:lang w:val="es-MX"/>
        </w:rPr>
        <w:t>idos en este programa.</w:t>
      </w:r>
      <w:r w:rsidRPr="001201EE">
        <w:rPr>
          <w:rFonts w:ascii="Century Gothic" w:eastAsia="Century Gothic" w:hAnsi="Century Gothic" w:cs="Century Gothic"/>
          <w:color w:val="000000"/>
          <w:lang w:val="es-MX"/>
        </w:rPr>
        <w:t xml:space="preserve"> </w:t>
      </w:r>
      <w:hyperlink r:id="rId8">
        <w:r w:rsidRPr="001201EE">
          <w:rPr>
            <w:rFonts w:ascii="Century Gothic" w:eastAsia="Century Gothic" w:hAnsi="Century Gothic" w:cs="Century Gothic"/>
            <w:color w:val="1155CC"/>
            <w:u w:val="single"/>
            <w:lang w:val="es-MX"/>
          </w:rPr>
          <w:t>De acuerdo con la Secretaria del Bienestar</w:t>
        </w:r>
      </w:hyperlink>
      <w:hyperlink r:id="rId9">
        <w:r w:rsidRPr="001201EE">
          <w:rPr>
            <w:rFonts w:ascii="Century Gothic" w:eastAsia="Century Gothic" w:hAnsi="Century Gothic" w:cs="Century Gothic"/>
            <w:color w:val="1155CC"/>
            <w:u w:val="single"/>
            <w:vertAlign w:val="superscript"/>
            <w:lang w:val="es-MX"/>
          </w:rPr>
          <w:t>1</w:t>
        </w:r>
      </w:hyperlink>
      <w:r>
        <w:rPr>
          <w:rStyle w:val="Refdenotaalpie"/>
        </w:rPr>
        <w:footnoteReference w:id="1"/>
      </w:r>
      <w:hyperlink r:id="rId10">
        <w:r w:rsidRPr="001201EE">
          <w:rPr>
            <w:rFonts w:ascii="Century Gothic" w:eastAsia="Century Gothic" w:hAnsi="Century Gothic" w:cs="Century Gothic"/>
            <w:color w:val="1155CC"/>
            <w:u w:val="single"/>
            <w:lang w:val="es-MX"/>
          </w:rPr>
          <w:t>.</w:t>
        </w:r>
      </w:hyperlink>
    </w:p>
    <w:p w14:paraId="59BB3778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color w:val="000000"/>
          <w:highlight w:val="white"/>
          <w:lang w:val="es-MX"/>
        </w:rPr>
      </w:pPr>
    </w:p>
    <w:p w14:paraId="7E4BCA83" w14:textId="77777777" w:rsidR="002D35D0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color w:val="000000"/>
          <w:lang w:val="es-MX"/>
        </w:rPr>
      </w:pPr>
      <w:r w:rsidRPr="00604ABE">
        <w:rPr>
          <w:rFonts w:ascii="Century Gothic" w:eastAsia="Century Gothic" w:hAnsi="Century Gothic" w:cs="Century Gothic"/>
          <w:color w:val="000000"/>
          <w:lang w:val="es-MX"/>
        </w:rPr>
        <w:t xml:space="preserve">Además 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de lo anteriormente mencionado, </w:t>
      </w:r>
      <w:hyperlink r:id="rId11">
        <w:r w:rsidRPr="001201EE">
          <w:rPr>
            <w:rFonts w:ascii="Century Gothic" w:eastAsia="Century Gothic" w:hAnsi="Century Gothic" w:cs="Century Gothic"/>
            <w:color w:val="1155CC"/>
            <w:highlight w:val="white"/>
            <w:u w:val="single"/>
            <w:lang w:val="es-MX"/>
          </w:rPr>
          <w:t xml:space="preserve">de acuerdo con datos de la </w:t>
        </w:r>
      </w:hyperlink>
      <w:hyperlink r:id="rId12">
        <w:r w:rsidRPr="001201EE">
          <w:rPr>
            <w:rFonts w:ascii="Century Gothic" w:eastAsia="Century Gothic" w:hAnsi="Century Gothic" w:cs="Century Gothic"/>
            <w:color w:val="1155CC"/>
            <w:highlight w:val="white"/>
            <w:u w:val="single"/>
            <w:lang w:val="es-MX"/>
          </w:rPr>
          <w:t>Secretaría</w:t>
        </w:r>
      </w:hyperlink>
      <w:hyperlink r:id="rId13">
        <w:r w:rsidRPr="001201EE">
          <w:rPr>
            <w:rFonts w:ascii="Century Gothic" w:eastAsia="Century Gothic" w:hAnsi="Century Gothic" w:cs="Century Gothic"/>
            <w:color w:val="1155CC"/>
            <w:highlight w:val="white"/>
            <w:u w:val="single"/>
            <w:lang w:val="es-MX"/>
          </w:rPr>
          <w:t xml:space="preserve"> de la Función Pública</w:t>
        </w:r>
      </w:hyperlink>
      <w:hyperlink r:id="rId14">
        <w:r w:rsidRPr="001201EE">
          <w:rPr>
            <w:rFonts w:ascii="Century Gothic" w:eastAsia="Century Gothic" w:hAnsi="Century Gothic" w:cs="Century Gothic"/>
            <w:color w:val="1155CC"/>
            <w:highlight w:val="white"/>
            <w:u w:val="single"/>
            <w:vertAlign w:val="superscript"/>
            <w:lang w:val="es-MX"/>
          </w:rPr>
          <w:t>2</w:t>
        </w:r>
      </w:hyperlink>
      <w:r>
        <w:rPr>
          <w:rStyle w:val="Refdenotaalpie"/>
          <w:rFonts w:ascii="Century Gothic" w:eastAsia="Century Gothic" w:hAnsi="Century Gothic" w:cs="Century Gothic"/>
          <w:color w:val="1155CC"/>
          <w:highlight w:val="white"/>
          <w:u w:val="single"/>
          <w:lang w:val="es-MX"/>
        </w:rPr>
        <w:footnoteReference w:id="2"/>
      </w:r>
      <w:hyperlink r:id="rId15">
        <w:r w:rsidRPr="001201EE">
          <w:rPr>
            <w:rFonts w:ascii="Century Gothic" w:eastAsia="Century Gothic" w:hAnsi="Century Gothic" w:cs="Century Gothic"/>
            <w:color w:val="1155CC"/>
            <w:highlight w:val="white"/>
            <w:u w:val="single"/>
            <w:lang w:val="es-MX"/>
          </w:rPr>
          <w:t>,</w:t>
        </w:r>
      </w:hyperlink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se han presentado 606 denuncias por mal manejo de los recursos en este programa, de </w:t>
      </w:r>
      <w:r w:rsidRPr="001201EE">
        <w:rPr>
          <w:rFonts w:ascii="Century Gothic" w:eastAsia="Century Gothic" w:hAnsi="Century Gothic" w:cs="Century Gothic"/>
          <w:color w:val="000000"/>
          <w:lang w:val="es-MX"/>
        </w:rPr>
        <w:t xml:space="preserve">acuerdo con </w:t>
      </w:r>
      <w:r w:rsidRPr="001201EE">
        <w:rPr>
          <w:rFonts w:ascii="Century Gothic" w:eastAsia="Century Gothic" w:hAnsi="Century Gothic" w:cs="Century Gothic"/>
          <w:lang w:val="es-MX"/>
        </w:rPr>
        <w:t>este mismo órgano</w:t>
      </w:r>
      <w:r w:rsidRPr="001201EE">
        <w:rPr>
          <w:rFonts w:ascii="Century Gothic" w:eastAsia="Century Gothic" w:hAnsi="Century Gothic" w:cs="Century Gothic"/>
          <w:color w:val="000000"/>
          <w:lang w:val="es-MX"/>
        </w:rPr>
        <w:t xml:space="preserve"> “No ha habido sanciones firmes para las personas involucradas”. </w:t>
      </w:r>
    </w:p>
    <w:p w14:paraId="3CA4EE37" w14:textId="77777777" w:rsidR="002D35D0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color w:val="000000"/>
          <w:lang w:val="es-MX"/>
        </w:rPr>
      </w:pPr>
    </w:p>
    <w:p w14:paraId="1E5379BE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highlight w:val="white"/>
          <w:lang w:val="es-MX"/>
        </w:rPr>
      </w:pPr>
      <w:r w:rsidRPr="004A322A">
        <w:rPr>
          <w:rFonts w:ascii="Century Gothic" w:eastAsia="Century Gothic" w:hAnsi="Century Gothic" w:cs="Century Gothic"/>
          <w:color w:val="000000"/>
          <w:lang w:val="es-MX"/>
        </w:rPr>
        <w:t xml:space="preserve">Algunos 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de estos casos han sido denunciados ante las fiscalías estatales, como en San Luis Potosí, donde la fiscalía estatal 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>informó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que tiene 46 carpetas de investigación relacionadas con el programa “La Escuela es Nuestra” por delitos de: fraude, robo, abuso de confianza, amenazas, violencia familiar y hasta lesiones. Por su parte Baja California, Baja California Sur, Oaxaca y Zacatecas han informado vía transparencia que cuentan con al menos un expediente por el delito de abuso de confianza.</w:t>
      </w:r>
    </w:p>
    <w:p w14:paraId="037225A0" w14:textId="77777777" w:rsidR="002D35D0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color w:val="000000"/>
          <w:lang w:val="es-MX"/>
        </w:rPr>
      </w:pPr>
      <w:r w:rsidRPr="001201EE">
        <w:rPr>
          <w:rFonts w:ascii="Century Gothic" w:eastAsia="Century Gothic" w:hAnsi="Century Gothic" w:cs="Century Gothic"/>
          <w:highlight w:val="white"/>
          <w:lang w:val="es-MX"/>
        </w:rPr>
        <w:lastRenderedPageBreak/>
        <w:t xml:space="preserve">En 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tanto, la </w:t>
      </w:r>
      <w:proofErr w:type="gramStart"/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>Fiscalía General</w:t>
      </w:r>
      <w:proofErr w:type="gramEnd"/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de la 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>República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niega tener la información con respecto a estos casos.</w:t>
      </w:r>
    </w:p>
    <w:p w14:paraId="4D1A160F" w14:textId="77777777" w:rsidR="002D35D0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color w:val="000000"/>
          <w:highlight w:val="white"/>
          <w:lang w:val="es-MX"/>
        </w:rPr>
      </w:pPr>
      <w:r w:rsidRPr="001201EE">
        <w:rPr>
          <w:rFonts w:ascii="Century Gothic" w:eastAsia="Century Gothic" w:hAnsi="Century Gothic" w:cs="Century Gothic"/>
          <w:color w:val="000000"/>
          <w:lang w:val="es-MX"/>
        </w:rPr>
        <w:t>De acuerdo con las</w:t>
      </w:r>
      <w:hyperlink r:id="rId16" w:anchor="gsc.tab=0">
        <w:r w:rsidRPr="001201EE">
          <w:rPr>
            <w:rFonts w:ascii="Century Gothic" w:eastAsia="Century Gothic" w:hAnsi="Century Gothic" w:cs="Century Gothic"/>
            <w:color w:val="1155CC"/>
            <w:u w:val="single"/>
            <w:lang w:val="es-MX"/>
          </w:rPr>
          <w:t xml:space="preserve"> reglas de operación</w:t>
        </w:r>
      </w:hyperlink>
      <w:r>
        <w:rPr>
          <w:rStyle w:val="Refdenotaalpie"/>
          <w:rFonts w:ascii="Century Gothic" w:eastAsia="Century Gothic" w:hAnsi="Century Gothic" w:cs="Century Gothic"/>
          <w:color w:val="1155CC"/>
          <w:u w:val="single"/>
          <w:lang w:val="es-MX"/>
        </w:rPr>
        <w:footnoteReference w:id="3"/>
      </w:r>
      <w:hyperlink r:id="rId17" w:anchor="gsc.tab=0">
        <w:r w:rsidRPr="001201EE">
          <w:rPr>
            <w:rFonts w:ascii="Century Gothic" w:eastAsia="Century Gothic" w:hAnsi="Century Gothic" w:cs="Century Gothic"/>
            <w:color w:val="1155CC"/>
            <w:u w:val="single"/>
            <w:vertAlign w:val="superscript"/>
            <w:lang w:val="es-MX"/>
          </w:rPr>
          <w:t>3</w:t>
        </w:r>
      </w:hyperlink>
      <w:hyperlink r:id="rId18" w:anchor="gsc.tab=0">
        <w:r w:rsidRPr="001201EE">
          <w:rPr>
            <w:rFonts w:ascii="Century Gothic" w:eastAsia="Century Gothic" w:hAnsi="Century Gothic" w:cs="Century Gothic"/>
            <w:color w:val="1155CC"/>
            <w:u w:val="single"/>
            <w:lang w:val="es-MX"/>
          </w:rPr>
          <w:t xml:space="preserve"> </w:t>
        </w:r>
      </w:hyperlink>
      <w:r w:rsidRPr="001201EE">
        <w:rPr>
          <w:rFonts w:ascii="Century Gothic" w:eastAsia="Century Gothic" w:hAnsi="Century Gothic" w:cs="Century Gothic"/>
          <w:color w:val="000000"/>
          <w:lang w:val="es-MX"/>
        </w:rPr>
        <w:t xml:space="preserve">del programa en su apartado 3.4, los recursos serán entregados y administrados únicamente por los comités de padres de familia y </w:t>
      </w:r>
      <w:r w:rsidRPr="001201EE">
        <w:rPr>
          <w:rFonts w:ascii="Century Gothic" w:eastAsia="Century Gothic" w:hAnsi="Century Gothic" w:cs="Century Gothic"/>
          <w:lang w:val="es-MX"/>
        </w:rPr>
        <w:t>los</w:t>
      </w:r>
      <w:r w:rsidRPr="001201EE">
        <w:rPr>
          <w:rFonts w:ascii="Century Gothic" w:eastAsia="Century Gothic" w:hAnsi="Century Gothic" w:cs="Century Gothic"/>
          <w:color w:val="000000"/>
          <w:lang w:val="es-MX"/>
        </w:rPr>
        <w:t xml:space="preserve"> servidores de la </w:t>
      </w:r>
      <w:r w:rsidRPr="001201EE">
        <w:rPr>
          <w:rFonts w:ascii="Century Gothic" w:eastAsia="Century Gothic" w:hAnsi="Century Gothic" w:cs="Century Gothic"/>
          <w:lang w:val="es-MX"/>
        </w:rPr>
        <w:t>Secretaria</w:t>
      </w:r>
      <w:r w:rsidRPr="001201EE">
        <w:rPr>
          <w:rFonts w:ascii="Century Gothic" w:eastAsia="Century Gothic" w:hAnsi="Century Gothic" w:cs="Century Gothic"/>
          <w:color w:val="000000"/>
          <w:lang w:val="es-MX"/>
        </w:rPr>
        <w:t xml:space="preserve"> del </w:t>
      </w:r>
      <w:r w:rsidRPr="001201EE">
        <w:rPr>
          <w:rFonts w:ascii="Century Gothic" w:eastAsia="Century Gothic" w:hAnsi="Century Gothic" w:cs="Century Gothic"/>
          <w:lang w:val="es-MX"/>
        </w:rPr>
        <w:t>B</w:t>
      </w:r>
      <w:r w:rsidRPr="001201EE">
        <w:rPr>
          <w:rFonts w:ascii="Century Gothic" w:eastAsia="Century Gothic" w:hAnsi="Century Gothic" w:cs="Century Gothic"/>
          <w:color w:val="000000"/>
          <w:lang w:val="es-MX"/>
        </w:rPr>
        <w:t xml:space="preserve">ienestar </w:t>
      </w:r>
      <w:r w:rsidRPr="001201EE">
        <w:rPr>
          <w:rFonts w:ascii="Century Gothic" w:eastAsia="Century Gothic" w:hAnsi="Century Gothic" w:cs="Century Gothic"/>
          <w:lang w:val="es-MX"/>
        </w:rPr>
        <w:t>sólo</w:t>
      </w:r>
      <w:r w:rsidRPr="001201EE">
        <w:rPr>
          <w:rFonts w:ascii="Century Gothic" w:eastAsia="Century Gothic" w:hAnsi="Century Gothic" w:cs="Century Gothic"/>
          <w:color w:val="000000"/>
          <w:lang w:val="es-MX"/>
        </w:rPr>
        <w:t xml:space="preserve"> fungirán como asesores y no como administradores de los recursos, además de acuerdo con el apartado 3.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>5 inciso “Es obligación de los beneficiarios presentar una denuncia en materia penal ante el ministerio público federal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>”.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>Además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de poder presen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>tar quejas mediante el órgano  interno de control de la SEP por medio de correo electrónico y teléfono  que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con respecto a las acciones u omisiones de alguno de los funcionarios relacionados con el programa, así se hace constar en </w:t>
      </w:r>
      <w:hyperlink r:id="rId19" w:anchor="gsc.tab=0">
        <w:r w:rsidRPr="001201EE">
          <w:rPr>
            <w:rFonts w:ascii="Century Gothic" w:eastAsia="Century Gothic" w:hAnsi="Century Gothic" w:cs="Century Gothic"/>
            <w:color w:val="1155CC"/>
            <w:highlight w:val="white"/>
            <w:u w:val="single"/>
            <w:lang w:val="es-MX"/>
          </w:rPr>
          <w:t xml:space="preserve">las reglas de </w:t>
        </w:r>
      </w:hyperlink>
      <w:hyperlink r:id="rId20" w:anchor="gsc.tab=0">
        <w:r w:rsidRPr="001201EE">
          <w:rPr>
            <w:rFonts w:ascii="Century Gothic" w:eastAsia="Century Gothic" w:hAnsi="Century Gothic" w:cs="Century Gothic"/>
            <w:color w:val="1155CC"/>
            <w:highlight w:val="white"/>
            <w:u w:val="single"/>
            <w:lang w:val="es-MX"/>
          </w:rPr>
          <w:t xml:space="preserve">operación en su apartado 8 </w:t>
        </w:r>
      </w:hyperlink>
      <w:r w:rsidRPr="001201EE">
        <w:rPr>
          <w:rFonts w:ascii="Century Gothic" w:eastAsia="Century Gothic" w:hAnsi="Century Gothic" w:cs="Century Gothic"/>
          <w:highlight w:val="white"/>
          <w:vertAlign w:val="superscript"/>
          <w:lang w:val="es-MX"/>
        </w:rPr>
        <w:t>4</w:t>
      </w:r>
      <w:r>
        <w:rPr>
          <w:rStyle w:val="Refdenotaalpie"/>
          <w:rFonts w:ascii="Century Gothic" w:eastAsia="Century Gothic" w:hAnsi="Century Gothic" w:cs="Century Gothic"/>
          <w:highlight w:val="white"/>
          <w:lang w:val="es-MX"/>
        </w:rPr>
        <w:footnoteReference w:id="4"/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. </w:t>
      </w:r>
    </w:p>
    <w:p w14:paraId="7CCD1A5B" w14:textId="77777777" w:rsidR="002D35D0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color w:val="000000"/>
          <w:highlight w:val="white"/>
          <w:lang w:val="es-MX"/>
        </w:rPr>
      </w:pPr>
    </w:p>
    <w:p w14:paraId="63791E40" w14:textId="77777777" w:rsidR="002D35D0" w:rsidRPr="00C66335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highlight w:val="white"/>
          <w:lang w:val="es-MX"/>
        </w:rPr>
      </w:pP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Las cuales se han presentado y la </w:t>
      </w:r>
      <w:proofErr w:type="gramStart"/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>Fiscalía General</w:t>
      </w:r>
      <w:proofErr w:type="gramEnd"/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de la 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>República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ha ignorado.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 xml:space="preserve"> 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Es importante mencionar que las propias reglas de operación en su quinto apartado mencionan que la 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>auditoría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y supervisión del programa es responsabilidad del órgano encargado del programa, en este caso la 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>Secretaría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de Educación Pública.</w:t>
      </w:r>
    </w:p>
    <w:p w14:paraId="388A6D91" w14:textId="77777777" w:rsidR="002D35D0" w:rsidRDefault="002D35D0" w:rsidP="002D35D0">
      <w:pPr>
        <w:spacing w:line="360" w:lineRule="auto"/>
        <w:jc w:val="both"/>
        <w:rPr>
          <w:rFonts w:ascii="Century Gothic" w:eastAsia="Century Gothic" w:hAnsi="Century Gothic" w:cs="Century Gothic"/>
          <w:highlight w:val="white"/>
          <w:lang w:val="es-MX"/>
        </w:rPr>
      </w:pP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Por su parte la 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>Auditoría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Superior de la Federación ha tomado cartas en el asunto y ha llevado a cabo las 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>auditorías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correspondientes los 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>ejercicios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lastRenderedPageBreak/>
        <w:t xml:space="preserve">fiscales </w:t>
      </w:r>
      <w:hyperlink r:id="rId21">
        <w:r w:rsidRPr="001201EE">
          <w:rPr>
            <w:rFonts w:ascii="Century Gothic" w:eastAsia="Century Gothic" w:hAnsi="Century Gothic" w:cs="Century Gothic"/>
            <w:color w:val="1155CC"/>
            <w:highlight w:val="white"/>
            <w:u w:val="single"/>
            <w:lang w:val="es-MX"/>
          </w:rPr>
          <w:t>2020-2021</w:t>
        </w:r>
      </w:hyperlink>
      <w:r>
        <w:rPr>
          <w:rStyle w:val="Refdenotaalpie"/>
          <w:rFonts w:ascii="Century Gothic" w:eastAsia="Century Gothic" w:hAnsi="Century Gothic" w:cs="Century Gothic"/>
          <w:highlight w:val="white"/>
          <w:lang w:val="es-MX"/>
        </w:rPr>
        <w:footnoteReference w:id="5"/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y </w:t>
      </w:r>
      <w:hyperlink r:id="rId22">
        <w:r w:rsidRPr="001201EE">
          <w:rPr>
            <w:rFonts w:ascii="Century Gothic" w:eastAsia="Century Gothic" w:hAnsi="Century Gothic" w:cs="Century Gothic"/>
            <w:color w:val="1155CC"/>
            <w:highlight w:val="white"/>
            <w:u w:val="single"/>
            <w:lang w:val="es-MX"/>
          </w:rPr>
          <w:t>2021-2022</w:t>
        </w:r>
      </w:hyperlink>
      <w:r>
        <w:rPr>
          <w:rStyle w:val="Refdenotaalpie"/>
          <w:rFonts w:ascii="Century Gothic" w:eastAsia="Century Gothic" w:hAnsi="Century Gothic" w:cs="Century Gothic"/>
          <w:highlight w:val="white"/>
          <w:lang w:val="es-MX"/>
        </w:rPr>
        <w:footnoteReference w:id="6"/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. En los cuales se señala la entrega de apoyos duplicados a cinco beneficiarios del programa por un millón ciento cincuenta mil pesos, además se detectó la entrega de un millón y medio de pesos a tesoreros de siete Comités Escolares de Administración Participativa los cuales ya habían fallecido de 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>acuerdo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c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 xml:space="preserve">on el diario </w:t>
      </w:r>
      <w:hyperlink r:id="rId23">
        <w:r w:rsidRPr="001201EE">
          <w:rPr>
            <w:rFonts w:ascii="Century Gothic" w:eastAsia="Century Gothic" w:hAnsi="Century Gothic" w:cs="Century Gothic"/>
            <w:color w:val="1155CC"/>
            <w:highlight w:val="white"/>
            <w:u w:val="single"/>
            <w:lang w:val="es-MX"/>
          </w:rPr>
          <w:t>Milenio en su edición del 21 de febrero del 2022</w:t>
        </w:r>
      </w:hyperlink>
      <w:r>
        <w:rPr>
          <w:rStyle w:val="Refdenotaalpie"/>
          <w:rFonts w:ascii="Century Gothic" w:eastAsia="Century Gothic" w:hAnsi="Century Gothic" w:cs="Century Gothic"/>
          <w:color w:val="1155CC"/>
          <w:highlight w:val="white"/>
          <w:u w:val="single"/>
          <w:lang w:val="es-MX"/>
        </w:rPr>
        <w:footnoteReference w:id="7"/>
      </w:r>
      <w:hyperlink r:id="rId24">
        <w:r w:rsidRPr="001201EE">
          <w:rPr>
            <w:rFonts w:ascii="Century Gothic" w:eastAsia="Century Gothic" w:hAnsi="Century Gothic" w:cs="Century Gothic"/>
            <w:color w:val="1155CC"/>
            <w:highlight w:val="white"/>
            <w:u w:val="single"/>
            <w:lang w:val="es-MX"/>
          </w:rPr>
          <w:t xml:space="preserve">, </w:t>
        </w:r>
      </w:hyperlink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>a ello se le suma la entrega de quinientos mil pesos a una cuenta distinta a la de un comité escolar en Chiapas. Además, la Cuenta Pública 2020 registró que 1,757 planteles no demostraron que 573 millones 605 pesos hayan sido utilizados para el mejoramiento de sus instalaciones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 xml:space="preserve">. 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También cabe mencionar que 1,686 planteles no cuentan con la documentación requerida para acreditar la aplicación de apoyos por 552 millones 055.8 mil pesos. 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 xml:space="preserve">También de acuerdo con el </w:t>
      </w:r>
      <w:hyperlink r:id="rId25">
        <w:r w:rsidRPr="001201EE">
          <w:rPr>
            <w:rFonts w:ascii="Century Gothic" w:eastAsia="Century Gothic" w:hAnsi="Century Gothic" w:cs="Century Gothic"/>
            <w:color w:val="1155CC"/>
            <w:highlight w:val="white"/>
            <w:u w:val="single"/>
            <w:lang w:val="es-MX"/>
          </w:rPr>
          <w:t>diario Milenio en su edición del 21 de febrero del 2022</w:t>
        </w:r>
      </w:hyperlink>
      <w:r>
        <w:rPr>
          <w:rStyle w:val="Refdenotaalpie"/>
          <w:rFonts w:ascii="Century Gothic" w:eastAsia="Century Gothic" w:hAnsi="Century Gothic" w:cs="Century Gothic"/>
          <w:highlight w:val="white"/>
          <w:lang w:val="es-MX"/>
        </w:rPr>
        <w:footnoteReference w:id="8"/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 xml:space="preserve">. </w:t>
      </w:r>
    </w:p>
    <w:p w14:paraId="319A383B" w14:textId="77777777" w:rsidR="002D35D0" w:rsidRDefault="002D35D0" w:rsidP="002D35D0">
      <w:pPr>
        <w:spacing w:line="360" w:lineRule="auto"/>
        <w:jc w:val="both"/>
        <w:rPr>
          <w:rFonts w:ascii="Century Gothic" w:hAnsi="Century Gothic" w:cs="Arial"/>
          <w:lang w:val="es-MX"/>
        </w:rPr>
      </w:pPr>
      <w:r>
        <w:rPr>
          <w:rFonts w:ascii="Century Gothic" w:eastAsia="Century Gothic" w:hAnsi="Century Gothic" w:cs="Century Gothic"/>
          <w:highlight w:val="white"/>
          <w:lang w:val="es-MX"/>
        </w:rPr>
        <w:t xml:space="preserve">De igual manera de acuerdo con la Auditoria de Cumplimiento: </w:t>
      </w:r>
      <w:hyperlink r:id="rId26" w:history="1">
        <w:r w:rsidRPr="00FA4952">
          <w:rPr>
            <w:rStyle w:val="Hipervnculo"/>
            <w:rFonts w:ascii="Century Gothic" w:hAnsi="Century Gothic" w:cs="Arial"/>
            <w:lang w:val="es-MX"/>
          </w:rPr>
          <w:t>2023-0-11100-19-0311-2024</w:t>
        </w:r>
      </w:hyperlink>
      <w:r>
        <w:rPr>
          <w:rStyle w:val="Refdenotaalpie"/>
          <w:rFonts w:ascii="Century Gothic" w:hAnsi="Century Gothic" w:cs="Arial"/>
          <w:lang w:val="es-MX"/>
        </w:rPr>
        <w:footnoteReference w:id="9"/>
      </w:r>
      <w:r w:rsidRPr="00E2496F">
        <w:rPr>
          <w:rFonts w:ascii="Century Gothic" w:hAnsi="Century Gothic" w:cs="Arial"/>
          <w:lang w:val="es-MX"/>
        </w:rPr>
        <w:t xml:space="preserve"> se detectó mediante el Programa de Trabajo de Administración de Riesgos que implemento la SEP en 2023, mismo que se encarga de identificar los riesgos en el programa y los resultados de este, se concluyó que “No se cuenta con un instrumento jurídico que defina con precisión los tramos de responsabilidad y periodos de cumplimiento de las instituciones involucradas en la operación del programa La Escuela es Nuestra (SEP, Secretaria de Bienestar y Banco del Bienestar)” así como que </w:t>
      </w:r>
      <w:r>
        <w:rPr>
          <w:rFonts w:ascii="Century Gothic" w:hAnsi="Century Gothic" w:cs="Arial"/>
          <w:lang w:val="es-MX"/>
        </w:rPr>
        <w:lastRenderedPageBreak/>
        <w:t>no cuenta con un padrón de beneficiarios en el Estado de Chihuahua, pues</w:t>
      </w:r>
      <w:r w:rsidRPr="00E2496F">
        <w:rPr>
          <w:rFonts w:ascii="Century Gothic" w:hAnsi="Century Gothic" w:cs="Arial"/>
          <w:lang w:val="es-MX"/>
        </w:rPr>
        <w:t xml:space="preserve"> “No se cuenta con una herramienta digital que permita administrar los procesos financieros del programa La Escuela es Nuestra de manera segura”.</w:t>
      </w:r>
    </w:p>
    <w:p w14:paraId="046C0023" w14:textId="77777777" w:rsidR="002D35D0" w:rsidRDefault="002D35D0" w:rsidP="002D35D0">
      <w:pPr>
        <w:spacing w:line="360" w:lineRule="auto"/>
        <w:jc w:val="both"/>
        <w:rPr>
          <w:rFonts w:ascii="Century Gothic" w:hAnsi="Century Gothic" w:cs="Arial"/>
          <w:lang w:val="es-MX"/>
        </w:rPr>
      </w:pPr>
    </w:p>
    <w:p w14:paraId="3E4DE3E1" w14:textId="77777777" w:rsidR="002D35D0" w:rsidRPr="00E2496F" w:rsidRDefault="002D35D0" w:rsidP="002D35D0">
      <w:pPr>
        <w:spacing w:line="360" w:lineRule="auto"/>
        <w:jc w:val="both"/>
        <w:rPr>
          <w:rFonts w:ascii="Century Gothic" w:hAnsi="Century Gothic" w:cs="Arial"/>
        </w:rPr>
      </w:pPr>
      <w:r w:rsidRPr="00E2496F">
        <w:rPr>
          <w:rFonts w:ascii="Century Gothic" w:eastAsia="Century Gothic" w:hAnsi="Century Gothic" w:cs="Century Gothic"/>
          <w:highlight w:val="white"/>
          <w:lang w:val="es-MX"/>
        </w:rPr>
        <w:t xml:space="preserve">Dentro de la auditoria anteriormente mencionada </w:t>
      </w:r>
      <w:r w:rsidRPr="00E2496F">
        <w:rPr>
          <w:rFonts w:ascii="Century Gothic" w:hAnsi="Century Gothic" w:cs="Arial"/>
          <w:lang w:val="es-MX"/>
        </w:rPr>
        <w:t>se identificó que se pagó un total de 1,600 millones de pesos a ocho comités escolares de administración participativa que sus planteles tenían el estatus de “inactivo”. Así mismo también se solicitó a la Dirección General de La Escuela es Nuestra que informara respecto al uso de 26,265,938 pesos que fueron otorgados a 94,762 Comités Escolares de Administración Participativa para destinarlos a infraestructura, servicio extendido y alimentación. La respuesta fue que no cuentan con la información porque los comités son los únicos responsables de destinar esos recursos y resguardar la información sobre ellos, además de que el seguimiento y vigilancia corresponden a los Comités de Contraloría Social (CSS).</w:t>
      </w:r>
    </w:p>
    <w:p w14:paraId="4D2C0C2C" w14:textId="77777777" w:rsidR="002D35D0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highlight w:val="white"/>
          <w:lang w:val="es-MX"/>
        </w:rPr>
      </w:pPr>
    </w:p>
    <w:p w14:paraId="2DDBE13B" w14:textId="77777777" w:rsidR="002D35D0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highlight w:val="white"/>
          <w:lang w:val="es-MX"/>
        </w:rPr>
      </w:pP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>En tenor de lo antes mencionado es indispensable que el órgano responsable brinde la información necesaria y se pronuncie al respecto de las denuncias y acusaciones antes mencionadas.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 xml:space="preserve"> Es importante mencionar que el </w:t>
      </w:r>
      <w:hyperlink r:id="rId27">
        <w:r w:rsidRPr="001201EE">
          <w:rPr>
            <w:rFonts w:ascii="Century Gothic" w:eastAsia="Century Gothic" w:hAnsi="Century Gothic" w:cs="Century Gothic"/>
            <w:color w:val="1155CC"/>
            <w:highlight w:val="white"/>
            <w:u w:val="single"/>
            <w:lang w:val="es-MX"/>
          </w:rPr>
          <w:t>CONEVAL (</w:t>
        </w:r>
      </w:hyperlink>
      <w:hyperlink r:id="rId28">
        <w:r w:rsidRPr="001201EE">
          <w:rPr>
            <w:rFonts w:ascii="Century Gothic" w:eastAsia="Century Gothic" w:hAnsi="Century Gothic" w:cs="Century Gothic"/>
            <w:color w:val="1155CC"/>
            <w:highlight w:val="white"/>
            <w:u w:val="single"/>
            <w:lang w:val="es-MX"/>
          </w:rPr>
          <w:t>Consejo Nacional de Evaluación de la Política de Desarrollo Social)</w:t>
        </w:r>
      </w:hyperlink>
      <w:r>
        <w:rPr>
          <w:rStyle w:val="Refdenotaalpie"/>
          <w:rFonts w:ascii="Century Gothic" w:eastAsia="Century Gothic" w:hAnsi="Century Gothic" w:cs="Century Gothic"/>
          <w:color w:val="1155CC"/>
          <w:highlight w:val="white"/>
          <w:u w:val="single"/>
          <w:lang w:val="es-MX"/>
        </w:rPr>
        <w:footnoteReference w:id="10"/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 xml:space="preserve">  durante el periodo 2021/2022 el programa no ha actualizado sus documentos de diagnóstico y no atendió los aspectos a mejorar y recomendaciones hechas por el organismo.</w:t>
      </w:r>
    </w:p>
    <w:p w14:paraId="675C67D4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highlight w:val="white"/>
          <w:lang w:val="es-MX"/>
        </w:rPr>
      </w:pPr>
    </w:p>
    <w:p w14:paraId="5F081039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color w:val="000000"/>
          <w:highlight w:val="white"/>
          <w:lang w:val="es-MX"/>
        </w:rPr>
      </w:pP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>Por lo anteriormente expuesto y fundado, pongo a consideración de esta Honorable Asamblea Legislativa el siguiente proyecto de:</w:t>
      </w:r>
    </w:p>
    <w:p w14:paraId="53633D3D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rFonts w:ascii="Century Gothic" w:eastAsia="Century Gothic" w:hAnsi="Century Gothic" w:cs="Century Gothic"/>
          <w:color w:val="000000"/>
          <w:highlight w:val="white"/>
          <w:lang w:val="es-MX"/>
        </w:rPr>
      </w:pPr>
    </w:p>
    <w:p w14:paraId="21312188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center"/>
        <w:rPr>
          <w:rFonts w:ascii="Century Gothic" w:eastAsia="Century Gothic" w:hAnsi="Century Gothic" w:cs="Century Gothic"/>
          <w:b/>
          <w:color w:val="000000"/>
          <w:highlight w:val="white"/>
          <w:lang w:val="es-MX"/>
        </w:rPr>
      </w:pPr>
      <w:r w:rsidRPr="001201EE">
        <w:rPr>
          <w:rFonts w:ascii="Century Gothic" w:eastAsia="Century Gothic" w:hAnsi="Century Gothic" w:cs="Century Gothic"/>
          <w:b/>
          <w:color w:val="000000"/>
          <w:highlight w:val="white"/>
          <w:lang w:val="es-MX"/>
        </w:rPr>
        <w:t>ACUERDO:</w:t>
      </w:r>
    </w:p>
    <w:p w14:paraId="74E0261C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rFonts w:ascii="Century Gothic" w:eastAsia="Century Gothic" w:hAnsi="Century Gothic" w:cs="Century Gothic"/>
          <w:highlight w:val="white"/>
          <w:lang w:val="es-MX"/>
        </w:rPr>
      </w:pPr>
      <w:r w:rsidRPr="001201EE">
        <w:rPr>
          <w:rFonts w:ascii="Century Gothic" w:eastAsia="Century Gothic" w:hAnsi="Century Gothic" w:cs="Century Gothic"/>
          <w:b/>
          <w:color w:val="000000"/>
          <w:highlight w:val="white"/>
          <w:lang w:val="es-MX"/>
        </w:rPr>
        <w:t>ÚNICO. -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>La Sexagésima Octava Legislatura del Honorable Congreso del Estado de Chihuahua, exhorta respetuosamente a la titular del ejecutivo federal a través de la Secretaría de Educación Pública para que brinde información sobre las irregularidades en el manejo de los recursos destinados al programa “La Escuela es Nuestra” a nivel nacional, así como para que precise el número de beneficiarios en el estado de Chihuahua para este año 202</w:t>
      </w:r>
      <w:r>
        <w:rPr>
          <w:rFonts w:ascii="Century Gothic" w:eastAsia="Century Gothic" w:hAnsi="Century Gothic" w:cs="Century Gothic"/>
          <w:highlight w:val="white"/>
          <w:lang w:val="es-MX"/>
        </w:rPr>
        <w:t>6</w:t>
      </w:r>
      <w:r w:rsidRPr="001201EE">
        <w:rPr>
          <w:rFonts w:ascii="Century Gothic" w:eastAsia="Century Gothic" w:hAnsi="Century Gothic" w:cs="Century Gothic"/>
          <w:highlight w:val="white"/>
          <w:lang w:val="es-MX"/>
        </w:rPr>
        <w:t xml:space="preserve"> y el monto asignado para este programa en el mismo y mencione además si se han detectado irregularidades en esta entidad federativa y que acciones se han tomado al respecto. </w:t>
      </w:r>
    </w:p>
    <w:p w14:paraId="5622F9DB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rFonts w:ascii="Century Gothic" w:eastAsia="Century Gothic" w:hAnsi="Century Gothic" w:cs="Century Gothic"/>
          <w:color w:val="000000"/>
          <w:highlight w:val="white"/>
          <w:lang w:val="es-MX"/>
        </w:rPr>
      </w:pPr>
      <w:r w:rsidRPr="001201EE">
        <w:rPr>
          <w:rFonts w:ascii="Century Gothic" w:eastAsia="Century Gothic" w:hAnsi="Century Gothic" w:cs="Century Gothic"/>
          <w:b/>
          <w:color w:val="000000"/>
          <w:highlight w:val="white"/>
          <w:lang w:val="es-MX"/>
        </w:rPr>
        <w:t>ECONÓMICO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. - Aprobado que sea, túrnese a la Secretaría de Asuntos Legislativos para que elabore la Minuta de Acuerdo correspondiente. </w:t>
      </w:r>
    </w:p>
    <w:p w14:paraId="16D81FCD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rFonts w:ascii="Century Gothic" w:eastAsia="Century Gothic" w:hAnsi="Century Gothic" w:cs="Century Gothic"/>
          <w:b/>
          <w:highlight w:val="white"/>
          <w:lang w:val="es-MX"/>
        </w:rPr>
      </w:pPr>
    </w:p>
    <w:p w14:paraId="7C48BBC2" w14:textId="519A5C45" w:rsidR="002D35D0" w:rsidRDefault="002D35D0" w:rsidP="002D3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rFonts w:ascii="Century Gothic" w:eastAsia="Century Gothic" w:hAnsi="Century Gothic" w:cs="Century Gothic"/>
          <w:color w:val="000000"/>
          <w:highlight w:val="white"/>
          <w:lang w:val="es-MX"/>
        </w:rPr>
      </w:pPr>
      <w:r w:rsidRPr="001201EE">
        <w:rPr>
          <w:rFonts w:ascii="Century Gothic" w:eastAsia="Century Gothic" w:hAnsi="Century Gothic" w:cs="Century Gothic"/>
          <w:b/>
          <w:color w:val="000000"/>
          <w:highlight w:val="white"/>
          <w:lang w:val="es-MX"/>
        </w:rPr>
        <w:t>DADO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en el Salón de Sesiones del Poder Legislativo, en la ciudad de Chihuahua, a los </w:t>
      </w:r>
      <w:r>
        <w:rPr>
          <w:rFonts w:ascii="Century Gothic" w:eastAsia="Century Gothic" w:hAnsi="Century Gothic" w:cs="Century Gothic"/>
          <w:color w:val="000000"/>
          <w:highlight w:val="white"/>
          <w:lang w:val="es-MX"/>
        </w:rPr>
        <w:t>1</w:t>
      </w:r>
      <w:r w:rsidR="0005636B">
        <w:rPr>
          <w:rFonts w:ascii="Century Gothic" w:eastAsia="Century Gothic" w:hAnsi="Century Gothic" w:cs="Century Gothic"/>
          <w:color w:val="000000"/>
          <w:highlight w:val="white"/>
          <w:lang w:val="es-MX"/>
        </w:rPr>
        <w:t>2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días del mes</w:t>
      </w:r>
      <w:r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de marzo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 de 202</w:t>
      </w:r>
      <w:r>
        <w:rPr>
          <w:rFonts w:ascii="Century Gothic" w:eastAsia="Century Gothic" w:hAnsi="Century Gothic" w:cs="Century Gothic"/>
          <w:color w:val="000000"/>
          <w:highlight w:val="white"/>
          <w:lang w:val="es-MX"/>
        </w:rPr>
        <w:t>6</w:t>
      </w:r>
      <w:r w:rsidRPr="001201EE">
        <w:rPr>
          <w:rFonts w:ascii="Century Gothic" w:eastAsia="Century Gothic" w:hAnsi="Century Gothic" w:cs="Century Gothic"/>
          <w:color w:val="000000"/>
          <w:highlight w:val="white"/>
          <w:lang w:val="es-MX"/>
        </w:rPr>
        <w:t xml:space="preserve">. </w:t>
      </w:r>
    </w:p>
    <w:p w14:paraId="03650C0D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rFonts w:ascii="Century Gothic" w:eastAsia="Century Gothic" w:hAnsi="Century Gothic" w:cs="Century Gothic"/>
          <w:color w:val="000000"/>
          <w:highlight w:val="white"/>
          <w:lang w:val="es-MX"/>
        </w:rPr>
      </w:pPr>
    </w:p>
    <w:p w14:paraId="568BF0E4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line="360" w:lineRule="auto"/>
        <w:jc w:val="center"/>
        <w:rPr>
          <w:rFonts w:ascii="Century Gothic" w:eastAsia="Century Gothic" w:hAnsi="Century Gothic" w:cs="Century Gothic"/>
          <w:b/>
          <w:color w:val="000000"/>
          <w:lang w:val="es-MX"/>
        </w:rPr>
      </w:pPr>
      <w:r w:rsidRPr="001201EE">
        <w:rPr>
          <w:rFonts w:ascii="Century Gothic" w:eastAsia="Century Gothic" w:hAnsi="Century Gothic" w:cs="Century Gothic"/>
          <w:b/>
          <w:color w:val="000000"/>
          <w:lang w:val="es-MX"/>
        </w:rPr>
        <w:t xml:space="preserve">A T E N T A M E N T E </w:t>
      </w:r>
    </w:p>
    <w:p w14:paraId="51A52E13" w14:textId="3FE8A9A2" w:rsidR="002D35D0" w:rsidRDefault="002D35D0" w:rsidP="002D3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line="360" w:lineRule="auto"/>
        <w:jc w:val="center"/>
        <w:rPr>
          <w:rFonts w:ascii="Century Gothic" w:eastAsia="Century Gothic" w:hAnsi="Century Gothic" w:cs="Century Gothic"/>
          <w:b/>
          <w:color w:val="000000"/>
          <w:lang w:val="es-MX"/>
        </w:rPr>
      </w:pPr>
      <w:r w:rsidRPr="001201EE">
        <w:rPr>
          <w:rFonts w:ascii="Century Gothic" w:eastAsia="Century Gothic" w:hAnsi="Century Gothic" w:cs="Century Gothic"/>
          <w:b/>
          <w:color w:val="000000"/>
          <w:lang w:val="es-MX"/>
        </w:rPr>
        <w:t>GRUPO PARLAMENTARIO DEL PARTIDO ACCION NACIONAL</w:t>
      </w:r>
    </w:p>
    <w:p w14:paraId="5BC083D1" w14:textId="77777777" w:rsidR="002D35D0" w:rsidRDefault="002D35D0" w:rsidP="002D3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line="360" w:lineRule="auto"/>
        <w:jc w:val="center"/>
        <w:rPr>
          <w:rFonts w:ascii="Century Gothic" w:eastAsia="Century Gothic" w:hAnsi="Century Gothic" w:cs="Century Gothic"/>
          <w:b/>
          <w:color w:val="000000"/>
          <w:lang w:val="es-MX"/>
        </w:rPr>
      </w:pPr>
    </w:p>
    <w:p w14:paraId="48E5612C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line="360" w:lineRule="auto"/>
        <w:jc w:val="center"/>
        <w:rPr>
          <w:rFonts w:ascii="Century Gothic" w:eastAsia="Century Gothic" w:hAnsi="Century Gothic" w:cs="Century Gothic"/>
          <w:color w:val="000000"/>
          <w:lang w:val="es-MX"/>
        </w:rPr>
      </w:pPr>
    </w:p>
    <w:p w14:paraId="22CDBFC2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0000"/>
          <w:lang w:val="es-MX"/>
        </w:rPr>
      </w:pPr>
    </w:p>
    <w:p w14:paraId="4A424919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0000"/>
          <w:lang w:val="es-MX"/>
        </w:rPr>
      </w:pPr>
      <w:r>
        <w:rPr>
          <w:rFonts w:ascii="Century Gothic" w:eastAsia="Century Gothic" w:hAnsi="Century Gothic" w:cs="Century Gothic"/>
          <w:b/>
          <w:color w:val="000000"/>
          <w:lang w:val="es-MX"/>
        </w:rPr>
        <w:t>________________________________</w:t>
      </w:r>
    </w:p>
    <w:p w14:paraId="6BFB12D4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0000"/>
          <w:lang w:val="es-MX"/>
        </w:rPr>
      </w:pPr>
    </w:p>
    <w:p w14:paraId="1A0E4B8D" w14:textId="77777777" w:rsidR="002D35D0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360" w:lineRule="auto"/>
        <w:jc w:val="center"/>
        <w:rPr>
          <w:rFonts w:ascii="Century Gothic" w:eastAsia="Century Gothic" w:hAnsi="Century Gothic" w:cs="Century Gothic"/>
          <w:b/>
          <w:color w:val="000000"/>
          <w:highlight w:val="white"/>
          <w:lang w:val="es-MX"/>
        </w:rPr>
      </w:pPr>
      <w:r w:rsidRPr="001201EE">
        <w:rPr>
          <w:rFonts w:ascii="Century Gothic" w:eastAsia="Century Gothic" w:hAnsi="Century Gothic" w:cs="Century Gothic"/>
          <w:b/>
          <w:color w:val="000000"/>
          <w:highlight w:val="white"/>
          <w:lang w:val="es-MX"/>
        </w:rPr>
        <w:t xml:space="preserve">DIP. </w:t>
      </w:r>
      <w:r>
        <w:rPr>
          <w:rFonts w:ascii="Century Gothic" w:eastAsia="Century Gothic" w:hAnsi="Century Gothic" w:cs="Century Gothic"/>
          <w:b/>
          <w:color w:val="000000"/>
          <w:highlight w:val="white"/>
          <w:lang w:val="es-MX"/>
        </w:rPr>
        <w:t xml:space="preserve">JAIME TORRES AMAYA </w:t>
      </w:r>
    </w:p>
    <w:p w14:paraId="31750F81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360" w:lineRule="auto"/>
        <w:jc w:val="center"/>
        <w:rPr>
          <w:rFonts w:ascii="Century Gothic" w:eastAsia="Century Gothic" w:hAnsi="Century Gothic" w:cs="Century Gothic"/>
          <w:b/>
          <w:color w:val="000000"/>
          <w:highlight w:val="white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542"/>
      </w:tblGrid>
      <w:tr w:rsidR="002D35D0" w14:paraId="26777CD6" w14:textId="77777777" w:rsidTr="003F3BD3">
        <w:trPr>
          <w:trHeight w:val="929"/>
        </w:trPr>
        <w:tc>
          <w:tcPr>
            <w:tcW w:w="4296" w:type="dxa"/>
          </w:tcPr>
          <w:p w14:paraId="72E092F0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2C72018B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________________________________</w:t>
            </w:r>
          </w:p>
          <w:p w14:paraId="2CB1EAD1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DIP. JOSÉ ALFREDO CHÁVEZ MADRID</w:t>
            </w:r>
          </w:p>
          <w:p w14:paraId="408A2C0B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color w:val="000000"/>
                <w:lang w:val="es-MX"/>
              </w:rPr>
            </w:pPr>
          </w:p>
        </w:tc>
        <w:tc>
          <w:tcPr>
            <w:tcW w:w="4542" w:type="dxa"/>
          </w:tcPr>
          <w:p w14:paraId="0FC86CDA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1704AC48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________________________________</w:t>
            </w:r>
          </w:p>
          <w:p w14:paraId="29520BC4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DIP. JORGE CARLOS</w:t>
            </w:r>
          </w:p>
          <w:p w14:paraId="4B9A2E3A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SOTO PRIETO</w:t>
            </w:r>
          </w:p>
          <w:p w14:paraId="74EC409B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color w:val="000000"/>
                <w:lang w:val="es-MX"/>
              </w:rPr>
            </w:pPr>
          </w:p>
        </w:tc>
      </w:tr>
      <w:tr w:rsidR="002D35D0" w14:paraId="3CA1BF04" w14:textId="77777777" w:rsidTr="003F3BD3">
        <w:tc>
          <w:tcPr>
            <w:tcW w:w="4296" w:type="dxa"/>
          </w:tcPr>
          <w:p w14:paraId="50FCE167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10600716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4EFC823A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________________________________</w:t>
            </w:r>
          </w:p>
          <w:p w14:paraId="481CBD7E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DIP. ARTURO ZUBIA</w:t>
            </w:r>
          </w:p>
          <w:p w14:paraId="119E5D1F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FERNÁNDEZ</w:t>
            </w:r>
          </w:p>
          <w:p w14:paraId="036739A5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color w:val="000000"/>
                <w:lang w:val="es-MX"/>
              </w:rPr>
            </w:pPr>
          </w:p>
        </w:tc>
        <w:tc>
          <w:tcPr>
            <w:tcW w:w="4542" w:type="dxa"/>
          </w:tcPr>
          <w:p w14:paraId="2A1B1814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6C778663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406B7CF9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_________________________________</w:t>
            </w:r>
          </w:p>
          <w:p w14:paraId="76A643C8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DIP. CARLOS ALFREDO OLSON SAN VICENTE</w:t>
            </w:r>
          </w:p>
          <w:p w14:paraId="63833C00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color w:val="000000"/>
                <w:lang w:val="es-MX"/>
              </w:rPr>
            </w:pPr>
          </w:p>
        </w:tc>
      </w:tr>
      <w:tr w:rsidR="002D35D0" w14:paraId="7F7CB86B" w14:textId="77777777" w:rsidTr="003F3BD3">
        <w:tc>
          <w:tcPr>
            <w:tcW w:w="4296" w:type="dxa"/>
          </w:tcPr>
          <w:p w14:paraId="2429CF53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730378F1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6743B4ED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2B80E036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0A26319E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________________________________</w:t>
            </w:r>
          </w:p>
          <w:p w14:paraId="764A1E23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DIP. EDNA XÓCHITL CONTRERAS</w:t>
            </w:r>
          </w:p>
          <w:p w14:paraId="14731735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HERRERA</w:t>
            </w:r>
          </w:p>
          <w:p w14:paraId="1E4E14B6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color w:val="000000"/>
                <w:lang w:val="es-MX"/>
              </w:rPr>
            </w:pPr>
          </w:p>
        </w:tc>
        <w:tc>
          <w:tcPr>
            <w:tcW w:w="4542" w:type="dxa"/>
          </w:tcPr>
          <w:p w14:paraId="347D5665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47683715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04160B08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5CB1E2AF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2F5236EE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__________________________________</w:t>
            </w:r>
          </w:p>
          <w:p w14:paraId="00121CC2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DIP. JOCELINE VEGA VARGAS</w:t>
            </w:r>
          </w:p>
          <w:p w14:paraId="51E5FF37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color w:val="000000"/>
                <w:lang w:val="es-MX"/>
              </w:rPr>
            </w:pPr>
          </w:p>
        </w:tc>
      </w:tr>
      <w:tr w:rsidR="002D35D0" w14:paraId="519DF65F" w14:textId="77777777" w:rsidTr="003F3BD3">
        <w:tc>
          <w:tcPr>
            <w:tcW w:w="4296" w:type="dxa"/>
          </w:tcPr>
          <w:p w14:paraId="6EBBEDBC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3A9C31B8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152C3364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5BBC4B1C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__________________________________</w:t>
            </w:r>
          </w:p>
          <w:p w14:paraId="619A4B75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DIP. ROBERTO MARCELINO CARREÓN HUITRÓN</w:t>
            </w:r>
          </w:p>
          <w:p w14:paraId="774DC2FC" w14:textId="77777777" w:rsidR="002D35D0" w:rsidRDefault="002D35D0" w:rsidP="003F3BD3">
            <w:pPr>
              <w:tabs>
                <w:tab w:val="left" w:pos="3281"/>
              </w:tabs>
              <w:jc w:val="center"/>
              <w:rPr>
                <w:color w:val="000000"/>
                <w:lang w:val="es-MX"/>
              </w:rPr>
            </w:pPr>
          </w:p>
        </w:tc>
        <w:tc>
          <w:tcPr>
            <w:tcW w:w="4542" w:type="dxa"/>
          </w:tcPr>
          <w:p w14:paraId="7D3E2492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540DEBF3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3521AD4F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680275FB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__________________________________</w:t>
            </w:r>
          </w:p>
          <w:p w14:paraId="4175068F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DIP. YESENIA GUADALUPE REYES CALZADÍAS</w:t>
            </w:r>
          </w:p>
          <w:p w14:paraId="418976C3" w14:textId="77777777" w:rsidR="002D35D0" w:rsidRDefault="002D35D0" w:rsidP="003F3BD3">
            <w:pPr>
              <w:tabs>
                <w:tab w:val="left" w:pos="6120"/>
              </w:tabs>
              <w:jc w:val="center"/>
              <w:rPr>
                <w:color w:val="000000"/>
                <w:lang w:val="es-MX"/>
              </w:rPr>
            </w:pPr>
          </w:p>
        </w:tc>
      </w:tr>
      <w:tr w:rsidR="002D35D0" w14:paraId="0AF56612" w14:textId="77777777" w:rsidTr="003F3BD3">
        <w:tc>
          <w:tcPr>
            <w:tcW w:w="4296" w:type="dxa"/>
          </w:tcPr>
          <w:p w14:paraId="34018B0E" w14:textId="038DCC36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71DFDA94" w14:textId="33D14AFD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7F36A30C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3A406B2F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545CAE68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029BBECD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__________________________________</w:t>
            </w:r>
          </w:p>
          <w:p w14:paraId="2BF36AFB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DIP. CARLA YAMILETH RIVAS MARTÍNEZ</w:t>
            </w:r>
          </w:p>
        </w:tc>
        <w:tc>
          <w:tcPr>
            <w:tcW w:w="4542" w:type="dxa"/>
          </w:tcPr>
          <w:p w14:paraId="345BF4FB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46D20AD7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02F6A2CA" w14:textId="6E1A0D13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78748CB5" w14:textId="2A46F0DE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7E934AE3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4ACFDA34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__________________________________</w:t>
            </w:r>
          </w:p>
          <w:p w14:paraId="22F2C6ED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DIP. NANCY JANETH F</w:t>
            </w:r>
            <w:r>
              <w:rPr>
                <w:rFonts w:ascii="Century Gothic" w:eastAsia="Century Gothic" w:hAnsi="Century Gothic" w:cs="Century Gothic"/>
                <w:b/>
                <w:lang w:val="es-MX"/>
              </w:rPr>
              <w:t xml:space="preserve">RIAS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lang w:val="es-MX"/>
              </w:rPr>
              <w:t>FRIAS</w:t>
            </w:r>
            <w:proofErr w:type="spellEnd"/>
          </w:p>
          <w:p w14:paraId="56C627E5" w14:textId="77777777" w:rsidR="002D35D0" w:rsidRDefault="002D35D0" w:rsidP="003F3BD3">
            <w:pPr>
              <w:tabs>
                <w:tab w:val="left" w:pos="6120"/>
              </w:tabs>
              <w:spacing w:after="160"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</w:tc>
      </w:tr>
      <w:tr w:rsidR="002D35D0" w14:paraId="115CB832" w14:textId="77777777" w:rsidTr="003F3BD3">
        <w:tc>
          <w:tcPr>
            <w:tcW w:w="4296" w:type="dxa"/>
          </w:tcPr>
          <w:p w14:paraId="035966E8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17CD85C3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42913526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57B0CC31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__________________________________</w:t>
            </w:r>
          </w:p>
          <w:p w14:paraId="34966864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DIP. SAÚL MIRELES CORRAL</w:t>
            </w:r>
          </w:p>
          <w:p w14:paraId="092F9016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color w:val="000000"/>
                <w:lang w:val="es-MX"/>
              </w:rPr>
            </w:pPr>
          </w:p>
        </w:tc>
        <w:tc>
          <w:tcPr>
            <w:tcW w:w="4542" w:type="dxa"/>
          </w:tcPr>
          <w:p w14:paraId="00B7419C" w14:textId="77777777" w:rsidR="002D35D0" w:rsidRDefault="002D35D0" w:rsidP="003F3BD3">
            <w:pPr>
              <w:tabs>
                <w:tab w:val="left" w:pos="6120"/>
              </w:tabs>
              <w:spacing w:line="360" w:lineRule="auto"/>
              <w:jc w:val="center"/>
              <w:rPr>
                <w:color w:val="000000"/>
                <w:lang w:val="es-MX"/>
              </w:rPr>
            </w:pPr>
          </w:p>
        </w:tc>
      </w:tr>
    </w:tbl>
    <w:p w14:paraId="2D130453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360" w:lineRule="auto"/>
        <w:jc w:val="both"/>
        <w:rPr>
          <w:rFonts w:ascii="Century Gothic" w:eastAsia="Century Gothic" w:hAnsi="Century Gothic" w:cs="Century Gothic"/>
          <w:lang w:val="es-MX"/>
        </w:rPr>
      </w:pPr>
    </w:p>
    <w:p w14:paraId="4D999EEF" w14:textId="77777777" w:rsidR="002D35D0" w:rsidRPr="001201EE" w:rsidRDefault="002D35D0" w:rsidP="002D35D0">
      <w:pPr>
        <w:tabs>
          <w:tab w:val="left" w:pos="6120"/>
        </w:tabs>
        <w:spacing w:after="160" w:line="432" w:lineRule="auto"/>
        <w:jc w:val="both"/>
        <w:rPr>
          <w:rFonts w:ascii="Century Gothic" w:eastAsia="Century Gothic" w:hAnsi="Century Gothic" w:cs="Century Gothic"/>
          <w:lang w:val="es-MX"/>
        </w:rPr>
      </w:pPr>
      <w:r w:rsidRPr="001201EE">
        <w:rPr>
          <w:rFonts w:ascii="Century Gothic" w:eastAsia="Century Gothic" w:hAnsi="Century Gothic" w:cs="Century Gothic"/>
          <w:lang w:val="es-MX"/>
        </w:rPr>
        <w:t>Estas páginas son utilizadas para la presentación de Proposición</w:t>
      </w:r>
      <w:r>
        <w:rPr>
          <w:rFonts w:ascii="Century Gothic" w:eastAsia="Century Gothic" w:hAnsi="Century Gothic" w:cs="Century Gothic"/>
          <w:lang w:val="es-MX"/>
        </w:rPr>
        <w:t xml:space="preserve"> </w:t>
      </w:r>
      <w:r w:rsidRPr="001201EE">
        <w:rPr>
          <w:rFonts w:ascii="Century Gothic" w:eastAsia="Century Gothic" w:hAnsi="Century Gothic" w:cs="Century Gothic"/>
          <w:lang w:val="es-MX"/>
        </w:rPr>
        <w:t>de Punto de Acuerdo a cargo del Grupo Parlamentario del Partido Acción Nacional.</w:t>
      </w:r>
    </w:p>
    <w:p w14:paraId="3B10DED9" w14:textId="5F635A10" w:rsidR="002365BA" w:rsidRPr="002D35D0" w:rsidRDefault="002365BA" w:rsidP="002D35D0"/>
    <w:sectPr w:rsidR="002365BA" w:rsidRPr="002D35D0" w:rsidSect="00014DF9">
      <w:headerReference w:type="default" r:id="rId29"/>
      <w:pgSz w:w="12240" w:h="15840"/>
      <w:pgMar w:top="2835" w:right="1701" w:bottom="1418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4F022" w14:textId="77777777" w:rsidR="003C2561" w:rsidRDefault="003C2561" w:rsidP="00EF385A">
      <w:r>
        <w:separator/>
      </w:r>
    </w:p>
  </w:endnote>
  <w:endnote w:type="continuationSeparator" w:id="0">
    <w:p w14:paraId="2405220D" w14:textId="77777777" w:rsidR="003C2561" w:rsidRDefault="003C2561" w:rsidP="00EF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4A54" w14:textId="77777777" w:rsidR="003C2561" w:rsidRDefault="003C2561" w:rsidP="00EF385A">
      <w:r>
        <w:separator/>
      </w:r>
    </w:p>
  </w:footnote>
  <w:footnote w:type="continuationSeparator" w:id="0">
    <w:p w14:paraId="6EF17CDC" w14:textId="77777777" w:rsidR="003C2561" w:rsidRDefault="003C2561" w:rsidP="00EF385A">
      <w:r>
        <w:continuationSeparator/>
      </w:r>
    </w:p>
  </w:footnote>
  <w:footnote w:id="1">
    <w:p w14:paraId="1973108E" w14:textId="77777777" w:rsidR="002D35D0" w:rsidRDefault="002D35D0" w:rsidP="002D35D0">
      <w:pPr>
        <w:pStyle w:val="Textonotapie"/>
      </w:pPr>
    </w:p>
    <w:p w14:paraId="6E4ECB95" w14:textId="77777777" w:rsidR="002D35D0" w:rsidRPr="00FF5F2A" w:rsidRDefault="002D35D0" w:rsidP="002D35D0">
      <w:pPr>
        <w:pStyle w:val="Textonotapie"/>
      </w:pPr>
      <w:r w:rsidRPr="00FF5F2A">
        <w:t>1.</w:t>
      </w:r>
      <w:r w:rsidRPr="00FF5F2A">
        <w:tab/>
        <w:t xml:space="preserve"> (La Escuela Es Nuestra Llega A los 84 Mil </w:t>
      </w:r>
      <w:proofErr w:type="spellStart"/>
      <w:r w:rsidRPr="00FF5F2A">
        <w:t>Mdp</w:t>
      </w:r>
      <w:proofErr w:type="spellEnd"/>
      <w:r w:rsidRPr="00FF5F2A">
        <w:t xml:space="preserve"> En el Sexenio, s. f.)</w:t>
      </w:r>
    </w:p>
  </w:footnote>
  <w:footnote w:id="2">
    <w:p w14:paraId="5FE51594" w14:textId="77777777" w:rsidR="002D35D0" w:rsidRPr="00FF5F2A" w:rsidRDefault="002D35D0" w:rsidP="002D35D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F5F2A">
        <w:rPr>
          <w:noProof/>
          <w:lang w:eastAsia="es-MX"/>
        </w:rPr>
        <w:drawing>
          <wp:inline distT="0" distB="0" distL="0" distR="0" wp14:anchorId="61445875" wp14:editId="1602710D">
            <wp:extent cx="5612130" cy="35052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3">
    <w:p w14:paraId="7279B1BE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sz w:val="18"/>
          <w:szCs w:val="18"/>
          <w:highlight w:val="white"/>
          <w:lang w:val="es-MX"/>
        </w:rPr>
      </w:pPr>
      <w:r>
        <w:rPr>
          <w:rStyle w:val="Refdenotaalpie"/>
        </w:rPr>
        <w:footnoteRef/>
      </w:r>
      <w:r w:rsidRPr="00FF5F2A">
        <w:rPr>
          <w:lang w:val="es-MX"/>
        </w:rPr>
        <w:t xml:space="preserve"> </w:t>
      </w:r>
      <w:r w:rsidRPr="001201EE">
        <w:rPr>
          <w:i/>
          <w:sz w:val="18"/>
          <w:szCs w:val="18"/>
          <w:highlight w:val="white"/>
          <w:lang w:val="es-MX"/>
        </w:rPr>
        <w:t xml:space="preserve">ACUERDO Número 13/06/24 Por el Que Se Modifican las Reglas de Operación del Programa la Escuela Es Nuestra Para el Ejercicio Fiscal 2024, Emitidas Mediante Diverso Número 17/12/23, Publicado el 27 de </w:t>
      </w:r>
      <w:proofErr w:type="gramStart"/>
      <w:r w:rsidRPr="001201EE">
        <w:rPr>
          <w:i/>
          <w:sz w:val="18"/>
          <w:szCs w:val="18"/>
          <w:highlight w:val="white"/>
          <w:lang w:val="es-MX"/>
        </w:rPr>
        <w:t>Diciembre</w:t>
      </w:r>
      <w:proofErr w:type="gramEnd"/>
      <w:r w:rsidRPr="001201EE">
        <w:rPr>
          <w:i/>
          <w:sz w:val="18"/>
          <w:szCs w:val="18"/>
          <w:highlight w:val="white"/>
          <w:lang w:val="es-MX"/>
        </w:rPr>
        <w:t xml:space="preserve"> de 2023.</w:t>
      </w:r>
      <w:r w:rsidRPr="001201EE">
        <w:rPr>
          <w:sz w:val="18"/>
          <w:szCs w:val="18"/>
          <w:highlight w:val="white"/>
          <w:lang w:val="es-MX"/>
        </w:rPr>
        <w:t>, 2023)</w:t>
      </w:r>
    </w:p>
    <w:p w14:paraId="41A4C434" w14:textId="77777777" w:rsidR="002D35D0" w:rsidRPr="00FF5F2A" w:rsidRDefault="002D35D0" w:rsidP="002D35D0">
      <w:pPr>
        <w:pStyle w:val="Textonotapie"/>
      </w:pPr>
    </w:p>
  </w:footnote>
  <w:footnote w:id="4">
    <w:p w14:paraId="6907D43B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sz w:val="18"/>
          <w:szCs w:val="18"/>
          <w:highlight w:val="white"/>
          <w:lang w:val="es-MX"/>
        </w:rPr>
      </w:pPr>
      <w:r>
        <w:rPr>
          <w:rStyle w:val="Refdenotaalpie"/>
        </w:rPr>
        <w:footnoteRef/>
      </w:r>
      <w:r w:rsidRPr="00FF5F2A">
        <w:rPr>
          <w:lang w:val="es-MX"/>
        </w:rPr>
        <w:t xml:space="preserve"> </w:t>
      </w:r>
      <w:r w:rsidRPr="001201EE">
        <w:rPr>
          <w:i/>
          <w:sz w:val="18"/>
          <w:szCs w:val="18"/>
          <w:highlight w:val="white"/>
          <w:lang w:val="es-MX"/>
        </w:rPr>
        <w:t xml:space="preserve">ACUERDO Número 13/06/24 Por el Que Se Modifican las Reglas de Operación del Programa la Escuela Es Nuestra Para el Ejercicio Fiscal 2024, Emitidas Mediante Diverso Número 17/12/23, Publicado el 27 de </w:t>
      </w:r>
      <w:proofErr w:type="gramStart"/>
      <w:r w:rsidRPr="001201EE">
        <w:rPr>
          <w:i/>
          <w:sz w:val="18"/>
          <w:szCs w:val="18"/>
          <w:highlight w:val="white"/>
          <w:lang w:val="es-MX"/>
        </w:rPr>
        <w:t>Diciembre</w:t>
      </w:r>
      <w:proofErr w:type="gramEnd"/>
      <w:r w:rsidRPr="001201EE">
        <w:rPr>
          <w:i/>
          <w:sz w:val="18"/>
          <w:szCs w:val="18"/>
          <w:highlight w:val="white"/>
          <w:lang w:val="es-MX"/>
        </w:rPr>
        <w:t xml:space="preserve"> de 2023.</w:t>
      </w:r>
      <w:r w:rsidRPr="001201EE">
        <w:rPr>
          <w:sz w:val="18"/>
          <w:szCs w:val="18"/>
          <w:highlight w:val="white"/>
          <w:lang w:val="es-MX"/>
        </w:rPr>
        <w:t>, 2023)</w:t>
      </w:r>
    </w:p>
    <w:p w14:paraId="6C65D75D" w14:textId="77777777" w:rsidR="002D35D0" w:rsidRPr="00FF5F2A" w:rsidRDefault="002D35D0" w:rsidP="002D35D0">
      <w:pPr>
        <w:pStyle w:val="Textonotapie"/>
      </w:pPr>
    </w:p>
  </w:footnote>
  <w:footnote w:id="5">
    <w:p w14:paraId="1A03F543" w14:textId="77777777" w:rsidR="002D35D0" w:rsidRPr="00FF5F2A" w:rsidRDefault="002D35D0" w:rsidP="002D35D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201EE">
        <w:rPr>
          <w:sz w:val="16"/>
          <w:szCs w:val="16"/>
          <w:highlight w:val="white"/>
        </w:rPr>
        <w:t>(«Auditoría de Cumplimiento: 2020-0-11100-19-0124-2021 124-DS», 2021)</w:t>
      </w:r>
    </w:p>
  </w:footnote>
  <w:footnote w:id="6">
    <w:p w14:paraId="24E4C32A" w14:textId="77777777" w:rsidR="002D35D0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</w:pPr>
    </w:p>
    <w:p w14:paraId="771FE218" w14:textId="77777777" w:rsidR="002D35D0" w:rsidRPr="00FF5F2A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sz w:val="16"/>
          <w:szCs w:val="16"/>
          <w:highlight w:val="white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1201EE">
        <w:rPr>
          <w:sz w:val="16"/>
          <w:szCs w:val="16"/>
          <w:highlight w:val="white"/>
          <w:lang w:val="es-MX"/>
        </w:rPr>
        <w:t xml:space="preserve">(«Auditoría de Desempeño: 2021-0-11100-07-0265-2022», 2022)   </w:t>
      </w:r>
    </w:p>
  </w:footnote>
  <w:footnote w:id="7">
    <w:p w14:paraId="1D31A9A2" w14:textId="77777777" w:rsidR="002D35D0" w:rsidRPr="00FF5F2A" w:rsidRDefault="002D35D0" w:rsidP="002D35D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201EE">
        <w:rPr>
          <w:sz w:val="16"/>
          <w:szCs w:val="16"/>
          <w:highlight w:val="white"/>
        </w:rPr>
        <w:t>(Wong, 2022)</w:t>
      </w:r>
    </w:p>
  </w:footnote>
  <w:footnote w:id="8">
    <w:p w14:paraId="15456985" w14:textId="77777777" w:rsidR="002D35D0" w:rsidRPr="00FF5F2A" w:rsidRDefault="002D35D0" w:rsidP="002D35D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201EE">
        <w:rPr>
          <w:sz w:val="16"/>
          <w:szCs w:val="16"/>
          <w:highlight w:val="white"/>
        </w:rPr>
        <w:t>(Wong, 2022)</w:t>
      </w:r>
    </w:p>
  </w:footnote>
  <w:footnote w:id="9">
    <w:p w14:paraId="22EDD99A" w14:textId="77777777" w:rsidR="002D35D0" w:rsidRPr="00FA4952" w:rsidRDefault="002D35D0" w:rsidP="002D35D0">
      <w:pPr>
        <w:pStyle w:val="Textonotapie"/>
      </w:pPr>
    </w:p>
  </w:footnote>
  <w:footnote w:id="10">
    <w:p w14:paraId="19C1AAF6" w14:textId="77777777" w:rsidR="002D35D0" w:rsidRPr="001201EE" w:rsidRDefault="002D35D0" w:rsidP="002D35D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line="360" w:lineRule="auto"/>
        <w:jc w:val="both"/>
        <w:rPr>
          <w:sz w:val="16"/>
          <w:szCs w:val="16"/>
          <w:highlight w:val="white"/>
          <w:lang w:val="es-MX"/>
        </w:rPr>
      </w:pPr>
      <w:r>
        <w:rPr>
          <w:rStyle w:val="Refdenotaalpie"/>
        </w:rPr>
        <w:footnoteRef/>
      </w:r>
      <w:r w:rsidRPr="00FF5F2A">
        <w:rPr>
          <w:lang w:val="es-MX"/>
        </w:rPr>
        <w:t xml:space="preserve"> </w:t>
      </w:r>
      <w:r w:rsidRPr="001201EE">
        <w:rPr>
          <w:sz w:val="16"/>
          <w:szCs w:val="16"/>
          <w:highlight w:val="white"/>
          <w:lang w:val="es-MX"/>
        </w:rPr>
        <w:t xml:space="preserve">(«Fichas de Monitoreo y </w:t>
      </w:r>
      <w:proofErr w:type="spellStart"/>
      <w:r w:rsidRPr="001201EE">
        <w:rPr>
          <w:sz w:val="16"/>
          <w:szCs w:val="16"/>
          <w:highlight w:val="white"/>
          <w:lang w:val="es-MX"/>
        </w:rPr>
        <w:t>Evaluacion</w:t>
      </w:r>
      <w:proofErr w:type="spellEnd"/>
      <w:r w:rsidRPr="001201EE">
        <w:rPr>
          <w:sz w:val="16"/>
          <w:szCs w:val="16"/>
          <w:highlight w:val="white"/>
          <w:lang w:val="es-MX"/>
        </w:rPr>
        <w:t xml:space="preserve"> 2021 y 2022 de los Programas y Acciones Federales de Desarrollo Social», 2023)</w:t>
      </w:r>
    </w:p>
    <w:p w14:paraId="35C853D1" w14:textId="77777777" w:rsidR="002D35D0" w:rsidRPr="00FF5F2A" w:rsidRDefault="002D35D0" w:rsidP="002D35D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A7BD" w14:textId="77777777" w:rsidR="00091752" w:rsidRDefault="00091752" w:rsidP="00091752">
    <w:pPr>
      <w:pStyle w:val="Encabezado"/>
    </w:pPr>
  </w:p>
  <w:p w14:paraId="1349DBEE" w14:textId="3E667783" w:rsidR="00091752" w:rsidRDefault="00091752" w:rsidP="00091752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1386F675" wp14:editId="3BA9946F">
              <wp:simplePos x="0" y="0"/>
              <wp:positionH relativeFrom="column">
                <wp:posOffset>1630018</wp:posOffset>
              </wp:positionH>
              <wp:positionV relativeFrom="paragraph">
                <wp:posOffset>-32440</wp:posOffset>
              </wp:positionV>
              <wp:extent cx="4255135" cy="481555"/>
              <wp:effectExtent l="0" t="0" r="0" b="127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5135" cy="481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C1650B" w14:textId="77777777" w:rsidR="00091752" w:rsidRDefault="00091752" w:rsidP="00091752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i/>
                              <w:color w:val="000000"/>
                              <w:sz w:val="20"/>
                            </w:rPr>
                            <w:t>“2026, Año del Bicentenario de Abolición de la Esclavitud en el Estado de Chihuahua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i/>
                              <w:color w:val="000000"/>
                              <w:sz w:val="28"/>
                            </w:rPr>
                            <w:t xml:space="preserve">”                                                                 </w:t>
                          </w:r>
                        </w:p>
                        <w:p w14:paraId="314E2D64" w14:textId="77777777" w:rsidR="00091752" w:rsidRDefault="00091752" w:rsidP="0009175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86F675" id="Rectángulo 2" o:spid="_x0000_s1026" style="position:absolute;margin-left:128.35pt;margin-top:-2.55pt;width:335.05pt;height:37.9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" stroked="f">
              <v:textbox inset="2.53958mm,1.2694mm,2.53958mm,1.2694mm">
                <w:txbxContent>
                  <w:p w14:paraId="57C1650B" w14:textId="77777777" w:rsidR="00091752" w:rsidRDefault="00091752" w:rsidP="00091752">
                    <w:pPr>
                      <w:jc w:val="right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i/>
                        <w:color w:val="000000"/>
                        <w:sz w:val="20"/>
                      </w:rPr>
                      <w:t>“2026, Año del Bicentenario de Abolición de la Esclavitud en el Estado de Chihuahua</w:t>
                    </w:r>
                    <w:r>
                      <w:rPr>
                        <w:rFonts w:ascii="Century Gothic" w:eastAsia="Century Gothic" w:hAnsi="Century Gothic" w:cs="Century Gothic"/>
                        <w:b/>
                        <w:i/>
                        <w:color w:val="000000"/>
                        <w:sz w:val="28"/>
                      </w:rPr>
                      <w:t xml:space="preserve">”                                                                 </w:t>
                    </w:r>
                  </w:p>
                  <w:p w14:paraId="314E2D64" w14:textId="77777777" w:rsidR="00091752" w:rsidRDefault="00091752" w:rsidP="00091752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ptab w:relativeTo="margin" w:alignment="center" w:leader="none"/>
    </w:r>
    <w:r>
      <w:rPr>
        <w:noProof/>
      </w:rPr>
      <w:drawing>
        <wp:anchor distT="0" distB="0" distL="114300" distR="114300" simplePos="0" relativeHeight="251661312" behindDoc="0" locked="0" layoutInCell="1" allowOverlap="1" wp14:anchorId="73B04D6C" wp14:editId="4D97260A">
          <wp:simplePos x="0" y="0"/>
          <wp:positionH relativeFrom="column">
            <wp:posOffset>4187433</wp:posOffset>
          </wp:positionH>
          <wp:positionV relativeFrom="paragraph">
            <wp:posOffset>563245</wp:posOffset>
          </wp:positionV>
          <wp:extent cx="1760102" cy="867149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102" cy="8671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A9B2693" wp14:editId="6D23A02E">
          <wp:simplePos x="0" y="0"/>
          <wp:positionH relativeFrom="margin">
            <wp:align>left</wp:align>
          </wp:positionH>
          <wp:positionV relativeFrom="paragraph">
            <wp:posOffset>36195</wp:posOffset>
          </wp:positionV>
          <wp:extent cx="1485900" cy="146685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1466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0AC4E931" wp14:editId="3F32C69B">
          <wp:simplePos x="0" y="0"/>
          <wp:positionH relativeFrom="column">
            <wp:posOffset>1602105</wp:posOffset>
          </wp:positionH>
          <wp:positionV relativeFrom="paragraph">
            <wp:posOffset>476885</wp:posOffset>
          </wp:positionV>
          <wp:extent cx="4346575" cy="3683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6575" cy="36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B670BC" w14:textId="03FB0BAC" w:rsidR="00EF385A" w:rsidRDefault="00EF385A" w:rsidP="00EF385A">
    <w:pPr>
      <w:pStyle w:val="NormalWeb"/>
      <w:jc w:val="right"/>
    </w:pPr>
  </w:p>
  <w:p w14:paraId="63CF6A2D" w14:textId="77777777" w:rsidR="00EF385A" w:rsidRDefault="00EF38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110BF"/>
    <w:multiLevelType w:val="multilevel"/>
    <w:tmpl w:val="452A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90C14"/>
    <w:multiLevelType w:val="multilevel"/>
    <w:tmpl w:val="336C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5A"/>
    <w:rsid w:val="00014DF9"/>
    <w:rsid w:val="00020848"/>
    <w:rsid w:val="00022C00"/>
    <w:rsid w:val="00040F6A"/>
    <w:rsid w:val="0005636B"/>
    <w:rsid w:val="00091752"/>
    <w:rsid w:val="00125BFE"/>
    <w:rsid w:val="00157F7B"/>
    <w:rsid w:val="002365BA"/>
    <w:rsid w:val="00245CC2"/>
    <w:rsid w:val="00266742"/>
    <w:rsid w:val="00282017"/>
    <w:rsid w:val="002D35D0"/>
    <w:rsid w:val="00300F08"/>
    <w:rsid w:val="00381086"/>
    <w:rsid w:val="003C2561"/>
    <w:rsid w:val="004F1D43"/>
    <w:rsid w:val="00525299"/>
    <w:rsid w:val="00546B2F"/>
    <w:rsid w:val="005A1631"/>
    <w:rsid w:val="005C3FFC"/>
    <w:rsid w:val="006976D2"/>
    <w:rsid w:val="006A7FC7"/>
    <w:rsid w:val="007942DE"/>
    <w:rsid w:val="00797AD1"/>
    <w:rsid w:val="007E5CAD"/>
    <w:rsid w:val="00820EF4"/>
    <w:rsid w:val="008472C1"/>
    <w:rsid w:val="008B6E38"/>
    <w:rsid w:val="00975FB6"/>
    <w:rsid w:val="009A77B1"/>
    <w:rsid w:val="00A4630E"/>
    <w:rsid w:val="00A50771"/>
    <w:rsid w:val="00A8615A"/>
    <w:rsid w:val="00B17053"/>
    <w:rsid w:val="00C95457"/>
    <w:rsid w:val="00C97BDF"/>
    <w:rsid w:val="00D7618B"/>
    <w:rsid w:val="00DA37A1"/>
    <w:rsid w:val="00DF33BB"/>
    <w:rsid w:val="00E20966"/>
    <w:rsid w:val="00E64A15"/>
    <w:rsid w:val="00EA204B"/>
    <w:rsid w:val="00EC68C7"/>
    <w:rsid w:val="00EF385A"/>
    <w:rsid w:val="00F07513"/>
    <w:rsid w:val="00F97ECA"/>
    <w:rsid w:val="00FE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A89808"/>
  <w15:chartTrackingRefBased/>
  <w15:docId w15:val="{15D2AB87-AC4B-424B-9EF8-BED74E8E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385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F385A"/>
  </w:style>
  <w:style w:type="paragraph" w:styleId="Piedepgina">
    <w:name w:val="footer"/>
    <w:basedOn w:val="Normal"/>
    <w:link w:val="PiedepginaCar"/>
    <w:uiPriority w:val="99"/>
    <w:unhideWhenUsed/>
    <w:rsid w:val="00EF385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385A"/>
  </w:style>
  <w:style w:type="paragraph" w:styleId="NormalWeb">
    <w:name w:val="Normal (Web)"/>
    <w:basedOn w:val="Normal"/>
    <w:uiPriority w:val="99"/>
    <w:semiHidden/>
    <w:unhideWhenUsed/>
    <w:rsid w:val="00EF385A"/>
    <w:pPr>
      <w:spacing w:before="100" w:beforeAutospacing="1" w:after="100" w:afterAutospacing="1"/>
    </w:pPr>
    <w:rPr>
      <w:lang w:val="es-MX"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17053"/>
    <w:rPr>
      <w:rFonts w:asciiTheme="minorHAnsi" w:eastAsiaTheme="minorHAnsi" w:hAnsiTheme="minorHAnsi" w:cstheme="minorBidi"/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705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17053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2365BA"/>
    <w:rPr>
      <w:b/>
      <w:bCs/>
    </w:rPr>
  </w:style>
  <w:style w:type="table" w:styleId="Tablaconcuadrcula">
    <w:name w:val="Table Grid"/>
    <w:basedOn w:val="Tablanormal"/>
    <w:uiPriority w:val="39"/>
    <w:rsid w:val="00040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64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asparaelbienestar.gob.mx/la-escuela-es-nuestra-llega-a-los-84-mil-mdp-en-el-sexenio/" TargetMode="External"/><Relationship Id="rId13" Type="http://schemas.openxmlformats.org/officeDocument/2006/relationships/hyperlink" Target="https://animalpolitico.com/politica/escuela-es-nuestra-servidores-nacion-corrupcion" TargetMode="External"/><Relationship Id="rId18" Type="http://schemas.openxmlformats.org/officeDocument/2006/relationships/hyperlink" Target="https://dof.gob.mx/nota_detalle.php?codigo=5732732&amp;fecha=09/07/2024" TargetMode="External"/><Relationship Id="rId26" Type="http://schemas.openxmlformats.org/officeDocument/2006/relationships/hyperlink" Target="https://www.asf.gob.mx/Trans/Informes/IR2023c/Documentos/Auditorias/2023_0311_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sf.gob.mx/Trans/Informes/IR2020c/Documentos/Auditorias/2020_0124_a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nimalpolitico.com/politica/escuela-es-nuestra-servidores-nacion-corrupcion" TargetMode="External"/><Relationship Id="rId17" Type="http://schemas.openxmlformats.org/officeDocument/2006/relationships/hyperlink" Target="https://dof.gob.mx/nota_detalle.php?codigo=5732732&amp;fecha=09/07/2024" TargetMode="External"/><Relationship Id="rId25" Type="http://schemas.openxmlformats.org/officeDocument/2006/relationships/hyperlink" Target="https://www.milenio.com/politica/asf-reporta-irregularidades-en-la-escuela-es-nuest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f.gob.mx/nota_detalle.php?codigo=5732732&amp;fecha=09/07/2024" TargetMode="External"/><Relationship Id="rId20" Type="http://schemas.openxmlformats.org/officeDocument/2006/relationships/hyperlink" Target="https://www.dof.gob.mx/nota_detalle.php?codigo=5712643&amp;fecha=27/12/2023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imalpolitico.com/politica/escuela-es-nuestra-servidores-nacion-corrupcion" TargetMode="External"/><Relationship Id="rId24" Type="http://schemas.openxmlformats.org/officeDocument/2006/relationships/hyperlink" Target="https://www.milenio.com/politica/asf-reporta-irregularidades-en-la-escuela-es-nuest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imalpolitico.com/politica/escuela-es-nuestra-servidores-nacion-corrupcion" TargetMode="External"/><Relationship Id="rId23" Type="http://schemas.openxmlformats.org/officeDocument/2006/relationships/hyperlink" Target="https://www.milenio.com/politica/asf-reporta-irregularidades-en-la-escuela-es-nuestra" TargetMode="External"/><Relationship Id="rId28" Type="http://schemas.openxmlformats.org/officeDocument/2006/relationships/hyperlink" Target="https://www.coneval.org.mx/EvaluacionDS/Metodologia/Documents/FMyE_21-22.pdf" TargetMode="External"/><Relationship Id="rId10" Type="http://schemas.openxmlformats.org/officeDocument/2006/relationships/hyperlink" Target="https://programasparaelbienestar.gob.mx/la-escuela-es-nuestra-llega-a-los-84-mil-mdp-en-el-sexenio/" TargetMode="External"/><Relationship Id="rId19" Type="http://schemas.openxmlformats.org/officeDocument/2006/relationships/hyperlink" Target="https://www.dof.gob.mx/nota_detalle.php?codigo=5712643&amp;fecha=27/12/202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ogramasparaelbienestar.gob.mx/la-escuela-es-nuestra-llega-a-los-84-mil-mdp-en-el-sexenio/" TargetMode="External"/><Relationship Id="rId14" Type="http://schemas.openxmlformats.org/officeDocument/2006/relationships/hyperlink" Target="https://animalpolitico.com/politica/escuela-es-nuestra-servidores-nacion-corrupcion" TargetMode="External"/><Relationship Id="rId22" Type="http://schemas.openxmlformats.org/officeDocument/2006/relationships/hyperlink" Target="https://www.asf.gob.mx/Trans/Informes/IR2021c/Documentos/Auditorias/2021_0265_a.pdf" TargetMode="External"/><Relationship Id="rId27" Type="http://schemas.openxmlformats.org/officeDocument/2006/relationships/hyperlink" Target="https://www.coneval.org.mx/EvaluacionDS/Metodologia/Documents/FMyE_21-22.pdf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5C58A-FA42-4AA5-A31B-0876859F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1736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Rodriguez Vargas</dc:creator>
  <cp:keywords/>
  <dc:description/>
  <cp:lastModifiedBy>Andrea Daniela Flores Chacon</cp:lastModifiedBy>
  <cp:revision>2</cp:revision>
  <cp:lastPrinted>2026-01-12T17:03:00Z</cp:lastPrinted>
  <dcterms:created xsi:type="dcterms:W3CDTF">2026-03-11T19:17:00Z</dcterms:created>
  <dcterms:modified xsi:type="dcterms:W3CDTF">2026-03-11T19:17:00Z</dcterms:modified>
</cp:coreProperties>
</file>