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96AB" w14:textId="77777777" w:rsidR="00D34ADC" w:rsidRPr="00AF2899" w:rsidRDefault="00060CFA">
      <w:pPr>
        <w:spacing w:before="200" w:after="200" w:line="360" w:lineRule="auto"/>
        <w:jc w:val="both"/>
        <w:rPr>
          <w:rFonts w:ascii="Avenir Book" w:eastAsia="Montserrat" w:hAnsi="Avenir Book" w:cs="Montserrat"/>
          <w:b/>
          <w:sz w:val="26"/>
          <w:szCs w:val="26"/>
        </w:rPr>
      </w:pPr>
      <w:r w:rsidRPr="00AF2899">
        <w:rPr>
          <w:rFonts w:ascii="Avenir Book" w:eastAsia="Montserrat" w:hAnsi="Avenir Book" w:cs="Montserrat"/>
          <w:b/>
          <w:sz w:val="26"/>
          <w:szCs w:val="26"/>
        </w:rPr>
        <w:t>H. CONGRESO DEL ESTADO DE CHIHUAHUA</w:t>
      </w:r>
    </w:p>
    <w:p w14:paraId="43F8DD23" w14:textId="77777777" w:rsidR="00D34ADC" w:rsidRPr="00AF2899" w:rsidRDefault="00060CFA">
      <w:pPr>
        <w:spacing w:before="200" w:after="200" w:line="360" w:lineRule="auto"/>
        <w:jc w:val="both"/>
        <w:rPr>
          <w:rFonts w:ascii="Avenir Book" w:eastAsia="Montserrat" w:hAnsi="Avenir Book" w:cs="Montserrat"/>
          <w:b/>
          <w:sz w:val="26"/>
          <w:szCs w:val="26"/>
        </w:rPr>
      </w:pPr>
      <w:r w:rsidRPr="00AF2899">
        <w:rPr>
          <w:rFonts w:ascii="Avenir Book" w:eastAsia="Montserrat" w:hAnsi="Avenir Book" w:cs="Montserrat"/>
          <w:b/>
          <w:sz w:val="26"/>
          <w:szCs w:val="26"/>
        </w:rPr>
        <w:t>P R E S E N T E.-</w:t>
      </w:r>
    </w:p>
    <w:p w14:paraId="3D485857" w14:textId="77777777" w:rsidR="0008069D" w:rsidRPr="00901176" w:rsidRDefault="00060CFA" w:rsidP="00901176">
      <w:pPr>
        <w:spacing w:before="200" w:after="200" w:line="360" w:lineRule="auto"/>
        <w:ind w:firstLine="720"/>
        <w:jc w:val="both"/>
        <w:rPr>
          <w:rFonts w:ascii="Avenir Book" w:hAnsi="Avenir Book"/>
          <w:b/>
          <w:bCs/>
          <w:sz w:val="26"/>
          <w:szCs w:val="26"/>
          <w:highlight w:val="yellow"/>
        </w:rPr>
      </w:pPr>
      <w:r w:rsidRPr="00AF2899">
        <w:rPr>
          <w:rFonts w:ascii="Avenir Book" w:eastAsia="Montserrat" w:hAnsi="Avenir Book" w:cs="Montserrat"/>
          <w:b/>
          <w:sz w:val="26"/>
          <w:szCs w:val="26"/>
        </w:rPr>
        <w:t>ALMA YESENIA PORTILLO LERMA</w:t>
      </w:r>
      <w:r w:rsidR="00AF2899">
        <w:rPr>
          <w:rFonts w:ascii="Avenir Book" w:eastAsia="Montserrat" w:hAnsi="Avenir Book" w:cs="Montserrat"/>
          <w:b/>
          <w:sz w:val="26"/>
          <w:szCs w:val="26"/>
        </w:rPr>
        <w:t xml:space="preserve"> </w:t>
      </w:r>
      <w:r w:rsidRPr="00AF2899">
        <w:rPr>
          <w:rFonts w:ascii="Avenir Book" w:eastAsia="Montserrat" w:hAnsi="Avenir Book" w:cs="Montserrat"/>
          <w:sz w:val="26"/>
          <w:szCs w:val="26"/>
        </w:rPr>
        <w:t>en</w:t>
      </w:r>
      <w:r w:rsidR="004B1B22">
        <w:rPr>
          <w:rFonts w:ascii="Avenir Book" w:eastAsia="Montserrat" w:hAnsi="Avenir Book" w:cs="Montserrat"/>
          <w:sz w:val="26"/>
          <w:szCs w:val="26"/>
        </w:rPr>
        <w:t xml:space="preserve"> mi</w:t>
      </w:r>
      <w:r w:rsidRPr="00AF2899">
        <w:rPr>
          <w:rFonts w:ascii="Avenir Book" w:eastAsia="Montserrat" w:hAnsi="Avenir Book" w:cs="Montserrat"/>
          <w:sz w:val="26"/>
          <w:szCs w:val="26"/>
        </w:rPr>
        <w:t xml:space="preserve"> carácter de integrante</w:t>
      </w:r>
      <w:r w:rsidR="00D1151A">
        <w:rPr>
          <w:rFonts w:ascii="Avenir Book" w:eastAsia="Montserrat" w:hAnsi="Avenir Book" w:cs="Montserrat"/>
          <w:sz w:val="26"/>
          <w:szCs w:val="26"/>
        </w:rPr>
        <w:t xml:space="preserve"> </w:t>
      </w:r>
      <w:r w:rsidRPr="00AF2899">
        <w:rPr>
          <w:rFonts w:ascii="Avenir Book" w:eastAsia="Montserrat" w:hAnsi="Avenir Book" w:cs="Montserrat"/>
          <w:sz w:val="26"/>
          <w:szCs w:val="26"/>
        </w:rPr>
        <w:t>de la Fracción Parlamentaria de Movimiento Ciudadano de la Sexagésima Octava Legislatura y con fundamento en lo dispuesto en los artículos 71, fracción III de la Constitución Política de los Estados Unidos Mexicanos; 167, fracción I y 170 de la Ley Orgánic</w:t>
      </w:r>
      <w:r w:rsidRPr="00AF2899">
        <w:rPr>
          <w:rFonts w:ascii="Avenir Book" w:eastAsia="Montserrat" w:hAnsi="Avenir Book" w:cs="Montserrat"/>
          <w:sz w:val="26"/>
          <w:szCs w:val="26"/>
        </w:rPr>
        <w:t xml:space="preserve">a del Poder Legislativo del Estado de Chihuahua, así como en los artículos 75 y 76 del Reglamento Interior y de Prácticas Parlamentarias del </w:t>
      </w:r>
      <w:r w:rsidRPr="004D3DFB">
        <w:rPr>
          <w:rFonts w:ascii="Avenir Book" w:eastAsia="Montserrat" w:hAnsi="Avenir Book" w:cs="Montserrat"/>
          <w:sz w:val="26"/>
          <w:szCs w:val="26"/>
        </w:rPr>
        <w:t>Poder Legislativo, compare</w:t>
      </w:r>
      <w:r w:rsidR="004B1B22">
        <w:rPr>
          <w:rFonts w:ascii="Avenir Book" w:eastAsia="Montserrat" w:hAnsi="Avenir Book" w:cs="Montserrat"/>
          <w:sz w:val="26"/>
          <w:szCs w:val="26"/>
        </w:rPr>
        <w:t>zco</w:t>
      </w:r>
      <w:r w:rsidRPr="004D3DFB">
        <w:rPr>
          <w:rFonts w:ascii="Avenir Book" w:eastAsia="Montserrat" w:hAnsi="Avenir Book" w:cs="Montserrat"/>
          <w:sz w:val="26"/>
          <w:szCs w:val="26"/>
        </w:rPr>
        <w:t xml:space="preserve"> ante esta Honorable Representación Popular </w:t>
      </w:r>
      <w:r w:rsidR="00901176">
        <w:rPr>
          <w:rFonts w:ascii="Avenir Book" w:eastAsia="Montserrat" w:hAnsi="Avenir Book" w:cs="Montserrat"/>
          <w:sz w:val="26"/>
          <w:szCs w:val="26"/>
        </w:rPr>
        <w:t xml:space="preserve">con el fin de </w:t>
      </w:r>
      <w:r w:rsidRPr="004D3DFB">
        <w:rPr>
          <w:rFonts w:ascii="Avenir Book" w:eastAsia="Montserrat" w:hAnsi="Avenir Book" w:cs="Montserrat"/>
          <w:sz w:val="26"/>
          <w:szCs w:val="26"/>
        </w:rPr>
        <w:t xml:space="preserve">presentar una </w:t>
      </w:r>
      <w:r w:rsidR="00901176" w:rsidRPr="00885F18">
        <w:rPr>
          <w:rFonts w:ascii="Avenir Book" w:hAnsi="Avenir Book"/>
          <w:b/>
          <w:bCs/>
          <w:sz w:val="26"/>
          <w:szCs w:val="26"/>
        </w:rPr>
        <w:t>INICIATIVA CON CARÁCTER DE DECRETO</w:t>
      </w:r>
      <w:r w:rsidR="00901176" w:rsidRPr="000657D5">
        <w:rPr>
          <w:rFonts w:ascii="Avenir Book" w:hAnsi="Avenir Book"/>
          <w:b/>
          <w:bCs/>
          <w:sz w:val="26"/>
          <w:szCs w:val="26"/>
        </w:rPr>
        <w:t xml:space="preserve"> </w:t>
      </w:r>
      <w:r w:rsidR="00901176" w:rsidRPr="00901176">
        <w:rPr>
          <w:rFonts w:ascii="Avenir Book" w:hAnsi="Avenir Book"/>
          <w:b/>
          <w:bCs/>
          <w:sz w:val="26"/>
          <w:szCs w:val="26"/>
        </w:rPr>
        <w:t xml:space="preserve">POR LA QUE SE ADICIONA </w:t>
      </w:r>
      <w:r w:rsidR="00901176" w:rsidRPr="000657D5">
        <w:rPr>
          <w:rFonts w:ascii="Avenir Book" w:hAnsi="Avenir Book"/>
          <w:b/>
          <w:bCs/>
          <w:sz w:val="26"/>
          <w:szCs w:val="26"/>
        </w:rPr>
        <w:t>EL</w:t>
      </w:r>
      <w:r w:rsidR="00901176" w:rsidRPr="00901176">
        <w:rPr>
          <w:rFonts w:ascii="Avenir Book" w:hAnsi="Avenir Book"/>
          <w:b/>
          <w:bCs/>
          <w:sz w:val="26"/>
          <w:szCs w:val="26"/>
        </w:rPr>
        <w:t xml:space="preserve"> ARTÍCULO 356 BIS AL CÓDIGO PENAL DEL ESTADO DE CHIHUAHUA, EN MATERIA DE DELITOS AMBIENTALES, PARA SANCIONAR LA AFECTACIÓN AL RECURSO HÍDRICO POR ACCIÓN U OMISIÓN DE SERVIDORES PÚBLICOS</w:t>
      </w:r>
      <w:r w:rsidR="0008069D" w:rsidRPr="000657D5">
        <w:rPr>
          <w:rStyle w:val="Textoennegrita"/>
          <w:rFonts w:ascii="Avenir Book" w:hAnsi="Avenir Book"/>
          <w:sz w:val="26"/>
          <w:szCs w:val="26"/>
        </w:rPr>
        <w:t>;</w:t>
      </w:r>
      <w:r w:rsidR="0008069D">
        <w:rPr>
          <w:rStyle w:val="Textoennegrita"/>
          <w:rFonts w:ascii="Avenir Book" w:hAnsi="Avenir Book"/>
          <w:sz w:val="26"/>
          <w:szCs w:val="26"/>
        </w:rPr>
        <w:t xml:space="preserve"> </w:t>
      </w:r>
      <w:r w:rsidR="0008069D" w:rsidRPr="00AF2899">
        <w:rPr>
          <w:rFonts w:ascii="Avenir Book" w:eastAsia="Montserrat" w:hAnsi="Avenir Book" w:cs="Montserrat"/>
          <w:sz w:val="26"/>
          <w:szCs w:val="26"/>
        </w:rPr>
        <w:t>de conformidad con l</w:t>
      </w:r>
      <w:r w:rsidR="00901176">
        <w:rPr>
          <w:rFonts w:ascii="Avenir Book" w:eastAsia="Montserrat" w:hAnsi="Avenir Book" w:cs="Montserrat"/>
          <w:sz w:val="26"/>
          <w:szCs w:val="26"/>
        </w:rPr>
        <w:t>a</w:t>
      </w:r>
      <w:r w:rsidR="0008069D" w:rsidRPr="00AF2899">
        <w:rPr>
          <w:rFonts w:ascii="Avenir Book" w:eastAsia="Montserrat" w:hAnsi="Avenir Book" w:cs="Montserrat"/>
          <w:sz w:val="26"/>
          <w:szCs w:val="26"/>
        </w:rPr>
        <w:t xml:space="preserve"> siguiente:</w:t>
      </w:r>
    </w:p>
    <w:p w14:paraId="1B71C62B" w14:textId="77777777" w:rsidR="00D34ADC" w:rsidRPr="00AF2899" w:rsidRDefault="00060CFA" w:rsidP="0008069D">
      <w:pPr>
        <w:spacing w:before="200" w:after="200" w:line="360" w:lineRule="auto"/>
        <w:jc w:val="center"/>
        <w:rPr>
          <w:rFonts w:ascii="Avenir Book" w:eastAsia="Montserrat" w:hAnsi="Avenir Book" w:cs="Montserrat"/>
          <w:b/>
          <w:sz w:val="26"/>
          <w:szCs w:val="26"/>
        </w:rPr>
      </w:pPr>
      <w:r w:rsidRPr="00AF2899">
        <w:rPr>
          <w:rFonts w:ascii="Avenir Book" w:eastAsia="Montserrat" w:hAnsi="Avenir Book" w:cs="Montserrat"/>
          <w:b/>
          <w:sz w:val="26"/>
          <w:szCs w:val="26"/>
        </w:rPr>
        <w:t>EXPOSICIÓN DE MOTIVOS:</w:t>
      </w:r>
    </w:p>
    <w:p w14:paraId="76CC1AD0" w14:textId="77777777" w:rsidR="00901176" w:rsidRPr="00901176" w:rsidRDefault="00AF2899" w:rsidP="00901176">
      <w:pPr>
        <w:pStyle w:val="NormalWeb"/>
        <w:spacing w:line="360" w:lineRule="auto"/>
        <w:jc w:val="both"/>
        <w:rPr>
          <w:rFonts w:ascii="Avenir Book" w:hAnsi="Avenir Book"/>
          <w:sz w:val="26"/>
          <w:szCs w:val="26"/>
        </w:rPr>
      </w:pPr>
      <w:r w:rsidRPr="000E6C24">
        <w:rPr>
          <w:rFonts w:ascii="Avenir Book" w:hAnsi="Avenir Book"/>
          <w:b/>
          <w:bCs/>
          <w:sz w:val="26"/>
          <w:szCs w:val="26"/>
        </w:rPr>
        <w:t>1.-</w:t>
      </w:r>
      <w:r>
        <w:rPr>
          <w:rFonts w:ascii="Avenir Book" w:hAnsi="Avenir Book"/>
          <w:sz w:val="26"/>
          <w:szCs w:val="26"/>
        </w:rPr>
        <w:t xml:space="preserve"> </w:t>
      </w:r>
      <w:r w:rsidR="00901176" w:rsidRPr="00901176">
        <w:rPr>
          <w:rFonts w:ascii="Avenir Book" w:hAnsi="Avenir Book"/>
          <w:sz w:val="26"/>
          <w:szCs w:val="26"/>
        </w:rPr>
        <w:t>El agua no constituye únicamente un recurso natural sujeto a criterios de disponibilidad o aprovechamiento económico, sino que es un derecho humano fundamental, reconocido expresamente en el artículo 4°, párrafo sexto, de la Constitución Política de los Estados Unidos Mexicanos</w:t>
      </w:r>
      <w:r w:rsidR="00901176">
        <w:rPr>
          <w:rStyle w:val="Refdenotaalpie"/>
          <w:rFonts w:ascii="Avenir Book" w:hAnsi="Avenir Book"/>
          <w:sz w:val="26"/>
          <w:szCs w:val="26"/>
        </w:rPr>
        <w:footnoteReference w:id="1"/>
      </w:r>
      <w:r w:rsidR="00901176" w:rsidRPr="00901176">
        <w:rPr>
          <w:rFonts w:ascii="Avenir Book" w:hAnsi="Avenir Book"/>
          <w:sz w:val="26"/>
          <w:szCs w:val="26"/>
        </w:rPr>
        <w:t>, el cual establece:</w:t>
      </w:r>
    </w:p>
    <w:p w14:paraId="0F2D8A70" w14:textId="77777777" w:rsidR="00901176" w:rsidRPr="00901176" w:rsidRDefault="00901176" w:rsidP="00901176">
      <w:pPr>
        <w:pStyle w:val="NormalWeb"/>
        <w:spacing w:line="360" w:lineRule="auto"/>
        <w:jc w:val="both"/>
        <w:rPr>
          <w:rFonts w:ascii="Avenir Book" w:hAnsi="Avenir Book"/>
          <w:sz w:val="26"/>
          <w:szCs w:val="26"/>
        </w:rPr>
      </w:pPr>
      <w:r w:rsidRPr="00901176">
        <w:rPr>
          <w:rFonts w:ascii="Avenir Book" w:hAnsi="Avenir Book"/>
          <w:i/>
          <w:iCs/>
          <w:sz w:val="26"/>
          <w:szCs w:val="26"/>
        </w:rPr>
        <w:t>“Toda persona tiene derecho al acceso, disposición y saneamiento de agua para consumo personal y doméstico en forma suficiente, salubre, aceptable y asequible.”</w:t>
      </w:r>
      <w:r>
        <w:rPr>
          <w:rFonts w:ascii="Avenir Book" w:hAnsi="Avenir Book"/>
          <w:i/>
          <w:iCs/>
          <w:sz w:val="26"/>
          <w:szCs w:val="26"/>
        </w:rPr>
        <w:t xml:space="preserve"> </w:t>
      </w:r>
    </w:p>
    <w:p w14:paraId="61249B50" w14:textId="77777777" w:rsidR="00901176" w:rsidRPr="00901176" w:rsidRDefault="00901176" w:rsidP="00901176">
      <w:pPr>
        <w:pStyle w:val="NormalWeb"/>
        <w:spacing w:line="360" w:lineRule="auto"/>
        <w:jc w:val="both"/>
        <w:rPr>
          <w:rFonts w:ascii="Avenir Book" w:hAnsi="Avenir Book"/>
          <w:sz w:val="26"/>
          <w:szCs w:val="26"/>
        </w:rPr>
      </w:pPr>
      <w:r w:rsidRPr="00901176">
        <w:rPr>
          <w:rFonts w:ascii="Avenir Book" w:hAnsi="Avenir Book"/>
          <w:sz w:val="26"/>
          <w:szCs w:val="26"/>
        </w:rPr>
        <w:t>Este reconocimiento constitucional implica un cambio de paradigma: el agua deja de concebirse como un bien meramente administrativo o patrimonial del Estado</w:t>
      </w:r>
      <w:r>
        <w:rPr>
          <w:rStyle w:val="Refdenotaalpie"/>
          <w:rFonts w:ascii="Avenir Book" w:hAnsi="Avenir Book"/>
          <w:sz w:val="26"/>
          <w:szCs w:val="26"/>
        </w:rPr>
        <w:footnoteReference w:id="2"/>
      </w:r>
      <w:r w:rsidRPr="00901176">
        <w:rPr>
          <w:rFonts w:ascii="Avenir Book" w:hAnsi="Avenir Book"/>
          <w:sz w:val="26"/>
          <w:szCs w:val="26"/>
        </w:rPr>
        <w:t xml:space="preserve">, para asumirse como un elemento indispensable para el ejercicio de otros derechos </w:t>
      </w:r>
      <w:r w:rsidRPr="00901176">
        <w:rPr>
          <w:rFonts w:ascii="Avenir Book" w:hAnsi="Avenir Book"/>
          <w:sz w:val="26"/>
          <w:szCs w:val="26"/>
        </w:rPr>
        <w:lastRenderedPageBreak/>
        <w:t>fundamentales, tales como el derecho a la vida, a la salud, a la dignidad humana y al desarrollo integral de las personas.</w:t>
      </w:r>
      <w:r>
        <w:rPr>
          <w:rStyle w:val="Refdenotaalpie"/>
          <w:rFonts w:ascii="Avenir Book" w:hAnsi="Avenir Book"/>
          <w:sz w:val="26"/>
          <w:szCs w:val="26"/>
        </w:rPr>
        <w:footnoteReference w:id="3"/>
      </w:r>
    </w:p>
    <w:p w14:paraId="546747D8" w14:textId="77777777" w:rsidR="00901176" w:rsidRPr="00901176" w:rsidRDefault="00901176" w:rsidP="00901176">
      <w:pPr>
        <w:pStyle w:val="NormalWeb"/>
        <w:spacing w:line="360" w:lineRule="auto"/>
        <w:jc w:val="both"/>
        <w:rPr>
          <w:rFonts w:ascii="Avenir Book" w:hAnsi="Avenir Book"/>
          <w:sz w:val="26"/>
          <w:szCs w:val="26"/>
        </w:rPr>
      </w:pPr>
      <w:r w:rsidRPr="00901176">
        <w:rPr>
          <w:rFonts w:ascii="Avenir Book" w:hAnsi="Avenir Book"/>
          <w:sz w:val="26"/>
          <w:szCs w:val="26"/>
        </w:rPr>
        <w:t>Desde una perspectiva de derechos humanos, el Estado no solo tiene la obligación de abstenerse de interferir arbitrariamente en el acceso al agua, sino que asume deberes positivos reforzados, consistentes en:</w:t>
      </w:r>
    </w:p>
    <w:p w14:paraId="193C0602" w14:textId="77777777" w:rsidR="00901176" w:rsidRPr="00901176" w:rsidRDefault="00901176" w:rsidP="00901176">
      <w:pPr>
        <w:pStyle w:val="NormalWeb"/>
        <w:numPr>
          <w:ilvl w:val="0"/>
          <w:numId w:val="6"/>
        </w:numPr>
        <w:spacing w:line="360" w:lineRule="auto"/>
        <w:jc w:val="both"/>
        <w:rPr>
          <w:rFonts w:ascii="Avenir Book" w:hAnsi="Avenir Book"/>
          <w:sz w:val="26"/>
          <w:szCs w:val="26"/>
        </w:rPr>
      </w:pPr>
      <w:r w:rsidRPr="00901176">
        <w:rPr>
          <w:rFonts w:ascii="Avenir Book" w:hAnsi="Avenir Book"/>
          <w:sz w:val="26"/>
          <w:szCs w:val="26"/>
        </w:rPr>
        <w:t>Garantizar su disponibilidad suficiente,</w:t>
      </w:r>
    </w:p>
    <w:p w14:paraId="2EBF3AB7" w14:textId="77777777" w:rsidR="00901176" w:rsidRPr="00901176" w:rsidRDefault="00901176" w:rsidP="00901176">
      <w:pPr>
        <w:pStyle w:val="NormalWeb"/>
        <w:numPr>
          <w:ilvl w:val="0"/>
          <w:numId w:val="6"/>
        </w:numPr>
        <w:spacing w:line="360" w:lineRule="auto"/>
        <w:jc w:val="both"/>
        <w:rPr>
          <w:rFonts w:ascii="Avenir Book" w:hAnsi="Avenir Book"/>
          <w:sz w:val="26"/>
          <w:szCs w:val="26"/>
        </w:rPr>
      </w:pPr>
      <w:r w:rsidRPr="00901176">
        <w:rPr>
          <w:rFonts w:ascii="Avenir Book" w:hAnsi="Avenir Book"/>
          <w:sz w:val="26"/>
          <w:szCs w:val="26"/>
        </w:rPr>
        <w:t>Asegurar su calidad y salubridad,</w:t>
      </w:r>
    </w:p>
    <w:p w14:paraId="793C5CF6" w14:textId="77777777" w:rsidR="00901176" w:rsidRPr="00901176" w:rsidRDefault="00901176" w:rsidP="00901176">
      <w:pPr>
        <w:pStyle w:val="NormalWeb"/>
        <w:numPr>
          <w:ilvl w:val="0"/>
          <w:numId w:val="6"/>
        </w:numPr>
        <w:spacing w:line="360" w:lineRule="auto"/>
        <w:jc w:val="both"/>
        <w:rPr>
          <w:rFonts w:ascii="Avenir Book" w:hAnsi="Avenir Book"/>
          <w:sz w:val="26"/>
          <w:szCs w:val="26"/>
        </w:rPr>
      </w:pPr>
      <w:r w:rsidRPr="00901176">
        <w:rPr>
          <w:rFonts w:ascii="Avenir Book" w:hAnsi="Avenir Book"/>
          <w:sz w:val="26"/>
          <w:szCs w:val="26"/>
        </w:rPr>
        <w:t>Prevenir su desperdicio y contaminación, y</w:t>
      </w:r>
    </w:p>
    <w:p w14:paraId="1BC74B72" w14:textId="77777777" w:rsidR="00901176" w:rsidRPr="00901176" w:rsidRDefault="00901176" w:rsidP="00901176">
      <w:pPr>
        <w:pStyle w:val="NormalWeb"/>
        <w:numPr>
          <w:ilvl w:val="0"/>
          <w:numId w:val="6"/>
        </w:numPr>
        <w:spacing w:line="360" w:lineRule="auto"/>
        <w:jc w:val="both"/>
        <w:rPr>
          <w:rFonts w:ascii="Avenir Book" w:hAnsi="Avenir Book"/>
          <w:sz w:val="26"/>
          <w:szCs w:val="26"/>
        </w:rPr>
      </w:pPr>
      <w:r w:rsidRPr="00901176">
        <w:rPr>
          <w:rFonts w:ascii="Avenir Book" w:hAnsi="Avenir Book"/>
          <w:sz w:val="26"/>
          <w:szCs w:val="26"/>
        </w:rPr>
        <w:t>Adoptar las medidas necesarias para su protección efectiva, especialmente en contextos de escasez.</w:t>
      </w:r>
    </w:p>
    <w:p w14:paraId="47A6147A" w14:textId="77777777" w:rsidR="00901176" w:rsidRPr="00901176" w:rsidRDefault="00901176" w:rsidP="00901176">
      <w:pPr>
        <w:pStyle w:val="NormalWeb"/>
        <w:spacing w:line="360" w:lineRule="auto"/>
        <w:jc w:val="both"/>
        <w:rPr>
          <w:rFonts w:ascii="Avenir Book" w:hAnsi="Avenir Book"/>
          <w:sz w:val="26"/>
          <w:szCs w:val="26"/>
        </w:rPr>
      </w:pPr>
      <w:r w:rsidRPr="00901176">
        <w:rPr>
          <w:rFonts w:ascii="Avenir Book" w:hAnsi="Avenir Book"/>
          <w:sz w:val="26"/>
          <w:szCs w:val="26"/>
        </w:rPr>
        <w:t>La Suprema Corte de Justicia de la Nación</w:t>
      </w:r>
      <w:r>
        <w:rPr>
          <w:rStyle w:val="Refdenotaalpie"/>
          <w:rFonts w:ascii="Avenir Book" w:hAnsi="Avenir Book"/>
          <w:sz w:val="26"/>
          <w:szCs w:val="26"/>
        </w:rPr>
        <w:footnoteReference w:id="4"/>
      </w:r>
      <w:r w:rsidRPr="00901176">
        <w:rPr>
          <w:rFonts w:ascii="Avenir Book" w:hAnsi="Avenir Book"/>
          <w:sz w:val="26"/>
          <w:szCs w:val="26"/>
        </w:rPr>
        <w:t xml:space="preserve"> ha sostenido que el derecho humano al agua tiene un contenido normativo exigible, y que su garantía no puede quedar supeditada exclusivamente a decisiones administrativas o a criterios de oportunidad gubernamental, particularmente cuando se encuentran en riesgo derechos colectivos o de grupos vulnerables.</w:t>
      </w:r>
    </w:p>
    <w:p w14:paraId="496C71C6" w14:textId="77777777" w:rsidR="00901176" w:rsidRPr="00901176" w:rsidRDefault="00901176" w:rsidP="00901176">
      <w:pPr>
        <w:pStyle w:val="NormalWeb"/>
        <w:spacing w:line="360" w:lineRule="auto"/>
        <w:jc w:val="both"/>
        <w:rPr>
          <w:rFonts w:ascii="Avenir Book" w:hAnsi="Avenir Book"/>
          <w:sz w:val="26"/>
          <w:szCs w:val="26"/>
        </w:rPr>
      </w:pPr>
      <w:r w:rsidRPr="00901176">
        <w:rPr>
          <w:rFonts w:ascii="Avenir Book" w:hAnsi="Avenir Book"/>
          <w:sz w:val="26"/>
          <w:szCs w:val="26"/>
        </w:rPr>
        <w:t>En ese sentido, la omisión del Estado —y específicamente de los servidores públicos encargados de la gestión, supervisión y administración del recurso hídrico— puede constituir una violación directa a derechos humanos,</w:t>
      </w:r>
      <w:r>
        <w:rPr>
          <w:rStyle w:val="Refdenotaalpie"/>
          <w:rFonts w:ascii="Avenir Book" w:hAnsi="Avenir Book"/>
          <w:sz w:val="26"/>
          <w:szCs w:val="26"/>
        </w:rPr>
        <w:footnoteReference w:id="5"/>
      </w:r>
      <w:r w:rsidRPr="00901176">
        <w:rPr>
          <w:rFonts w:ascii="Avenir Book" w:hAnsi="Avenir Book"/>
          <w:sz w:val="26"/>
          <w:szCs w:val="26"/>
        </w:rPr>
        <w:t xml:space="preserve"> cuando dicha inacción permita el desperdicio sistemático del agua, afecte el acceso equitativo de la población o genere riesgos a la salud pública.</w:t>
      </w:r>
    </w:p>
    <w:p w14:paraId="60559085" w14:textId="77777777" w:rsidR="00901176" w:rsidRPr="00901176" w:rsidRDefault="00901176" w:rsidP="00901176">
      <w:pPr>
        <w:pStyle w:val="NormalWeb"/>
        <w:spacing w:line="360" w:lineRule="auto"/>
        <w:jc w:val="both"/>
        <w:rPr>
          <w:rFonts w:ascii="Avenir Book" w:hAnsi="Avenir Book"/>
          <w:sz w:val="26"/>
          <w:szCs w:val="26"/>
        </w:rPr>
      </w:pPr>
      <w:r w:rsidRPr="00901176">
        <w:rPr>
          <w:rFonts w:ascii="Avenir Book" w:hAnsi="Avenir Book"/>
          <w:sz w:val="26"/>
          <w:szCs w:val="26"/>
        </w:rPr>
        <w:t>Este deber de protección se ve reforzado por los estándares internacionales</w:t>
      </w:r>
      <w:r>
        <w:rPr>
          <w:rStyle w:val="Refdenotaalpie"/>
          <w:rFonts w:ascii="Avenir Book" w:hAnsi="Avenir Book"/>
          <w:sz w:val="26"/>
          <w:szCs w:val="26"/>
        </w:rPr>
        <w:footnoteReference w:id="6"/>
      </w:r>
      <w:r w:rsidRPr="00901176">
        <w:rPr>
          <w:rFonts w:ascii="Avenir Book" w:hAnsi="Avenir Book"/>
          <w:sz w:val="26"/>
          <w:szCs w:val="26"/>
        </w:rPr>
        <w:t xml:space="preserve"> en materia de derechos humanos, los cuales reconocen que el derecho al agua es condición previa </w:t>
      </w:r>
      <w:r w:rsidRPr="00901176">
        <w:rPr>
          <w:rFonts w:ascii="Avenir Book" w:hAnsi="Avenir Book"/>
          <w:sz w:val="26"/>
          <w:szCs w:val="26"/>
        </w:rPr>
        <w:lastRenderedPageBreak/>
        <w:t>para una vida digna, y que los Estados deben adoptar medidas legislativas, administrativas y, en su caso, penales, para garantizar su ejercicio efectivo.</w:t>
      </w:r>
    </w:p>
    <w:p w14:paraId="4D96251E" w14:textId="77777777" w:rsidR="00901176" w:rsidRPr="00901176" w:rsidRDefault="00901176" w:rsidP="00901176">
      <w:pPr>
        <w:pStyle w:val="NormalWeb"/>
        <w:spacing w:line="360" w:lineRule="auto"/>
        <w:jc w:val="both"/>
        <w:rPr>
          <w:rFonts w:ascii="Avenir Book" w:hAnsi="Avenir Book"/>
          <w:sz w:val="26"/>
          <w:szCs w:val="26"/>
        </w:rPr>
      </w:pPr>
      <w:r w:rsidRPr="00901176">
        <w:rPr>
          <w:rFonts w:ascii="Avenir Book" w:hAnsi="Avenir Book"/>
          <w:sz w:val="26"/>
          <w:szCs w:val="26"/>
        </w:rPr>
        <w:t>En contextos de estrés hídrico</w:t>
      </w:r>
      <w:r>
        <w:rPr>
          <w:rStyle w:val="Refdenotaalpie"/>
          <w:rFonts w:ascii="Avenir Book" w:hAnsi="Avenir Book"/>
          <w:sz w:val="26"/>
          <w:szCs w:val="26"/>
        </w:rPr>
        <w:footnoteReference w:id="7"/>
      </w:r>
      <w:r w:rsidRPr="00901176">
        <w:rPr>
          <w:rFonts w:ascii="Avenir Book" w:hAnsi="Avenir Book"/>
          <w:sz w:val="26"/>
          <w:szCs w:val="26"/>
        </w:rPr>
        <w:t>, como el que enfrenta el Estado de Chihuahua, la tolerancia institucional frente al desperdicio del agua adquiere una gravedad mayor, pues implica una afectación directa al interés público y a la sostenibilidad ambiental, lo que justifica plenamente la intervención del derecho penal como última ratio, particularmente cuando la conducta proviene de quienes tienen un deber jurídico específico de cuidado y prevención.</w:t>
      </w:r>
    </w:p>
    <w:p w14:paraId="141AD1D5" w14:textId="77777777" w:rsidR="00B123D5" w:rsidRPr="00B123D5" w:rsidRDefault="00901176" w:rsidP="00B123D5">
      <w:pPr>
        <w:pStyle w:val="NormalWeb"/>
        <w:spacing w:line="360" w:lineRule="auto"/>
        <w:jc w:val="both"/>
        <w:rPr>
          <w:rFonts w:ascii="Avenir Book" w:hAnsi="Avenir Book"/>
          <w:sz w:val="26"/>
          <w:szCs w:val="26"/>
        </w:rPr>
      </w:pPr>
      <w:r>
        <w:rPr>
          <w:rFonts w:ascii="Avenir Book" w:hAnsi="Avenir Book"/>
          <w:sz w:val="26"/>
          <w:szCs w:val="26"/>
        </w:rPr>
        <w:t xml:space="preserve">2.- </w:t>
      </w:r>
      <w:r w:rsidR="00B123D5" w:rsidRPr="00B123D5">
        <w:rPr>
          <w:rFonts w:ascii="Avenir Book" w:hAnsi="Avenir Book"/>
          <w:sz w:val="26"/>
          <w:szCs w:val="26"/>
        </w:rPr>
        <w:t>En un contexto de escasez hídrica, el desperdicio del agua trasciende la esfera de una simple irregularidad administrativa y se convierte en una conducta de alto impacto social, ambiental y jurídico, particularmente grave cuando proviene de la inacción, tolerancia o negligencia de quienes tienen el deber legal de administrarla, cuidarla y protegerla.</w:t>
      </w:r>
    </w:p>
    <w:p w14:paraId="63F09B5D" w14:textId="77777777" w:rsidR="00B123D5" w:rsidRPr="00B123D5" w:rsidRDefault="00B123D5" w:rsidP="00B123D5">
      <w:pPr>
        <w:pStyle w:val="NormalWeb"/>
        <w:spacing w:line="360" w:lineRule="auto"/>
        <w:jc w:val="both"/>
        <w:rPr>
          <w:rFonts w:ascii="Avenir Book" w:hAnsi="Avenir Book"/>
          <w:sz w:val="26"/>
          <w:szCs w:val="26"/>
        </w:rPr>
      </w:pPr>
      <w:r w:rsidRPr="00B123D5">
        <w:rPr>
          <w:rFonts w:ascii="Avenir Book" w:hAnsi="Avenir Book"/>
          <w:sz w:val="26"/>
          <w:szCs w:val="26"/>
        </w:rPr>
        <w:t>La escasez de agua no es un fenómeno aislado ni coyuntural, sino una condición estructural que afecta de manera directa a amplios sectores de la población, comprometiendo el ejercicio efectivo de derechos fundamentales como la vida, la salud, la dignidad humana y el desarrollo integral. En este escenario, cada omisión institucional</w:t>
      </w:r>
      <w:r>
        <w:rPr>
          <w:rStyle w:val="Refdenotaalpie"/>
          <w:rFonts w:ascii="Avenir Book" w:hAnsi="Avenir Book"/>
          <w:sz w:val="26"/>
          <w:szCs w:val="26"/>
        </w:rPr>
        <w:footnoteReference w:id="8"/>
      </w:r>
      <w:r w:rsidRPr="00B123D5">
        <w:rPr>
          <w:rFonts w:ascii="Avenir Book" w:hAnsi="Avenir Book"/>
          <w:sz w:val="26"/>
          <w:szCs w:val="26"/>
        </w:rPr>
        <w:t xml:space="preserve"> frente al desperdicio del recurso hídrico agrava la vulnerabilidad social y profundiza la desigualdad en el acceso al agua.</w:t>
      </w:r>
    </w:p>
    <w:p w14:paraId="20852776" w14:textId="77777777" w:rsidR="00B123D5" w:rsidRDefault="00B123D5" w:rsidP="00B123D5">
      <w:pPr>
        <w:pStyle w:val="NormalWeb"/>
        <w:spacing w:line="360" w:lineRule="auto"/>
        <w:jc w:val="both"/>
        <w:rPr>
          <w:rFonts w:ascii="Avenir Book" w:hAnsi="Avenir Book"/>
          <w:sz w:val="26"/>
          <w:szCs w:val="26"/>
        </w:rPr>
      </w:pPr>
      <w:r w:rsidRPr="00B123D5">
        <w:rPr>
          <w:rFonts w:ascii="Avenir Book" w:hAnsi="Avenir Book"/>
          <w:sz w:val="26"/>
          <w:szCs w:val="26"/>
        </w:rPr>
        <w:t xml:space="preserve">Cuando el desperdicio del agua ocurre bajo la mirada pasiva o permisiva de autoridades responsables, la afectación se multiplica, pues no solo se pierde un recurso esencial, sino que se quiebra la confianza pública en las instituciones encargadas de su gestión. La tolerancia institucional frente a fugas no atendidas, infraestructura abandonada, derrames reiterados o usos indebidos del agua pública constituye una </w:t>
      </w:r>
      <w:r w:rsidRPr="00B123D5">
        <w:rPr>
          <w:rFonts w:ascii="Avenir Book" w:hAnsi="Avenir Book"/>
          <w:sz w:val="26"/>
          <w:szCs w:val="26"/>
        </w:rPr>
        <w:lastRenderedPageBreak/>
        <w:t>forma de violencia estructural, en tanto impacta de manera colectiva a comunidades enteras que ven restringido su acceso a un bien indispensable para la vida diaria.</w:t>
      </w:r>
      <w:r>
        <w:rPr>
          <w:rStyle w:val="Refdenotaalpie"/>
          <w:rFonts w:ascii="Avenir Book" w:hAnsi="Avenir Book"/>
          <w:sz w:val="26"/>
          <w:szCs w:val="26"/>
        </w:rPr>
        <w:footnoteReference w:id="9"/>
      </w:r>
    </w:p>
    <w:p w14:paraId="2F47AA31" w14:textId="77777777" w:rsidR="00B123D5" w:rsidRDefault="00B123D5" w:rsidP="00B123D5">
      <w:pPr>
        <w:pStyle w:val="NormalWeb"/>
        <w:spacing w:line="360" w:lineRule="auto"/>
        <w:jc w:val="both"/>
        <w:rPr>
          <w:rFonts w:ascii="Avenir Book" w:hAnsi="Avenir Book"/>
          <w:sz w:val="26"/>
          <w:szCs w:val="26"/>
        </w:rPr>
      </w:pPr>
    </w:p>
    <w:p w14:paraId="6B58E8D9" w14:textId="77777777" w:rsidR="00B123D5" w:rsidRPr="00B123D5" w:rsidRDefault="00B123D5" w:rsidP="00B123D5">
      <w:pPr>
        <w:pStyle w:val="NormalWeb"/>
        <w:spacing w:line="360" w:lineRule="auto"/>
        <w:jc w:val="both"/>
        <w:rPr>
          <w:rFonts w:ascii="Avenir Book" w:hAnsi="Avenir Book"/>
          <w:sz w:val="26"/>
          <w:szCs w:val="26"/>
        </w:rPr>
      </w:pPr>
      <w:r w:rsidRPr="00B123D5">
        <w:rPr>
          <w:rFonts w:ascii="Avenir Book" w:hAnsi="Avenir Book"/>
          <w:sz w:val="26"/>
          <w:szCs w:val="26"/>
        </w:rPr>
        <w:t>Desde el punto de vista jurídico, los servidores públicos encargados de la gestión del agua se encuentran sujetos a un deber reforzado de cuidado, derivado no solo de sus atribuciones legales, sino del carácter estratégico y vital del recurso hídrico. En consecuencia, la omisión en el ejercicio de dichas funciones no puede considerarse neutral o inocua, sino que representa una forma de afectación ambiental y social, equiparable, por sus efectos, a conductas activas de daño</w:t>
      </w:r>
      <w:r>
        <w:rPr>
          <w:rFonts w:ascii="Avenir Book" w:hAnsi="Avenir Book"/>
          <w:sz w:val="26"/>
          <w:szCs w:val="26"/>
        </w:rPr>
        <w:t xml:space="preserve">; por lo que </w:t>
      </w:r>
      <w:r w:rsidRPr="00B123D5">
        <w:rPr>
          <w:rFonts w:ascii="Avenir Book" w:hAnsi="Avenir Book"/>
          <w:sz w:val="26"/>
          <w:szCs w:val="26"/>
        </w:rPr>
        <w:t>permitir que el desperdicio del agua quede impune cuando deriva de la inacción de autoridades responsables envía un mensaje contrario a los principios de prevención ambiental y sostenibilidad, debilitando las políticas públicas orientadas al uso racional del recurso y trasladando injustamente la carga de la escasez a la ciudadanía.</w:t>
      </w:r>
      <w:r>
        <w:rPr>
          <w:rStyle w:val="Refdenotaalpie"/>
          <w:rFonts w:ascii="Avenir Book" w:hAnsi="Avenir Book"/>
          <w:sz w:val="26"/>
          <w:szCs w:val="26"/>
        </w:rPr>
        <w:footnoteReference w:id="10"/>
      </w:r>
    </w:p>
    <w:p w14:paraId="4CE9BEDF" w14:textId="77777777" w:rsidR="00B123D5" w:rsidRPr="00B123D5" w:rsidRDefault="00B123D5" w:rsidP="00B123D5">
      <w:pPr>
        <w:pStyle w:val="NormalWeb"/>
        <w:spacing w:line="360" w:lineRule="auto"/>
        <w:jc w:val="both"/>
        <w:rPr>
          <w:rFonts w:ascii="Avenir Book" w:hAnsi="Avenir Book"/>
          <w:sz w:val="26"/>
          <w:szCs w:val="26"/>
        </w:rPr>
      </w:pPr>
      <w:r w:rsidRPr="00B123D5">
        <w:rPr>
          <w:rFonts w:ascii="Avenir Book" w:hAnsi="Avenir Book"/>
          <w:sz w:val="26"/>
          <w:szCs w:val="26"/>
        </w:rPr>
        <w:t>Por ello, resulta indispensable establecer consecuencias jurídicas claras y proporcionales para quienes, teniendo la obligación de actuar, permiten por omisión el deterioro de un recurso esencial, reforzando así la idea de que la administración del agua no es una facultad discrecional, sino una responsabilidad pública de la más alta relevancia social y ambiental.</w:t>
      </w:r>
    </w:p>
    <w:p w14:paraId="3E4C5C89" w14:textId="77777777" w:rsidR="00B123D5" w:rsidRPr="00B123D5" w:rsidRDefault="00B123D5" w:rsidP="00B123D5">
      <w:pPr>
        <w:pStyle w:val="NormalWeb"/>
        <w:spacing w:line="360" w:lineRule="auto"/>
        <w:jc w:val="both"/>
        <w:rPr>
          <w:rFonts w:ascii="Avenir Book" w:hAnsi="Avenir Book"/>
          <w:sz w:val="26"/>
          <w:szCs w:val="26"/>
        </w:rPr>
      </w:pPr>
      <w:r>
        <w:rPr>
          <w:rFonts w:ascii="Avenir Book" w:hAnsi="Avenir Book"/>
          <w:sz w:val="26"/>
          <w:szCs w:val="26"/>
        </w:rPr>
        <w:t xml:space="preserve">3.- </w:t>
      </w:r>
      <w:r w:rsidRPr="00B123D5">
        <w:rPr>
          <w:rFonts w:ascii="Avenir Book" w:hAnsi="Avenir Book"/>
          <w:sz w:val="26"/>
          <w:szCs w:val="26"/>
        </w:rPr>
        <w:t>Resulta jurídicamente insostenible que, mientras a la ciudadanía se le imponen medidas de restricción, ahorro y racionalización del consumo de agua, la omisión institucional frente a fugas, derrames, extracciones irregulares o manejos negligentes del agua pública permanezca sin consecuencias jurídicas efectivas, aun cuando dichas conductas generen afectaciones directas al abasto de comunidades enteras.</w:t>
      </w:r>
    </w:p>
    <w:p w14:paraId="1286C059" w14:textId="77777777" w:rsidR="00B123D5" w:rsidRPr="00B123D5" w:rsidRDefault="00B123D5" w:rsidP="00B123D5">
      <w:pPr>
        <w:pStyle w:val="NormalWeb"/>
        <w:spacing w:line="360" w:lineRule="auto"/>
        <w:jc w:val="both"/>
        <w:rPr>
          <w:rFonts w:ascii="Avenir Book" w:hAnsi="Avenir Book"/>
          <w:sz w:val="26"/>
          <w:szCs w:val="26"/>
        </w:rPr>
      </w:pPr>
      <w:r w:rsidRPr="00B123D5">
        <w:rPr>
          <w:rFonts w:ascii="Avenir Book" w:hAnsi="Avenir Book"/>
          <w:sz w:val="26"/>
          <w:szCs w:val="26"/>
        </w:rPr>
        <w:t xml:space="preserve">Esta asimetría en la exigencia de responsabilidades vulnera principios fundamentales del Estado constitucional de derecho, particularmente los de legalidad, igualdad ante </w:t>
      </w:r>
      <w:r w:rsidRPr="00B123D5">
        <w:rPr>
          <w:rFonts w:ascii="Avenir Book" w:hAnsi="Avenir Book"/>
          <w:sz w:val="26"/>
          <w:szCs w:val="26"/>
        </w:rPr>
        <w:lastRenderedPageBreak/>
        <w:t>la ley, responsabilidad administrativa y rendición de cuentas</w:t>
      </w:r>
      <w:r w:rsidR="000F32FF">
        <w:rPr>
          <w:rStyle w:val="Refdenotaalpie"/>
          <w:rFonts w:ascii="Avenir Book" w:hAnsi="Avenir Book"/>
          <w:sz w:val="26"/>
          <w:szCs w:val="26"/>
        </w:rPr>
        <w:footnoteReference w:id="11"/>
      </w:r>
      <w:r w:rsidRPr="00B123D5">
        <w:rPr>
          <w:rFonts w:ascii="Avenir Book" w:hAnsi="Avenir Book"/>
          <w:sz w:val="26"/>
          <w:szCs w:val="26"/>
        </w:rPr>
        <w:t>, pues traslada de manera injusta a la población la carga de la escasez hídrica, mientras se toleran conductas omisivas por parte de quienes tienen el deber legal de prevenir, corregir y sancionar el desperdicio del recurso.</w:t>
      </w:r>
    </w:p>
    <w:p w14:paraId="568DE23C" w14:textId="77777777" w:rsidR="00B123D5" w:rsidRPr="00B123D5" w:rsidRDefault="00B123D5" w:rsidP="00B123D5">
      <w:pPr>
        <w:pStyle w:val="NormalWeb"/>
        <w:spacing w:line="360" w:lineRule="auto"/>
        <w:jc w:val="both"/>
        <w:rPr>
          <w:rFonts w:ascii="Avenir Book" w:hAnsi="Avenir Book"/>
          <w:sz w:val="26"/>
          <w:szCs w:val="26"/>
        </w:rPr>
      </w:pPr>
      <w:r w:rsidRPr="00B123D5">
        <w:rPr>
          <w:rFonts w:ascii="Avenir Book" w:hAnsi="Avenir Book"/>
          <w:sz w:val="26"/>
          <w:szCs w:val="26"/>
        </w:rPr>
        <w:t>Desde la perspectiva del derecho humano al agua, el Estado no solo tiene la obligación de garantizar el acceso suficiente, salubre y asequible al recurso, sino también el deber de adoptar medidas eficaces para evitar su pérdida injustificada, especialmente cuando ésta deriva de la inacción de autoridades responsables de su gestión. Permitir que dichas omisiones queden impunes implica una violación indirecta a derechos humanos, al afectar el disfrute efectivo del agua por parte de la población.</w:t>
      </w:r>
      <w:r w:rsidR="000F32FF">
        <w:rPr>
          <w:rStyle w:val="Refdenotaalpie"/>
          <w:rFonts w:ascii="Avenir Book" w:hAnsi="Avenir Book"/>
          <w:sz w:val="26"/>
          <w:szCs w:val="26"/>
        </w:rPr>
        <w:footnoteReference w:id="12"/>
      </w:r>
    </w:p>
    <w:p w14:paraId="1C2CF1B7" w14:textId="77777777" w:rsidR="00B123D5" w:rsidRPr="00B123D5" w:rsidRDefault="00B123D5" w:rsidP="00B123D5">
      <w:pPr>
        <w:pStyle w:val="NormalWeb"/>
        <w:spacing w:line="360" w:lineRule="auto"/>
        <w:jc w:val="both"/>
        <w:rPr>
          <w:rFonts w:ascii="Avenir Book" w:hAnsi="Avenir Book"/>
          <w:sz w:val="26"/>
          <w:szCs w:val="26"/>
        </w:rPr>
      </w:pPr>
      <w:r w:rsidRPr="00B123D5">
        <w:rPr>
          <w:rFonts w:ascii="Avenir Book" w:hAnsi="Avenir Book"/>
          <w:sz w:val="26"/>
          <w:szCs w:val="26"/>
        </w:rPr>
        <w:t>La Suprema Corte de Justicia de la Nación ha sostenido que los derechos humanos generan obligaciones positivas para el Estado, las cuales incluyen la adopción de medidas normativas y sancionatorias cuando exista un riesgo previsible de afectación. En ese sentido, la omisión reiterada frente al desperdicio del agua pública no puede considerarse una falta menor, sino una conducta que erosiona la función pública y debilita la protección del interés colectivo.</w:t>
      </w:r>
      <w:r w:rsidR="000F32FF">
        <w:rPr>
          <w:rStyle w:val="Refdenotaalpie"/>
          <w:rFonts w:ascii="Avenir Book" w:hAnsi="Avenir Book"/>
          <w:sz w:val="26"/>
          <w:szCs w:val="26"/>
        </w:rPr>
        <w:footnoteReference w:id="13"/>
      </w:r>
    </w:p>
    <w:p w14:paraId="0341ABC3" w14:textId="77777777" w:rsidR="000F32FF" w:rsidRPr="000F32FF" w:rsidRDefault="000F32FF" w:rsidP="000F32FF">
      <w:pPr>
        <w:pStyle w:val="NormalWeb"/>
        <w:spacing w:line="360" w:lineRule="auto"/>
        <w:jc w:val="both"/>
        <w:rPr>
          <w:rFonts w:ascii="Avenir Book" w:hAnsi="Avenir Book"/>
          <w:sz w:val="26"/>
          <w:szCs w:val="26"/>
        </w:rPr>
      </w:pPr>
      <w:r w:rsidRPr="000F32FF">
        <w:rPr>
          <w:rFonts w:ascii="Avenir Book" w:hAnsi="Avenir Book"/>
          <w:b/>
          <w:bCs/>
          <w:sz w:val="26"/>
          <w:szCs w:val="26"/>
        </w:rPr>
        <w:t>4.-</w:t>
      </w:r>
      <w:r>
        <w:rPr>
          <w:rFonts w:ascii="Avenir Book" w:hAnsi="Avenir Book"/>
          <w:sz w:val="26"/>
          <w:szCs w:val="26"/>
        </w:rPr>
        <w:t xml:space="preserve"> </w:t>
      </w:r>
      <w:r w:rsidRPr="000F32FF">
        <w:rPr>
          <w:rFonts w:ascii="Avenir Book" w:hAnsi="Avenir Book"/>
          <w:sz w:val="26"/>
          <w:szCs w:val="26"/>
        </w:rPr>
        <w:t>En atención al interés público comprometido y a la necesidad de fortalecer la confianza ciudadana en las instituciones encargadas de la gestión del recurso hídrico, la presente iniciativa se sustenta en un criterio de responsabilidad pública diferenciada, orientado a garantizar que el ejercicio de la función pública se realice con la diligencia y cuidado que exige la administración de un bien esencial para la vida.</w:t>
      </w:r>
    </w:p>
    <w:p w14:paraId="096706C0" w14:textId="77777777" w:rsidR="000F32FF" w:rsidRPr="000F32FF" w:rsidRDefault="000F32FF" w:rsidP="000F32FF">
      <w:pPr>
        <w:pStyle w:val="NormalWeb"/>
        <w:spacing w:line="360" w:lineRule="auto"/>
        <w:jc w:val="both"/>
        <w:rPr>
          <w:rFonts w:ascii="Avenir Book" w:hAnsi="Avenir Book"/>
          <w:sz w:val="26"/>
          <w:szCs w:val="26"/>
        </w:rPr>
      </w:pPr>
      <w:r w:rsidRPr="000F32FF">
        <w:rPr>
          <w:rFonts w:ascii="Avenir Book" w:hAnsi="Avenir Book"/>
          <w:sz w:val="26"/>
          <w:szCs w:val="26"/>
        </w:rPr>
        <w:t>Bajo este enfoque, la presente iniciativa parte de una premisa clara y jurídicamente fundada:</w:t>
      </w:r>
      <w:r>
        <w:rPr>
          <w:rFonts w:ascii="Avenir Book" w:hAnsi="Avenir Book"/>
          <w:sz w:val="26"/>
          <w:szCs w:val="26"/>
        </w:rPr>
        <w:t xml:space="preserve"> </w:t>
      </w:r>
      <w:r w:rsidRPr="000F32FF">
        <w:rPr>
          <w:rFonts w:ascii="Avenir Book" w:hAnsi="Avenir Book"/>
          <w:b/>
          <w:bCs/>
          <w:sz w:val="26"/>
          <w:szCs w:val="26"/>
        </w:rPr>
        <w:t>Quien tiene la responsabilidad de cuidar el agua y no lo hace, debe responder penalmente.</w:t>
      </w:r>
    </w:p>
    <w:p w14:paraId="507A9BFD" w14:textId="77777777" w:rsidR="000F32FF" w:rsidRPr="000F32FF" w:rsidRDefault="000F32FF" w:rsidP="000F32FF">
      <w:pPr>
        <w:pStyle w:val="NormalWeb"/>
        <w:spacing w:line="360" w:lineRule="auto"/>
        <w:jc w:val="both"/>
        <w:rPr>
          <w:rFonts w:ascii="Avenir Book" w:hAnsi="Avenir Book"/>
          <w:sz w:val="26"/>
          <w:szCs w:val="26"/>
        </w:rPr>
      </w:pPr>
      <w:r>
        <w:rPr>
          <w:rFonts w:ascii="Avenir Book" w:hAnsi="Avenir Book"/>
          <w:sz w:val="26"/>
          <w:szCs w:val="26"/>
        </w:rPr>
        <w:lastRenderedPageBreak/>
        <w:t>Con ello,</w:t>
      </w:r>
      <w:r w:rsidRPr="000F32FF">
        <w:rPr>
          <w:rFonts w:ascii="Avenir Book" w:hAnsi="Avenir Book"/>
          <w:sz w:val="26"/>
          <w:szCs w:val="26"/>
        </w:rPr>
        <w:t xml:space="preserve"> no </w:t>
      </w:r>
      <w:r>
        <w:rPr>
          <w:rFonts w:ascii="Avenir Book" w:hAnsi="Avenir Book"/>
          <w:sz w:val="26"/>
          <w:szCs w:val="26"/>
        </w:rPr>
        <w:t xml:space="preserve">se </w:t>
      </w:r>
      <w:r w:rsidRPr="000F32FF">
        <w:rPr>
          <w:rFonts w:ascii="Avenir Book" w:hAnsi="Avenir Book"/>
          <w:sz w:val="26"/>
          <w:szCs w:val="26"/>
        </w:rPr>
        <w:t>persigue criminalizar el ejercicio de la función pública ni promover una política de persecución indiscriminada contra servidores públicos, pues resulta evidente que la administración del recurso hídrico enfrenta retos técnicos, financieros y estructurales que, en muchos casos, rebasan la capacidad individual de quienes participan en su gestión.</w:t>
      </w:r>
    </w:p>
    <w:p w14:paraId="0ABF1823" w14:textId="77777777" w:rsidR="000F32FF" w:rsidRPr="000F32FF" w:rsidRDefault="000F32FF" w:rsidP="000F32FF">
      <w:pPr>
        <w:pStyle w:val="NormalWeb"/>
        <w:spacing w:line="360" w:lineRule="auto"/>
        <w:jc w:val="both"/>
        <w:rPr>
          <w:rFonts w:ascii="Avenir Book" w:hAnsi="Avenir Book"/>
          <w:sz w:val="26"/>
          <w:szCs w:val="26"/>
        </w:rPr>
      </w:pPr>
      <w:r w:rsidRPr="000F32FF">
        <w:rPr>
          <w:rFonts w:ascii="Avenir Book" w:hAnsi="Avenir Book"/>
          <w:sz w:val="26"/>
          <w:szCs w:val="26"/>
        </w:rPr>
        <w:t>No obstante, tampoco puede ignorarse el creciente hartazgo social frente a la mala administración, la negligencia reiterada y la tolerancia institucional ante prácticas que derivan en el desperdicio del agua, particularmente cuando estas conductas provienen de quienes detentan el poder y tienen la obligación legal de actuar con diligencia, responsabilidad y compromiso con el interés público.</w:t>
      </w:r>
    </w:p>
    <w:p w14:paraId="600DBC19" w14:textId="77777777" w:rsidR="000F32FF" w:rsidRPr="000F32FF" w:rsidRDefault="000F32FF" w:rsidP="000F32FF">
      <w:pPr>
        <w:pStyle w:val="NormalWeb"/>
        <w:spacing w:line="360" w:lineRule="auto"/>
        <w:jc w:val="both"/>
        <w:rPr>
          <w:rFonts w:ascii="Avenir Book" w:hAnsi="Avenir Book"/>
          <w:sz w:val="26"/>
          <w:szCs w:val="26"/>
        </w:rPr>
      </w:pPr>
      <w:r w:rsidRPr="000F32FF">
        <w:rPr>
          <w:rFonts w:ascii="Avenir Book" w:hAnsi="Avenir Book"/>
          <w:sz w:val="26"/>
          <w:szCs w:val="26"/>
        </w:rPr>
        <w:t>La ciudadanía ha sido llamada de manera constante a restringir su consumo, modificar hábitos cotidianos y asumir los costos de la escasez hídrica, mientras observa, con justificada inconformidad, que fugas persistentes, infraestructura abandonada, derrames no atendidos y extracciones irregulares de agua pública continúan sin consecuencias jurídicas reales, aun cuando impactan directamente el abasto de comunidades enteras.</w:t>
      </w:r>
    </w:p>
    <w:p w14:paraId="09F5EC91" w14:textId="77777777" w:rsidR="000F32FF" w:rsidRPr="000F32FF" w:rsidRDefault="000F32FF" w:rsidP="000F32FF">
      <w:pPr>
        <w:pStyle w:val="NormalWeb"/>
        <w:spacing w:line="360" w:lineRule="auto"/>
        <w:jc w:val="both"/>
        <w:rPr>
          <w:rFonts w:ascii="Avenir Book" w:hAnsi="Avenir Book"/>
          <w:sz w:val="26"/>
          <w:szCs w:val="26"/>
        </w:rPr>
      </w:pPr>
      <w:r w:rsidRPr="000F32FF">
        <w:rPr>
          <w:rFonts w:ascii="Avenir Book" w:hAnsi="Avenir Book"/>
          <w:sz w:val="26"/>
          <w:szCs w:val="26"/>
        </w:rPr>
        <w:t>Esta disparidad en la exigencia de responsabilidades erosiona la legitimidad institucional, debilita la confianza en las autoridades y refuerza la percepción de que la ley se aplica con mayor rigor a la población que a quienes administran los bienes públicos. En un Estado constitucional de derecho, la función pública no puede convertirse en un espacio de impunidad frente a omisiones graves, especialmente cuando éstas afectan derechos humanos fundamentales.</w:t>
      </w:r>
    </w:p>
    <w:p w14:paraId="3A813637" w14:textId="77777777" w:rsidR="000F32FF" w:rsidRPr="000F32FF" w:rsidRDefault="000F32FF" w:rsidP="000F32FF">
      <w:pPr>
        <w:pStyle w:val="NormalWeb"/>
        <w:spacing w:line="360" w:lineRule="auto"/>
        <w:jc w:val="both"/>
        <w:rPr>
          <w:rFonts w:ascii="Avenir Book" w:hAnsi="Avenir Book"/>
          <w:sz w:val="26"/>
          <w:szCs w:val="26"/>
        </w:rPr>
      </w:pPr>
      <w:r w:rsidRPr="000F32FF">
        <w:rPr>
          <w:rFonts w:ascii="Avenir Book" w:hAnsi="Avenir Book"/>
          <w:sz w:val="26"/>
          <w:szCs w:val="26"/>
        </w:rPr>
        <w:t>Por ello, la iniciativa parte de un enfoque de responsabilidad diferenciada y excepcional, orientado exclusivamente a aquellos supuestos en los que exista una omisión relevante, injustificada y jurídicamente reprochable, cometida por servidores públicos que, teniendo el deber legal de prevenir o corregir el desperdicio del agua, decidan no actuar, con consecuencias directas para la colectividad.</w:t>
      </w:r>
    </w:p>
    <w:p w14:paraId="0A09B706" w14:textId="77777777" w:rsidR="000F32FF" w:rsidRPr="000F32FF" w:rsidRDefault="000F32FF" w:rsidP="000F32FF">
      <w:pPr>
        <w:pStyle w:val="NormalWeb"/>
        <w:spacing w:line="360" w:lineRule="auto"/>
        <w:jc w:val="both"/>
        <w:rPr>
          <w:rFonts w:ascii="Avenir Book" w:hAnsi="Avenir Book"/>
          <w:sz w:val="26"/>
          <w:szCs w:val="26"/>
        </w:rPr>
      </w:pPr>
      <w:r w:rsidRPr="000F32FF">
        <w:rPr>
          <w:rFonts w:ascii="Avenir Book" w:hAnsi="Avenir Book"/>
          <w:sz w:val="26"/>
          <w:szCs w:val="26"/>
        </w:rPr>
        <w:t xml:space="preserve">En este sentido, el mensaje es claro: no se busca castigar el error ni la falta de recursos, sino sancionar la indiferencia institucional, la negligencia reiterada y la tolerancia </w:t>
      </w:r>
      <w:r w:rsidRPr="000F32FF">
        <w:rPr>
          <w:rFonts w:ascii="Avenir Book" w:hAnsi="Avenir Book"/>
          <w:sz w:val="26"/>
          <w:szCs w:val="26"/>
        </w:rPr>
        <w:lastRenderedPageBreak/>
        <w:t>consciente frente a la pérdida de un recurso vital. La intervención del derecho penal se plantea como última ratio, únicamente cuando la omisión administrativa trasciende y se convierte en una afectación grave al interés público y a los derechos de la población.</w:t>
      </w:r>
    </w:p>
    <w:p w14:paraId="31BF08E5" w14:textId="77777777" w:rsidR="00901176" w:rsidRDefault="00901176" w:rsidP="00901176">
      <w:pPr>
        <w:pStyle w:val="NormalWeb"/>
        <w:spacing w:line="360" w:lineRule="auto"/>
        <w:jc w:val="both"/>
        <w:rPr>
          <w:rFonts w:ascii="Avenir Book" w:eastAsia="Montserrat" w:hAnsi="Avenir Book" w:cs="Montserrat"/>
          <w:sz w:val="26"/>
          <w:szCs w:val="26"/>
        </w:rPr>
      </w:pPr>
    </w:p>
    <w:p w14:paraId="08C4F703" w14:textId="77777777" w:rsidR="00901176" w:rsidRDefault="00901176" w:rsidP="00901176">
      <w:pPr>
        <w:pStyle w:val="NormalWeb"/>
        <w:spacing w:line="360" w:lineRule="auto"/>
        <w:jc w:val="both"/>
        <w:rPr>
          <w:rFonts w:ascii="Avenir Book" w:eastAsia="Montserrat" w:hAnsi="Avenir Book" w:cs="Montserrat"/>
          <w:sz w:val="26"/>
          <w:szCs w:val="26"/>
        </w:rPr>
      </w:pPr>
    </w:p>
    <w:p w14:paraId="0744DBF3" w14:textId="77777777" w:rsidR="003F0823" w:rsidRPr="003F0823" w:rsidRDefault="003F0823" w:rsidP="003F0823">
      <w:pPr>
        <w:pStyle w:val="NormalWeb"/>
        <w:spacing w:line="360" w:lineRule="auto"/>
        <w:jc w:val="both"/>
        <w:rPr>
          <w:rFonts w:ascii="Avenir Book" w:hAnsi="Avenir Book"/>
          <w:sz w:val="26"/>
          <w:szCs w:val="26"/>
        </w:rPr>
      </w:pPr>
      <w:r w:rsidRPr="003F0823">
        <w:rPr>
          <w:rFonts w:ascii="Avenir Book" w:eastAsia="Montserrat" w:hAnsi="Avenir Book" w:cs="Montserrat"/>
          <w:sz w:val="26"/>
          <w:szCs w:val="26"/>
        </w:rPr>
        <w:t xml:space="preserve">5.- </w:t>
      </w:r>
      <w:r w:rsidRPr="003F0823">
        <w:rPr>
          <w:rFonts w:ascii="Avenir Book" w:hAnsi="Avenir Book"/>
          <w:sz w:val="26"/>
          <w:szCs w:val="26"/>
        </w:rPr>
        <w:t>En numerosos municipios del Estado de Chihuahua, y de manera particularmente alarmante en Hidalgo del Parral, la crisis del agua ha dejado de ser una circunstancia extraordinaria para convertirse en una constante de mala administración pública, caracterizada por fugas visibles que permanecen activas durante meses e incluso años sin ser atendidas, a pesar de ser del conocimiento de las autoridades responsables. Miles de litros de agua potable se pierden diariamente ante la mirada indiferente de quienes tienen la obligación legal de prevenirlo, mientras a la población se le exige ahorrar, racionar y soportar cortes en el suministro. A esta realidad se suma el deterioro sistemático de calles y vialidades, producto de obras mal planeadas, reparaciones deficientes y trabajos reiterados sobre la misma infraestructura hidráulica, que dejan colonias enteras con vialidades destruidas, afectaciones económicas y una sensación generalizada de abandono e improvisación. Este escenario ha generado un hartazgo social profundo, pues la ciudadanía percibe —con razón— que la escasez no se explica únicamente por factores climáticos, sino por omisiones reiteradas, toleradas y normalizadas desde el poder público. Frente a esta realidad, resulta insostenible que dichas conductas continúen tratándose como simples fallas administrativas. Cuando el desperdicio del agua deriva de la inacción consciente o negligente de servidores públicos, y produce un daño colectivo, se actualiza una afectación directa a un bien jurídico esencial, lo que justifica plenamente la incorporación de un tipo penal específico que sancione estas conductas por acción u omisión, no como medida persecutoria, sino como un acto mínimo de responsabilidad frente a una sociedad cansada de pagar las consecuencias de la mala gestión del poder.</w:t>
      </w:r>
    </w:p>
    <w:p w14:paraId="77B6B30B" w14:textId="77777777" w:rsidR="00901176" w:rsidRPr="003F0823" w:rsidRDefault="00901176" w:rsidP="003F0823">
      <w:pPr>
        <w:pStyle w:val="NormalWeb"/>
        <w:spacing w:line="360" w:lineRule="auto"/>
        <w:jc w:val="both"/>
        <w:rPr>
          <w:rFonts w:ascii="Avenir Book" w:eastAsia="Montserrat" w:hAnsi="Avenir Book" w:cs="Montserrat"/>
          <w:sz w:val="26"/>
          <w:szCs w:val="26"/>
        </w:rPr>
      </w:pPr>
    </w:p>
    <w:p w14:paraId="36FFAEEC" w14:textId="77777777" w:rsidR="00D34ADC" w:rsidRPr="006051E8" w:rsidRDefault="00060CFA" w:rsidP="00901176">
      <w:pPr>
        <w:pStyle w:val="NormalWeb"/>
        <w:spacing w:line="360" w:lineRule="auto"/>
        <w:jc w:val="both"/>
        <w:rPr>
          <w:rFonts w:ascii="Avenir Book" w:eastAsia="Montserrat" w:hAnsi="Avenir Book" w:cs="Montserrat"/>
          <w:sz w:val="26"/>
          <w:szCs w:val="26"/>
        </w:rPr>
      </w:pPr>
      <w:r w:rsidRPr="006051E8">
        <w:rPr>
          <w:rFonts w:ascii="Avenir Book" w:eastAsia="Montserrat" w:hAnsi="Avenir Book" w:cs="Montserrat"/>
          <w:sz w:val="26"/>
          <w:szCs w:val="26"/>
        </w:rPr>
        <w:lastRenderedPageBreak/>
        <w:t>Por lo anteriormente expuesto, fundado y motivado, someto a la consideración de esta Honorable Soberanía, la siguiente Iniciativa con Proyecto de</w:t>
      </w:r>
    </w:p>
    <w:p w14:paraId="09E66C61" w14:textId="77777777" w:rsidR="00D34ADC" w:rsidRPr="006051E8" w:rsidRDefault="00060CFA" w:rsidP="006051E8">
      <w:pPr>
        <w:spacing w:before="200" w:after="200" w:line="360" w:lineRule="auto"/>
        <w:jc w:val="center"/>
        <w:rPr>
          <w:rFonts w:ascii="Avenir Book" w:eastAsia="Montserrat" w:hAnsi="Avenir Book" w:cs="Montserrat"/>
          <w:b/>
          <w:sz w:val="26"/>
          <w:szCs w:val="26"/>
        </w:rPr>
      </w:pPr>
      <w:r w:rsidRPr="006051E8">
        <w:rPr>
          <w:rFonts w:ascii="Avenir Book" w:eastAsia="Montserrat" w:hAnsi="Avenir Book" w:cs="Montserrat"/>
          <w:b/>
          <w:sz w:val="26"/>
          <w:szCs w:val="26"/>
        </w:rPr>
        <w:t>DECRE</w:t>
      </w:r>
      <w:r w:rsidRPr="006051E8">
        <w:rPr>
          <w:rFonts w:ascii="Avenir Book" w:eastAsia="Montserrat" w:hAnsi="Avenir Book" w:cs="Montserrat"/>
          <w:b/>
          <w:sz w:val="26"/>
          <w:szCs w:val="26"/>
        </w:rPr>
        <w:t>TO:</w:t>
      </w:r>
    </w:p>
    <w:p w14:paraId="67D87424" w14:textId="77777777" w:rsidR="006051E8" w:rsidRPr="006051E8" w:rsidRDefault="006051E8" w:rsidP="000657D5">
      <w:pPr>
        <w:pStyle w:val="NormalWeb"/>
        <w:jc w:val="both"/>
        <w:rPr>
          <w:rFonts w:ascii="Avenir Book" w:hAnsi="Avenir Book"/>
          <w:sz w:val="26"/>
          <w:szCs w:val="26"/>
        </w:rPr>
      </w:pPr>
      <w:r w:rsidRPr="006051E8">
        <w:rPr>
          <w:rStyle w:val="Textoennegrita"/>
          <w:rFonts w:ascii="Avenir Book" w:hAnsi="Avenir Book"/>
          <w:sz w:val="26"/>
          <w:szCs w:val="26"/>
        </w:rPr>
        <w:t>Artículo Único.</w:t>
      </w:r>
      <w:r w:rsidRPr="006051E8">
        <w:rPr>
          <w:rFonts w:ascii="Avenir Book" w:hAnsi="Avenir Book"/>
          <w:sz w:val="26"/>
          <w:szCs w:val="26"/>
        </w:rPr>
        <w:t xml:space="preserve"> Se adiciona </w:t>
      </w:r>
      <w:r w:rsidR="00CE2044">
        <w:rPr>
          <w:rFonts w:ascii="Avenir Book" w:hAnsi="Avenir Book"/>
          <w:sz w:val="26"/>
          <w:szCs w:val="26"/>
        </w:rPr>
        <w:t xml:space="preserve">el </w:t>
      </w:r>
      <w:r w:rsidR="00CE2044" w:rsidRPr="00CE2044">
        <w:rPr>
          <w:rFonts w:ascii="Avenir Book" w:hAnsi="Avenir Book"/>
          <w:b/>
          <w:bCs/>
          <w:i/>
          <w:iCs/>
          <w:sz w:val="26"/>
          <w:szCs w:val="26"/>
        </w:rPr>
        <w:t>Artículo 356 Bis</w:t>
      </w:r>
      <w:r w:rsidR="000657D5">
        <w:rPr>
          <w:rFonts w:ascii="Avenir Book" w:hAnsi="Avenir Book"/>
          <w:b/>
          <w:bCs/>
          <w:i/>
          <w:iCs/>
          <w:sz w:val="26"/>
          <w:szCs w:val="26"/>
        </w:rPr>
        <w:t xml:space="preserve"> </w:t>
      </w:r>
      <w:r w:rsidR="000657D5" w:rsidRPr="000657D5">
        <w:rPr>
          <w:rFonts w:ascii="Avenir Book" w:hAnsi="Avenir Book"/>
          <w:b/>
          <w:bCs/>
          <w:sz w:val="26"/>
          <w:szCs w:val="26"/>
        </w:rPr>
        <w:t>al Código Penal del Estado de Chihuahua</w:t>
      </w:r>
      <w:r w:rsidRPr="006051E8">
        <w:rPr>
          <w:rFonts w:ascii="Avenir Book" w:hAnsi="Avenir Book"/>
          <w:sz w:val="26"/>
          <w:szCs w:val="26"/>
        </w:rPr>
        <w:t>, para quedar como sigue:</w:t>
      </w:r>
    </w:p>
    <w:p w14:paraId="75EC7E0A" w14:textId="77777777" w:rsidR="000657D5" w:rsidRPr="00CE2044" w:rsidRDefault="00CE2044" w:rsidP="000657D5">
      <w:pPr>
        <w:pStyle w:val="NormalWeb"/>
        <w:jc w:val="both"/>
        <w:rPr>
          <w:rFonts w:ascii="Avenir Book" w:hAnsi="Avenir Book"/>
          <w:b/>
          <w:bCs/>
          <w:i/>
          <w:iCs/>
          <w:sz w:val="26"/>
          <w:szCs w:val="26"/>
        </w:rPr>
      </w:pPr>
      <w:r w:rsidRPr="00CE2044">
        <w:rPr>
          <w:rFonts w:ascii="Avenir Book" w:hAnsi="Avenir Book"/>
          <w:b/>
          <w:bCs/>
          <w:i/>
          <w:iCs/>
          <w:sz w:val="26"/>
          <w:szCs w:val="26"/>
        </w:rPr>
        <w:t>Artículo 356 Bis.</w:t>
      </w:r>
      <w:r w:rsidR="000657D5" w:rsidRPr="000657D5">
        <w:rPr>
          <w:rFonts w:ascii="Avenir Book" w:hAnsi="Avenir Book"/>
          <w:b/>
          <w:bCs/>
          <w:i/>
          <w:iCs/>
          <w:sz w:val="26"/>
          <w:szCs w:val="26"/>
        </w:rPr>
        <w:t xml:space="preserve"> </w:t>
      </w:r>
      <w:r w:rsidR="000657D5" w:rsidRPr="00885F18">
        <w:rPr>
          <w:rFonts w:ascii="Avenir Book" w:hAnsi="Avenir Book"/>
          <w:b/>
          <w:bCs/>
          <w:i/>
          <w:iCs/>
          <w:sz w:val="26"/>
          <w:szCs w:val="26"/>
        </w:rPr>
        <w:t>Afectación al recurso hídrico por servidores públicos</w:t>
      </w:r>
      <w:r w:rsidR="000657D5" w:rsidRPr="000657D5">
        <w:rPr>
          <w:rFonts w:ascii="Avenir Book" w:hAnsi="Avenir Book"/>
          <w:b/>
          <w:bCs/>
          <w:i/>
          <w:iCs/>
          <w:sz w:val="26"/>
          <w:szCs w:val="26"/>
        </w:rPr>
        <w:t>.</w:t>
      </w:r>
      <w:r w:rsidRPr="00CE2044">
        <w:rPr>
          <w:rFonts w:ascii="Avenir Book" w:hAnsi="Avenir Book"/>
          <w:b/>
          <w:bCs/>
          <w:i/>
          <w:iCs/>
          <w:sz w:val="26"/>
          <w:szCs w:val="26"/>
        </w:rPr>
        <w:br/>
        <w:t>Comete el delito de afectación al recurso hídrico el servidor público que, por acción u omisión, autorice, permita, tolere o no impida, teniendo la obligación legal de hacerlo, el desperdicio, derrame, fuga, extracción irregular, uso indebido o manejo negligente del agua, cuando dicha conducta:</w:t>
      </w:r>
    </w:p>
    <w:p w14:paraId="0CAC343B" w14:textId="77777777" w:rsidR="00CE2044" w:rsidRPr="00CE2044" w:rsidRDefault="00CE2044" w:rsidP="000657D5">
      <w:pPr>
        <w:pStyle w:val="NormalWeb"/>
        <w:rPr>
          <w:rFonts w:ascii="Avenir Book" w:hAnsi="Avenir Book"/>
          <w:b/>
          <w:bCs/>
          <w:i/>
          <w:iCs/>
          <w:sz w:val="26"/>
          <w:szCs w:val="26"/>
        </w:rPr>
      </w:pPr>
      <w:r w:rsidRPr="00CE2044">
        <w:rPr>
          <w:rFonts w:ascii="Avenir Book" w:hAnsi="Avenir Book"/>
          <w:b/>
          <w:bCs/>
          <w:i/>
          <w:iCs/>
          <w:sz w:val="26"/>
          <w:szCs w:val="26"/>
        </w:rPr>
        <w:t>I. Ocasione desperdicio del recurso hídrico;</w:t>
      </w:r>
      <w:r w:rsidRPr="00CE2044">
        <w:rPr>
          <w:rFonts w:ascii="Avenir Book" w:hAnsi="Avenir Book"/>
          <w:b/>
          <w:bCs/>
          <w:i/>
          <w:iCs/>
          <w:sz w:val="26"/>
          <w:szCs w:val="26"/>
        </w:rPr>
        <w:br/>
        <w:t>II. Afecte el abasto de agua a la población; o</w:t>
      </w:r>
      <w:r w:rsidRPr="00CE2044">
        <w:rPr>
          <w:rFonts w:ascii="Avenir Book" w:hAnsi="Avenir Book"/>
          <w:b/>
          <w:bCs/>
          <w:i/>
          <w:iCs/>
          <w:sz w:val="26"/>
          <w:szCs w:val="26"/>
        </w:rPr>
        <w:br/>
        <w:t>III. Genere daño ambiental o ponga en riesgo la salud pública.</w:t>
      </w:r>
    </w:p>
    <w:p w14:paraId="455C72CE" w14:textId="77777777" w:rsidR="00CE2044" w:rsidRPr="00CE2044" w:rsidRDefault="00CE2044" w:rsidP="000657D5">
      <w:pPr>
        <w:pStyle w:val="NormalWeb"/>
        <w:jc w:val="both"/>
        <w:rPr>
          <w:rFonts w:ascii="Avenir Book" w:hAnsi="Avenir Book"/>
          <w:b/>
          <w:bCs/>
          <w:i/>
          <w:iCs/>
          <w:sz w:val="26"/>
          <w:szCs w:val="26"/>
        </w:rPr>
      </w:pPr>
      <w:r w:rsidRPr="00CE2044">
        <w:rPr>
          <w:rFonts w:ascii="Avenir Book" w:hAnsi="Avenir Book"/>
          <w:b/>
          <w:bCs/>
          <w:i/>
          <w:iCs/>
          <w:sz w:val="26"/>
          <w:szCs w:val="26"/>
        </w:rPr>
        <w:t>Al responsable se le impondrá:</w:t>
      </w:r>
    </w:p>
    <w:p w14:paraId="06AD2B98" w14:textId="77777777" w:rsidR="00CE2044" w:rsidRPr="00CE2044" w:rsidRDefault="00CE2044" w:rsidP="000657D5">
      <w:pPr>
        <w:pStyle w:val="NormalWeb"/>
        <w:numPr>
          <w:ilvl w:val="0"/>
          <w:numId w:val="7"/>
        </w:numPr>
        <w:jc w:val="both"/>
        <w:rPr>
          <w:rFonts w:ascii="Avenir Book" w:hAnsi="Avenir Book"/>
          <w:b/>
          <w:bCs/>
          <w:i/>
          <w:iCs/>
          <w:sz w:val="26"/>
          <w:szCs w:val="26"/>
        </w:rPr>
      </w:pPr>
      <w:r w:rsidRPr="00CE2044">
        <w:rPr>
          <w:rFonts w:ascii="Avenir Book" w:hAnsi="Avenir Book"/>
          <w:b/>
          <w:bCs/>
          <w:i/>
          <w:iCs/>
          <w:sz w:val="26"/>
          <w:szCs w:val="26"/>
        </w:rPr>
        <w:t>De tres a ocho años de prisión;</w:t>
      </w:r>
    </w:p>
    <w:p w14:paraId="3C6E2921" w14:textId="77777777" w:rsidR="00CE2044" w:rsidRPr="00CE2044" w:rsidRDefault="00CE2044" w:rsidP="000657D5">
      <w:pPr>
        <w:pStyle w:val="NormalWeb"/>
        <w:numPr>
          <w:ilvl w:val="0"/>
          <w:numId w:val="7"/>
        </w:numPr>
        <w:jc w:val="both"/>
        <w:rPr>
          <w:rFonts w:ascii="Avenir Book" w:hAnsi="Avenir Book"/>
          <w:b/>
          <w:bCs/>
          <w:i/>
          <w:iCs/>
          <w:sz w:val="26"/>
          <w:szCs w:val="26"/>
        </w:rPr>
      </w:pPr>
      <w:r w:rsidRPr="00CE2044">
        <w:rPr>
          <w:rFonts w:ascii="Avenir Book" w:hAnsi="Avenir Book"/>
          <w:b/>
          <w:bCs/>
          <w:i/>
          <w:iCs/>
          <w:sz w:val="26"/>
          <w:szCs w:val="26"/>
        </w:rPr>
        <w:t>Multa de quinientas a mil quinientas veces la Unidad de Medida y Actualización; y</w:t>
      </w:r>
    </w:p>
    <w:p w14:paraId="692CB8B1" w14:textId="77777777" w:rsidR="00CE2044" w:rsidRPr="00CE2044" w:rsidRDefault="00CE2044" w:rsidP="000657D5">
      <w:pPr>
        <w:pStyle w:val="NormalWeb"/>
        <w:numPr>
          <w:ilvl w:val="0"/>
          <w:numId w:val="7"/>
        </w:numPr>
        <w:jc w:val="both"/>
        <w:rPr>
          <w:rFonts w:ascii="Avenir Book" w:hAnsi="Avenir Book"/>
          <w:b/>
          <w:bCs/>
          <w:i/>
          <w:iCs/>
          <w:sz w:val="26"/>
          <w:szCs w:val="26"/>
        </w:rPr>
      </w:pPr>
      <w:r w:rsidRPr="00CE2044">
        <w:rPr>
          <w:rFonts w:ascii="Avenir Book" w:hAnsi="Avenir Book"/>
          <w:b/>
          <w:bCs/>
          <w:i/>
          <w:iCs/>
          <w:sz w:val="26"/>
          <w:szCs w:val="26"/>
        </w:rPr>
        <w:t>Inhabilitación para desempeñar empleo, cargo o comisión públicos de tres a diez años.</w:t>
      </w:r>
    </w:p>
    <w:p w14:paraId="73B6591B" w14:textId="77777777" w:rsidR="00CE2044" w:rsidRPr="00CE2044" w:rsidRDefault="00CE2044" w:rsidP="000657D5">
      <w:pPr>
        <w:pStyle w:val="NormalWeb"/>
        <w:jc w:val="both"/>
        <w:rPr>
          <w:rFonts w:ascii="Avenir Book" w:hAnsi="Avenir Book"/>
          <w:b/>
          <w:bCs/>
          <w:i/>
          <w:iCs/>
          <w:sz w:val="26"/>
          <w:szCs w:val="26"/>
        </w:rPr>
      </w:pPr>
      <w:r w:rsidRPr="00CE2044">
        <w:rPr>
          <w:rFonts w:ascii="Avenir Book" w:hAnsi="Avenir Book"/>
          <w:b/>
          <w:bCs/>
          <w:i/>
          <w:iCs/>
          <w:sz w:val="26"/>
          <w:szCs w:val="26"/>
        </w:rPr>
        <w:t>Cuando la conducta se cometa por omisión, se sancionará en los mismos términos, siempre que el servidor público tenga obligación legal, reglamentaria o contractual de prevenir, corregir o sancionar el desperdicio del agua.</w:t>
      </w:r>
    </w:p>
    <w:p w14:paraId="358555D9" w14:textId="77777777" w:rsidR="00CE2044" w:rsidRPr="00CE2044" w:rsidRDefault="00CE2044" w:rsidP="000657D5">
      <w:pPr>
        <w:pStyle w:val="NormalWeb"/>
        <w:rPr>
          <w:rFonts w:ascii="Avenir Book" w:hAnsi="Avenir Book"/>
          <w:b/>
          <w:bCs/>
          <w:i/>
          <w:iCs/>
          <w:sz w:val="26"/>
          <w:szCs w:val="26"/>
        </w:rPr>
      </w:pPr>
      <w:r w:rsidRPr="00CE2044">
        <w:rPr>
          <w:rFonts w:ascii="Avenir Book" w:hAnsi="Avenir Book"/>
          <w:b/>
          <w:bCs/>
          <w:i/>
          <w:iCs/>
          <w:sz w:val="26"/>
          <w:szCs w:val="26"/>
        </w:rPr>
        <w:t>Las penas se aumentarán hasta en una mitad cuando los hechos se cometan:</w:t>
      </w:r>
      <w:r w:rsidRPr="00CE2044">
        <w:rPr>
          <w:rFonts w:ascii="Avenir Book" w:hAnsi="Avenir Book"/>
          <w:b/>
          <w:bCs/>
          <w:i/>
          <w:iCs/>
          <w:sz w:val="26"/>
          <w:szCs w:val="26"/>
        </w:rPr>
        <w:br/>
        <w:t>a) En zonas con escasez hídrica declarada;</w:t>
      </w:r>
      <w:r w:rsidRPr="00CE2044">
        <w:rPr>
          <w:rFonts w:ascii="Avenir Book" w:hAnsi="Avenir Book"/>
          <w:b/>
          <w:bCs/>
          <w:i/>
          <w:iCs/>
          <w:sz w:val="26"/>
          <w:szCs w:val="26"/>
        </w:rPr>
        <w:br/>
        <w:t>b) En infraestructura pública destinada al suministro de agua; o</w:t>
      </w:r>
      <w:r w:rsidRPr="00CE2044">
        <w:rPr>
          <w:rFonts w:ascii="Avenir Book" w:hAnsi="Avenir Book"/>
          <w:b/>
          <w:bCs/>
          <w:i/>
          <w:iCs/>
          <w:sz w:val="26"/>
          <w:szCs w:val="26"/>
        </w:rPr>
        <w:br/>
        <w:t>c) Con la finalidad de beneficiar indebidamente a terceros.</w:t>
      </w:r>
    </w:p>
    <w:p w14:paraId="573B352E" w14:textId="77777777" w:rsidR="000657D5" w:rsidRDefault="000657D5" w:rsidP="006051E8">
      <w:pPr>
        <w:pStyle w:val="NormalWeb"/>
        <w:jc w:val="center"/>
        <w:rPr>
          <w:rFonts w:ascii="Avenir Book" w:hAnsi="Avenir Book"/>
          <w:b/>
          <w:bCs/>
          <w:sz w:val="26"/>
          <w:szCs w:val="26"/>
        </w:rPr>
      </w:pPr>
    </w:p>
    <w:p w14:paraId="15740D44" w14:textId="77777777" w:rsidR="000657D5" w:rsidRDefault="000657D5" w:rsidP="006051E8">
      <w:pPr>
        <w:pStyle w:val="NormalWeb"/>
        <w:jc w:val="center"/>
        <w:rPr>
          <w:rFonts w:ascii="Avenir Book" w:hAnsi="Avenir Book"/>
          <w:b/>
          <w:bCs/>
          <w:sz w:val="26"/>
          <w:szCs w:val="26"/>
        </w:rPr>
      </w:pPr>
    </w:p>
    <w:p w14:paraId="202D9E3B" w14:textId="77777777" w:rsidR="006051E8" w:rsidRPr="006051E8" w:rsidRDefault="006051E8" w:rsidP="006051E8">
      <w:pPr>
        <w:pStyle w:val="NormalWeb"/>
        <w:jc w:val="center"/>
        <w:rPr>
          <w:rFonts w:ascii="Avenir Book" w:hAnsi="Avenir Book"/>
          <w:b/>
          <w:bCs/>
          <w:sz w:val="26"/>
          <w:szCs w:val="26"/>
        </w:rPr>
      </w:pPr>
      <w:r w:rsidRPr="006051E8">
        <w:rPr>
          <w:rFonts w:ascii="Avenir Book" w:hAnsi="Avenir Book"/>
          <w:b/>
          <w:bCs/>
          <w:sz w:val="26"/>
          <w:szCs w:val="26"/>
        </w:rPr>
        <w:t>TRANSITORIOS</w:t>
      </w:r>
    </w:p>
    <w:p w14:paraId="111BFD93" w14:textId="77777777" w:rsidR="000657D5" w:rsidRPr="000657D5" w:rsidRDefault="000657D5" w:rsidP="000657D5">
      <w:pPr>
        <w:jc w:val="both"/>
        <w:rPr>
          <w:rFonts w:ascii="Avenir Book" w:hAnsi="Avenir Book"/>
          <w:sz w:val="26"/>
          <w:szCs w:val="26"/>
        </w:rPr>
      </w:pPr>
      <w:r w:rsidRPr="000657D5">
        <w:rPr>
          <w:rFonts w:ascii="Avenir Book" w:hAnsi="Avenir Book"/>
          <w:b/>
          <w:bCs/>
          <w:sz w:val="26"/>
          <w:szCs w:val="26"/>
        </w:rPr>
        <w:t xml:space="preserve">Primero. </w:t>
      </w:r>
      <w:r w:rsidRPr="000657D5">
        <w:rPr>
          <w:rFonts w:ascii="Avenir Book" w:hAnsi="Avenir Book"/>
          <w:sz w:val="26"/>
          <w:szCs w:val="26"/>
        </w:rPr>
        <w:t>El presente Decreto entrará en vigor al día siguiente de su publicación en el Periódico Oficial del Estado.</w:t>
      </w:r>
    </w:p>
    <w:p w14:paraId="79DBB675" w14:textId="77777777" w:rsidR="000657D5" w:rsidRPr="000657D5" w:rsidRDefault="000657D5" w:rsidP="000657D5">
      <w:pPr>
        <w:jc w:val="both"/>
        <w:rPr>
          <w:rFonts w:ascii="Avenir Book" w:hAnsi="Avenir Book"/>
          <w:b/>
          <w:bCs/>
          <w:sz w:val="26"/>
          <w:szCs w:val="26"/>
        </w:rPr>
      </w:pPr>
    </w:p>
    <w:p w14:paraId="7CF3A055" w14:textId="77777777" w:rsidR="000657D5" w:rsidRPr="000657D5" w:rsidRDefault="000657D5" w:rsidP="000657D5">
      <w:pPr>
        <w:jc w:val="both"/>
        <w:rPr>
          <w:rFonts w:ascii="Avenir Book" w:hAnsi="Avenir Book"/>
          <w:sz w:val="26"/>
          <w:szCs w:val="26"/>
        </w:rPr>
      </w:pPr>
      <w:r w:rsidRPr="000657D5">
        <w:rPr>
          <w:rFonts w:ascii="Avenir Book" w:hAnsi="Avenir Book"/>
          <w:b/>
          <w:bCs/>
          <w:sz w:val="26"/>
          <w:szCs w:val="26"/>
        </w:rPr>
        <w:t xml:space="preserve">Segundo. </w:t>
      </w:r>
      <w:r w:rsidRPr="000657D5">
        <w:rPr>
          <w:rFonts w:ascii="Avenir Book" w:hAnsi="Avenir Book"/>
          <w:sz w:val="26"/>
          <w:szCs w:val="26"/>
        </w:rPr>
        <w:t>Las autoridades competentes deberán armonizar, en su caso, los reglamentos y disposiciones administrativas correspondientes, conforme a lo establecido en el presente Decreto.</w:t>
      </w:r>
    </w:p>
    <w:p w14:paraId="295AEA92" w14:textId="77777777" w:rsidR="000657D5" w:rsidRPr="000657D5" w:rsidRDefault="000657D5" w:rsidP="000657D5">
      <w:pPr>
        <w:jc w:val="both"/>
        <w:rPr>
          <w:rFonts w:ascii="Avenir Book" w:hAnsi="Avenir Book"/>
          <w:b/>
          <w:bCs/>
          <w:sz w:val="26"/>
          <w:szCs w:val="26"/>
        </w:rPr>
      </w:pPr>
    </w:p>
    <w:p w14:paraId="1FE5A919" w14:textId="77777777" w:rsidR="00CC63C5" w:rsidRPr="00634905" w:rsidRDefault="00CC63C5" w:rsidP="000657D5">
      <w:pPr>
        <w:jc w:val="center"/>
        <w:rPr>
          <w:rFonts w:ascii="Avenir Book" w:hAnsi="Avenir Book"/>
          <w:sz w:val="26"/>
          <w:szCs w:val="26"/>
        </w:rPr>
      </w:pPr>
      <w:r>
        <w:rPr>
          <w:rFonts w:ascii="Avenir Book" w:hAnsi="Avenir Book"/>
          <w:sz w:val="26"/>
          <w:szCs w:val="26"/>
        </w:rPr>
        <w:lastRenderedPageBreak/>
        <w:t xml:space="preserve">Chihuahua, </w:t>
      </w:r>
      <w:r w:rsidRPr="009F6D1F">
        <w:rPr>
          <w:rFonts w:ascii="Avenir Book" w:hAnsi="Avenir Book"/>
          <w:sz w:val="26"/>
          <w:szCs w:val="26"/>
        </w:rPr>
        <w:t>Chih. a los</w:t>
      </w:r>
      <w:r w:rsidR="009F6D1F" w:rsidRPr="009F6D1F">
        <w:rPr>
          <w:rFonts w:ascii="Avenir Book" w:hAnsi="Avenir Book"/>
          <w:sz w:val="26"/>
          <w:szCs w:val="26"/>
        </w:rPr>
        <w:t xml:space="preserve"> </w:t>
      </w:r>
      <w:r w:rsidR="000657D5">
        <w:rPr>
          <w:rFonts w:ascii="Avenir Book" w:hAnsi="Avenir Book"/>
          <w:sz w:val="26"/>
          <w:szCs w:val="26"/>
        </w:rPr>
        <w:t>veinte dias del</w:t>
      </w:r>
      <w:r w:rsidR="009F6D1F" w:rsidRPr="009F6D1F">
        <w:rPr>
          <w:rFonts w:ascii="Avenir Book" w:hAnsi="Avenir Book"/>
          <w:sz w:val="26"/>
          <w:szCs w:val="26"/>
        </w:rPr>
        <w:t xml:space="preserve"> mes de </w:t>
      </w:r>
      <w:r w:rsidR="000657D5">
        <w:rPr>
          <w:rFonts w:ascii="Avenir Book" w:hAnsi="Avenir Book"/>
          <w:sz w:val="26"/>
          <w:szCs w:val="26"/>
        </w:rPr>
        <w:t>febrero del dos mil veint</w:t>
      </w:r>
      <w:r w:rsidR="00921F06">
        <w:rPr>
          <w:rFonts w:ascii="Avenir Book" w:hAnsi="Avenir Book"/>
          <w:sz w:val="26"/>
          <w:szCs w:val="26"/>
        </w:rPr>
        <w:t>i</w:t>
      </w:r>
      <w:r w:rsidR="000657D5">
        <w:rPr>
          <w:rFonts w:ascii="Avenir Book" w:hAnsi="Avenir Book"/>
          <w:sz w:val="26"/>
          <w:szCs w:val="26"/>
        </w:rPr>
        <w:t>seis.</w:t>
      </w:r>
    </w:p>
    <w:p w14:paraId="4894F78D" w14:textId="77777777" w:rsidR="00CC63C5" w:rsidRDefault="00CC63C5" w:rsidP="00CC63C5">
      <w:pPr>
        <w:spacing w:before="200" w:after="200" w:line="360" w:lineRule="auto"/>
        <w:ind w:left="720"/>
        <w:jc w:val="center"/>
        <w:rPr>
          <w:rFonts w:ascii="Avenir Book" w:eastAsia="Montserrat" w:hAnsi="Avenir Book" w:cs="Montserrat"/>
          <w:b/>
          <w:sz w:val="26"/>
          <w:szCs w:val="26"/>
        </w:rPr>
      </w:pPr>
    </w:p>
    <w:p w14:paraId="15E9C367" w14:textId="77777777" w:rsidR="00D34ADC" w:rsidRPr="0008069D" w:rsidRDefault="00060CFA" w:rsidP="0008069D">
      <w:pPr>
        <w:spacing w:before="200" w:after="200" w:line="360" w:lineRule="auto"/>
        <w:ind w:left="720"/>
        <w:jc w:val="center"/>
        <w:rPr>
          <w:rFonts w:ascii="Avenir Book" w:eastAsia="Montserrat" w:hAnsi="Avenir Book" w:cs="Montserrat"/>
          <w:b/>
          <w:sz w:val="26"/>
          <w:szCs w:val="26"/>
        </w:rPr>
      </w:pPr>
      <w:r w:rsidRPr="00AF2899">
        <w:rPr>
          <w:rFonts w:ascii="Avenir Book" w:eastAsia="Montserrat" w:hAnsi="Avenir Book" w:cs="Montserrat"/>
          <w:b/>
          <w:sz w:val="26"/>
          <w:szCs w:val="26"/>
        </w:rPr>
        <w:t>ATENTAMENTE</w:t>
      </w:r>
    </w:p>
    <w:p w14:paraId="43F9FE77" w14:textId="77777777" w:rsidR="00D34ADC" w:rsidRPr="00AF2899" w:rsidRDefault="00060CFA" w:rsidP="00CC63C5">
      <w:pPr>
        <w:ind w:firstLine="700"/>
        <w:jc w:val="center"/>
        <w:rPr>
          <w:rFonts w:ascii="Avenir Book" w:eastAsia="Montserrat" w:hAnsi="Avenir Book" w:cs="Montserrat"/>
          <w:b/>
          <w:sz w:val="26"/>
          <w:szCs w:val="26"/>
        </w:rPr>
      </w:pPr>
      <w:r w:rsidRPr="00AF2899">
        <w:rPr>
          <w:rFonts w:ascii="Avenir Book" w:eastAsia="Montserrat" w:hAnsi="Avenir Book" w:cs="Montserrat"/>
          <w:b/>
          <w:sz w:val="26"/>
          <w:szCs w:val="26"/>
        </w:rPr>
        <w:t xml:space="preserve"> ALMA YESENIA PORTILLO LERMA</w:t>
      </w:r>
    </w:p>
    <w:p w14:paraId="68A3EFF9" w14:textId="77777777" w:rsidR="00D34ADC" w:rsidRPr="00AF2899" w:rsidRDefault="00060CFA" w:rsidP="00CC63C5">
      <w:pPr>
        <w:ind w:firstLine="700"/>
        <w:jc w:val="center"/>
        <w:rPr>
          <w:rFonts w:ascii="Avenir Book" w:eastAsia="Montserrat" w:hAnsi="Avenir Book" w:cs="Montserrat"/>
          <w:b/>
          <w:sz w:val="26"/>
          <w:szCs w:val="26"/>
        </w:rPr>
      </w:pPr>
      <w:r w:rsidRPr="00AF2899">
        <w:rPr>
          <w:rFonts w:ascii="Avenir Book" w:eastAsia="Montserrat" w:hAnsi="Avenir Book" w:cs="Montserrat"/>
          <w:b/>
          <w:sz w:val="26"/>
          <w:szCs w:val="26"/>
        </w:rPr>
        <w:t>DIPUTADA CIUDADANA</w:t>
      </w:r>
    </w:p>
    <w:p w14:paraId="743A0E01" w14:textId="77777777" w:rsidR="00D34ADC" w:rsidRPr="00AF2899" w:rsidRDefault="00060CFA" w:rsidP="00CC63C5">
      <w:pPr>
        <w:ind w:left="720"/>
        <w:jc w:val="center"/>
        <w:rPr>
          <w:rFonts w:ascii="Avenir Book" w:eastAsia="Montserrat" w:hAnsi="Avenir Book" w:cs="Montserrat"/>
          <w:b/>
          <w:sz w:val="26"/>
          <w:szCs w:val="26"/>
        </w:rPr>
      </w:pPr>
      <w:r w:rsidRPr="00AF2899">
        <w:rPr>
          <w:rFonts w:ascii="Avenir Book" w:eastAsia="Montserrat" w:hAnsi="Avenir Book" w:cs="Montserrat"/>
          <w:b/>
          <w:sz w:val="26"/>
          <w:szCs w:val="26"/>
        </w:rPr>
        <w:t>GRUPO PARLAMENTARIO DE MOVIMIENTO CIUDADANO</w:t>
      </w:r>
    </w:p>
    <w:p w14:paraId="72382170" w14:textId="77777777" w:rsidR="00AF2899" w:rsidRPr="00C6668B" w:rsidRDefault="00AF2899" w:rsidP="00C6668B">
      <w:pPr>
        <w:ind w:left="720"/>
        <w:jc w:val="center"/>
        <w:rPr>
          <w:rFonts w:ascii="Avenir Book" w:eastAsia="Montserrat" w:hAnsi="Avenir Book" w:cs="Montserrat"/>
          <w:sz w:val="26"/>
          <w:szCs w:val="26"/>
        </w:rPr>
      </w:pPr>
    </w:p>
    <w:sectPr w:rsidR="00AF2899" w:rsidRPr="00C6668B">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D7892" w14:textId="77777777" w:rsidR="00D41DD6" w:rsidRDefault="00D41DD6">
      <w:r>
        <w:separator/>
      </w:r>
    </w:p>
  </w:endnote>
  <w:endnote w:type="continuationSeparator" w:id="0">
    <w:p w14:paraId="3AAF38B8" w14:textId="77777777" w:rsidR="00D41DD6" w:rsidRDefault="00D4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0209" w14:textId="77777777" w:rsidR="00D34ADC" w:rsidRDefault="00060CFA">
    <w:pPr>
      <w:jc w:val="right"/>
    </w:pPr>
    <w:r>
      <w:rPr>
        <w:rFonts w:ascii="Montserrat" w:eastAsia="Montserrat" w:hAnsi="Montserrat" w:cs="Montserrat"/>
      </w:rPr>
      <w:fldChar w:fldCharType="begin"/>
    </w:r>
    <w:r>
      <w:rPr>
        <w:rFonts w:ascii="Montserrat" w:eastAsia="Montserrat" w:hAnsi="Montserrat" w:cs="Montserrat"/>
      </w:rPr>
      <w:instrText>PAGE</w:instrText>
    </w:r>
    <w:r>
      <w:rPr>
        <w:rFonts w:ascii="Montserrat" w:eastAsia="Montserrat" w:hAnsi="Montserrat" w:cs="Montserrat"/>
      </w:rPr>
      <w:fldChar w:fldCharType="separate"/>
    </w:r>
    <w:r w:rsidR="00CB617A">
      <w:rPr>
        <w:rFonts w:ascii="Montserrat" w:eastAsia="Montserrat" w:hAnsi="Montserrat" w:cs="Montserrat"/>
        <w:noProof/>
      </w:rPr>
      <w:t>1</w:t>
    </w:r>
    <w:r>
      <w:rPr>
        <w:rFonts w:ascii="Montserrat" w:eastAsia="Montserrat" w:hAnsi="Montserrat" w:cs="Montserr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C73C" w14:textId="77777777" w:rsidR="00D41DD6" w:rsidRDefault="00D41DD6">
      <w:r>
        <w:separator/>
      </w:r>
    </w:p>
  </w:footnote>
  <w:footnote w:type="continuationSeparator" w:id="0">
    <w:p w14:paraId="7C7A92DD" w14:textId="77777777" w:rsidR="00D41DD6" w:rsidRDefault="00D41DD6">
      <w:r>
        <w:continuationSeparator/>
      </w:r>
    </w:p>
  </w:footnote>
  <w:footnote w:id="1">
    <w:p w14:paraId="6E0A6632" w14:textId="77777777" w:rsidR="00901176" w:rsidRPr="00901176" w:rsidRDefault="00901176">
      <w:pPr>
        <w:pStyle w:val="Textonotapie"/>
        <w:rPr>
          <w:lang w:val="es-ES"/>
        </w:rPr>
      </w:pPr>
      <w:r>
        <w:rPr>
          <w:rStyle w:val="Refdenotaalpie"/>
        </w:rPr>
        <w:footnoteRef/>
      </w:r>
      <w:r>
        <w:t xml:space="preserve"> Constitución Política de los Estados Unidos Mexicanos.</w:t>
      </w:r>
    </w:p>
  </w:footnote>
  <w:footnote w:id="2">
    <w:p w14:paraId="1FFF9164" w14:textId="77777777" w:rsidR="00901176" w:rsidRPr="00901176" w:rsidRDefault="00901176">
      <w:pPr>
        <w:pStyle w:val="Textonotapie"/>
        <w:rPr>
          <w:lang w:val="es-ES"/>
        </w:rPr>
      </w:pPr>
      <w:r>
        <w:rPr>
          <w:rStyle w:val="Refdenotaalpie"/>
        </w:rPr>
        <w:footnoteRef/>
      </w:r>
      <w:r>
        <w:t xml:space="preserve"> </w:t>
      </w:r>
      <w:r>
        <w:rPr>
          <w:rStyle w:val="Textoennegrita"/>
        </w:rPr>
        <w:t>Suprema Corte de Justicia de la Nación, Primera Sala.</w:t>
      </w:r>
      <w:r>
        <w:br/>
      </w:r>
      <w:r>
        <w:rPr>
          <w:rStyle w:val="nfasis"/>
        </w:rPr>
        <w:t>Derecho humano al agua. Su contenido y alcance.</w:t>
      </w:r>
      <w:r>
        <w:br/>
        <w:t xml:space="preserve">Tesis aislada, Registro digital </w:t>
      </w:r>
      <w:r>
        <w:rPr>
          <w:rStyle w:val="Textoennegrita"/>
        </w:rPr>
        <w:t>2008660</w:t>
      </w:r>
      <w:r>
        <w:t>, Semanario Judicial de la Federación.</w:t>
      </w:r>
    </w:p>
  </w:footnote>
  <w:footnote w:id="3">
    <w:p w14:paraId="2A795B4F" w14:textId="77777777" w:rsidR="00901176" w:rsidRPr="00901176" w:rsidRDefault="00901176">
      <w:pPr>
        <w:pStyle w:val="Textonotapie"/>
        <w:rPr>
          <w:lang w:val="es-ES"/>
        </w:rPr>
      </w:pPr>
      <w:r>
        <w:rPr>
          <w:rStyle w:val="Refdenotaalpie"/>
        </w:rPr>
        <w:footnoteRef/>
      </w:r>
      <w:r>
        <w:t xml:space="preserve"> </w:t>
      </w:r>
      <w:r>
        <w:rPr>
          <w:rStyle w:val="Textoennegrita"/>
        </w:rPr>
        <w:t>Suprema Corte de Justicia de la Nación.</w:t>
      </w:r>
      <w:r>
        <w:br/>
      </w:r>
      <w:r>
        <w:rPr>
          <w:rStyle w:val="nfasis"/>
        </w:rPr>
        <w:t>Amparo en revisión 307/2016.</w:t>
      </w:r>
    </w:p>
  </w:footnote>
  <w:footnote w:id="4">
    <w:p w14:paraId="0CB09F19" w14:textId="77777777" w:rsidR="00901176" w:rsidRPr="00901176" w:rsidRDefault="00901176">
      <w:pPr>
        <w:pStyle w:val="Textonotapie"/>
        <w:rPr>
          <w:lang w:val="es-ES"/>
        </w:rPr>
      </w:pPr>
      <w:r>
        <w:rPr>
          <w:rStyle w:val="Refdenotaalpie"/>
        </w:rPr>
        <w:footnoteRef/>
      </w:r>
      <w:r>
        <w:t xml:space="preserve"> </w:t>
      </w:r>
      <w:r>
        <w:rPr>
          <w:rStyle w:val="Textoennegrita"/>
        </w:rPr>
        <w:t>Asamblea General de las Naciones Unidas.</w:t>
      </w:r>
      <w:r>
        <w:br/>
        <w:t xml:space="preserve">Resolución </w:t>
      </w:r>
      <w:r>
        <w:rPr>
          <w:rStyle w:val="Textoennegrita"/>
        </w:rPr>
        <w:t>64/292</w:t>
      </w:r>
      <w:r>
        <w:t xml:space="preserve">, </w:t>
      </w:r>
      <w:r>
        <w:rPr>
          <w:rStyle w:val="nfasis"/>
        </w:rPr>
        <w:t>El derecho humano al agua y el saneamiento</w:t>
      </w:r>
      <w:r>
        <w:t>, adoptada el 28 de julio de 2010.</w:t>
      </w:r>
    </w:p>
  </w:footnote>
  <w:footnote w:id="5">
    <w:p w14:paraId="6ED43ACD" w14:textId="77777777" w:rsidR="00901176" w:rsidRPr="00901176" w:rsidRDefault="00901176">
      <w:pPr>
        <w:pStyle w:val="Textonotapie"/>
        <w:rPr>
          <w:lang w:val="es-ES"/>
        </w:rPr>
      </w:pPr>
      <w:r>
        <w:rPr>
          <w:rStyle w:val="Refdenotaalpie"/>
        </w:rPr>
        <w:footnoteRef/>
      </w:r>
      <w:r>
        <w:t xml:space="preserve"> </w:t>
      </w:r>
      <w:r>
        <w:rPr>
          <w:rStyle w:val="Textoennegrita"/>
        </w:rPr>
        <w:t>Comité de Derechos Económicos, Sociales y Culturales de las Naciones Unidas.</w:t>
      </w:r>
      <w:r>
        <w:br/>
      </w:r>
      <w:r>
        <w:rPr>
          <w:rStyle w:val="Textoennegrita"/>
        </w:rPr>
        <w:t>Observación General No. 15 (2002).</w:t>
      </w:r>
      <w:r>
        <w:br/>
      </w:r>
      <w:r>
        <w:rPr>
          <w:rStyle w:val="nfasis"/>
        </w:rPr>
        <w:t>El derecho al agua (artículos 11 y 12 del Pacto Internacional de Derechos Económicos, Sociales y Culturales).</w:t>
      </w:r>
    </w:p>
  </w:footnote>
  <w:footnote w:id="6">
    <w:p w14:paraId="5EE0B791" w14:textId="77777777" w:rsidR="00901176" w:rsidRPr="00901176" w:rsidRDefault="00901176">
      <w:pPr>
        <w:pStyle w:val="Textonotapie"/>
        <w:rPr>
          <w:lang w:val="es-ES"/>
        </w:rPr>
      </w:pPr>
      <w:r>
        <w:rPr>
          <w:rStyle w:val="Refdenotaalpie"/>
        </w:rPr>
        <w:footnoteRef/>
      </w:r>
      <w:r>
        <w:t xml:space="preserve"> </w:t>
      </w:r>
      <w:r>
        <w:rPr>
          <w:rStyle w:val="Textoennegrita"/>
        </w:rPr>
        <w:t>Organización de las Naciones Unidas.</w:t>
      </w:r>
      <w:r>
        <w:br/>
      </w:r>
      <w:r>
        <w:rPr>
          <w:rStyle w:val="nfasis"/>
        </w:rPr>
        <w:t>Pacto Internacional de Derechos Económicos, Sociales y Culturales.</w:t>
      </w:r>
      <w:r>
        <w:br/>
        <w:t>Adoptado el 16 de diciembre de 1966, en vigor para México desde 1981.</w:t>
      </w:r>
    </w:p>
  </w:footnote>
  <w:footnote w:id="7">
    <w:p w14:paraId="6DEF217F" w14:textId="77777777" w:rsidR="00901176" w:rsidRPr="00901176" w:rsidRDefault="00901176">
      <w:pPr>
        <w:pStyle w:val="Textonotapie"/>
        <w:rPr>
          <w:lang w:val="es-ES"/>
        </w:rPr>
      </w:pPr>
      <w:r>
        <w:rPr>
          <w:rStyle w:val="Refdenotaalpie"/>
        </w:rPr>
        <w:footnoteRef/>
      </w:r>
      <w:r>
        <w:t xml:space="preserve"> </w:t>
      </w:r>
      <w:r>
        <w:rPr>
          <w:rStyle w:val="Textoennegrita"/>
        </w:rPr>
        <w:t>Programa de las Naciones Unidas para el Desarrollo (PNUD).</w:t>
      </w:r>
      <w:r>
        <w:br/>
      </w:r>
      <w:r>
        <w:rPr>
          <w:rStyle w:val="nfasis"/>
        </w:rPr>
        <w:t>Informe sobre Desarrollo Humano: Más allá de la escasez: poder, pobreza y la crisis mundial del agua.</w:t>
      </w:r>
      <w:r>
        <w:br/>
        <w:t>Naciones Unidas, 2006.</w:t>
      </w:r>
    </w:p>
  </w:footnote>
  <w:footnote w:id="8">
    <w:p w14:paraId="09E4ED97" w14:textId="77777777" w:rsidR="00B123D5" w:rsidRPr="00B123D5" w:rsidRDefault="00B123D5">
      <w:pPr>
        <w:pStyle w:val="Textonotapie"/>
        <w:rPr>
          <w:lang w:val="es-ES"/>
        </w:rPr>
      </w:pPr>
      <w:r>
        <w:rPr>
          <w:rStyle w:val="Refdenotaalpie"/>
        </w:rPr>
        <w:footnoteRef/>
      </w:r>
      <w:r>
        <w:t xml:space="preserve"> </w:t>
      </w:r>
      <w:r>
        <w:rPr>
          <w:rStyle w:val="Textoennegrita"/>
        </w:rPr>
        <w:t>Asamblea General de las Naciones Unidas</w:t>
      </w:r>
      <w:r>
        <w:br/>
        <w:t xml:space="preserve">Resolución </w:t>
      </w:r>
      <w:r>
        <w:rPr>
          <w:rStyle w:val="Textoennegrita"/>
        </w:rPr>
        <w:t>64/292</w:t>
      </w:r>
      <w:r>
        <w:t xml:space="preserve"> (2010).</w:t>
      </w:r>
    </w:p>
  </w:footnote>
  <w:footnote w:id="9">
    <w:p w14:paraId="2E7B756D" w14:textId="77777777" w:rsidR="00B123D5" w:rsidRPr="00B123D5" w:rsidRDefault="00B123D5">
      <w:pPr>
        <w:pStyle w:val="Textonotapie"/>
        <w:rPr>
          <w:lang w:val="es-ES"/>
        </w:rPr>
      </w:pPr>
      <w:r>
        <w:rPr>
          <w:rStyle w:val="Refdenotaalpie"/>
        </w:rPr>
        <w:footnoteRef/>
      </w:r>
      <w:r>
        <w:t xml:space="preserve"> </w:t>
      </w:r>
      <w:r>
        <w:rPr>
          <w:rStyle w:val="Textoennegrita"/>
        </w:rPr>
        <w:t>Comité de Derechos Económicos, Sociales y Culturales de la ONU</w:t>
      </w:r>
      <w:r>
        <w:br/>
      </w:r>
      <w:r>
        <w:rPr>
          <w:rStyle w:val="Textoennegrita"/>
        </w:rPr>
        <w:t>Observación General No. 15 (2002)</w:t>
      </w:r>
      <w:r>
        <w:t>.</w:t>
      </w:r>
    </w:p>
  </w:footnote>
  <w:footnote w:id="10">
    <w:p w14:paraId="51549995" w14:textId="77777777" w:rsidR="00B123D5" w:rsidRPr="00B123D5" w:rsidRDefault="00B123D5">
      <w:pPr>
        <w:pStyle w:val="Textonotapie"/>
        <w:rPr>
          <w:lang w:val="es-ES"/>
        </w:rPr>
      </w:pPr>
      <w:r>
        <w:rPr>
          <w:rStyle w:val="Refdenotaalpie"/>
        </w:rPr>
        <w:footnoteRef/>
      </w:r>
      <w:r>
        <w:t xml:space="preserve"> </w:t>
      </w:r>
      <w:r>
        <w:rPr>
          <w:rStyle w:val="Textoennegrita"/>
        </w:rPr>
        <w:t>Programa de las Naciones Unidas para el Desarrollo (PNUD)</w:t>
      </w:r>
      <w:r>
        <w:br/>
      </w:r>
      <w:r>
        <w:rPr>
          <w:rStyle w:val="nfasis"/>
        </w:rPr>
        <w:t>Más allá de la escasez: poder, pobreza y la crisis mundial del agua.</w:t>
      </w:r>
      <w:r>
        <w:br/>
        <w:t>Informe sobre Desarrollo Humano, 2006.</w:t>
      </w:r>
    </w:p>
  </w:footnote>
  <w:footnote w:id="11">
    <w:p w14:paraId="3594D1CE" w14:textId="77777777" w:rsidR="000F32FF" w:rsidRDefault="000F32FF">
      <w:pPr>
        <w:pStyle w:val="Textonotapie"/>
      </w:pPr>
      <w:r>
        <w:rPr>
          <w:rStyle w:val="Refdenotaalpie"/>
        </w:rPr>
        <w:footnoteRef/>
      </w:r>
      <w:r>
        <w:t xml:space="preserve"> </w:t>
      </w:r>
      <w:r>
        <w:rPr>
          <w:rStyle w:val="Textoennegrita"/>
        </w:rPr>
        <w:t>Constitución Política de los Estados Unidos Mexicanos</w:t>
      </w:r>
      <w:r>
        <w:br/>
        <w:t>Artículos 1°, 4° y 109.</w:t>
      </w:r>
    </w:p>
    <w:p w14:paraId="29419C29" w14:textId="77777777" w:rsidR="000F32FF" w:rsidRPr="000F32FF" w:rsidRDefault="000F32FF">
      <w:pPr>
        <w:pStyle w:val="Textonotapie"/>
        <w:rPr>
          <w:lang w:val="es-ES"/>
        </w:rPr>
      </w:pPr>
    </w:p>
  </w:footnote>
  <w:footnote w:id="12">
    <w:p w14:paraId="55109FF1" w14:textId="77777777" w:rsidR="000F32FF" w:rsidRPr="000F32FF" w:rsidRDefault="000F32FF">
      <w:pPr>
        <w:pStyle w:val="Textonotapie"/>
        <w:rPr>
          <w:lang w:val="es-ES"/>
        </w:rPr>
      </w:pPr>
      <w:r>
        <w:rPr>
          <w:rStyle w:val="Refdenotaalpie"/>
        </w:rPr>
        <w:footnoteRef/>
      </w:r>
      <w:r>
        <w:t xml:space="preserve"> </w:t>
      </w:r>
      <w:r>
        <w:rPr>
          <w:rStyle w:val="Textoennegrita"/>
        </w:rPr>
        <w:t>SCJN, Primera Sala</w:t>
      </w:r>
      <w:r>
        <w:br/>
        <w:t xml:space="preserve">Tesis aislada, Registro digital </w:t>
      </w:r>
      <w:r>
        <w:rPr>
          <w:rStyle w:val="Textoennegrita"/>
        </w:rPr>
        <w:t>2008660</w:t>
      </w:r>
      <w:r>
        <w:t xml:space="preserve">, </w:t>
      </w:r>
      <w:r>
        <w:rPr>
          <w:rStyle w:val="nfasis"/>
        </w:rPr>
        <w:t>Derecho humano al agua. Su contenido y alcance</w:t>
      </w:r>
      <w:r>
        <w:t>.</w:t>
      </w:r>
    </w:p>
  </w:footnote>
  <w:footnote w:id="13">
    <w:p w14:paraId="79D4D297" w14:textId="77777777" w:rsidR="000F32FF" w:rsidRPr="000F32FF" w:rsidRDefault="000F32FF">
      <w:pPr>
        <w:pStyle w:val="Textonotapie"/>
        <w:rPr>
          <w:lang w:val="es-ES"/>
        </w:rPr>
      </w:pPr>
      <w:r>
        <w:rPr>
          <w:rStyle w:val="Refdenotaalpie"/>
        </w:rPr>
        <w:footnoteRef/>
      </w:r>
      <w:r>
        <w:t xml:space="preserve"> </w:t>
      </w:r>
      <w:r>
        <w:rPr>
          <w:rStyle w:val="Textoennegrita"/>
        </w:rPr>
        <w:t>SCJN</w:t>
      </w:r>
      <w:r>
        <w:br/>
        <w:t xml:space="preserve">Tesis relativa al principio de </w:t>
      </w:r>
      <w:r>
        <w:rPr>
          <w:rStyle w:val="Textoennegrita"/>
        </w:rPr>
        <w:t>responsabilidad por omisión</w:t>
      </w:r>
      <w:r>
        <w:t xml:space="preserve"> de autoridades cuando existe deber jurídico de actuar.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19FE"/>
    <w:multiLevelType w:val="multilevel"/>
    <w:tmpl w:val="A370B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564D5E"/>
    <w:multiLevelType w:val="multilevel"/>
    <w:tmpl w:val="8690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527E7"/>
    <w:multiLevelType w:val="multilevel"/>
    <w:tmpl w:val="0174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61B4B"/>
    <w:multiLevelType w:val="multilevel"/>
    <w:tmpl w:val="84EC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F564C"/>
    <w:multiLevelType w:val="multilevel"/>
    <w:tmpl w:val="F61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C3328"/>
    <w:multiLevelType w:val="multilevel"/>
    <w:tmpl w:val="61265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4199A"/>
    <w:multiLevelType w:val="multilevel"/>
    <w:tmpl w:val="AAF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DC"/>
    <w:rsid w:val="00012E58"/>
    <w:rsid w:val="00060CFA"/>
    <w:rsid w:val="00061B9B"/>
    <w:rsid w:val="000657D5"/>
    <w:rsid w:val="0008069D"/>
    <w:rsid w:val="000E6C24"/>
    <w:rsid w:val="000F32FF"/>
    <w:rsid w:val="001468C5"/>
    <w:rsid w:val="00170EF1"/>
    <w:rsid w:val="002B54EF"/>
    <w:rsid w:val="003805A4"/>
    <w:rsid w:val="003F0823"/>
    <w:rsid w:val="004B1B22"/>
    <w:rsid w:val="004D3DFB"/>
    <w:rsid w:val="004E6371"/>
    <w:rsid w:val="006051E8"/>
    <w:rsid w:val="00616BA7"/>
    <w:rsid w:val="007242A1"/>
    <w:rsid w:val="008B1382"/>
    <w:rsid w:val="00901176"/>
    <w:rsid w:val="00921F06"/>
    <w:rsid w:val="009F6D1F"/>
    <w:rsid w:val="00A202F4"/>
    <w:rsid w:val="00AB5537"/>
    <w:rsid w:val="00AE0CDB"/>
    <w:rsid w:val="00AF03CE"/>
    <w:rsid w:val="00AF2899"/>
    <w:rsid w:val="00B04F5F"/>
    <w:rsid w:val="00B123D5"/>
    <w:rsid w:val="00B80FB9"/>
    <w:rsid w:val="00C56BDC"/>
    <w:rsid w:val="00C6668B"/>
    <w:rsid w:val="00CB617A"/>
    <w:rsid w:val="00CC63C5"/>
    <w:rsid w:val="00CE2044"/>
    <w:rsid w:val="00D1151A"/>
    <w:rsid w:val="00D34ADC"/>
    <w:rsid w:val="00D41DD6"/>
    <w:rsid w:val="00D7230F"/>
    <w:rsid w:val="00DC36D2"/>
    <w:rsid w:val="00F053BE"/>
    <w:rsid w:val="00F60091"/>
    <w:rsid w:val="00F959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10FE"/>
  <w15:docId w15:val="{E6426076-4730-A941-8A3C-5AFE3C31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99"/>
    <w:pPr>
      <w:spacing w:line="240" w:lineRule="auto"/>
    </w:pPr>
    <w:rPr>
      <w:rFonts w:ascii="Times New Roman" w:eastAsia="Times New Roman" w:hAnsi="Times New Roman" w:cs="Times New Roman"/>
      <w:sz w:val="24"/>
      <w:szCs w:val="24"/>
      <w:lang w:val="es-MX"/>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unhideWhenUsed/>
    <w:qFormat/>
    <w:pPr>
      <w:keepNext/>
      <w:keepLines/>
      <w:spacing w:before="360" w:after="120"/>
      <w:outlineLvl w:val="1"/>
    </w:pPr>
    <w:rPr>
      <w:sz w:val="32"/>
      <w:szCs w:val="32"/>
    </w:rPr>
  </w:style>
  <w:style w:type="paragraph" w:styleId="Ttulo3">
    <w:name w:val="heading 3"/>
    <w:basedOn w:val="Normal"/>
    <w:next w:val="Normal"/>
    <w:link w:val="Ttulo3Car"/>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AF2899"/>
    <w:pPr>
      <w:spacing w:before="100" w:beforeAutospacing="1" w:after="100" w:afterAutospacing="1"/>
    </w:pPr>
  </w:style>
  <w:style w:type="character" w:styleId="Textoennegrita">
    <w:name w:val="Strong"/>
    <w:basedOn w:val="Fuentedeprrafopredeter"/>
    <w:uiPriority w:val="22"/>
    <w:qFormat/>
    <w:rsid w:val="00AF2899"/>
    <w:rPr>
      <w:b/>
      <w:bCs/>
    </w:rPr>
  </w:style>
  <w:style w:type="character" w:customStyle="1" w:styleId="Ttulo2Car">
    <w:name w:val="Título 2 Car"/>
    <w:basedOn w:val="Fuentedeprrafopredeter"/>
    <w:link w:val="Ttulo2"/>
    <w:uiPriority w:val="9"/>
    <w:rsid w:val="00AF2899"/>
    <w:rPr>
      <w:sz w:val="32"/>
      <w:szCs w:val="32"/>
    </w:rPr>
  </w:style>
  <w:style w:type="character" w:customStyle="1" w:styleId="Ttulo3Car">
    <w:name w:val="Título 3 Car"/>
    <w:basedOn w:val="Fuentedeprrafopredeter"/>
    <w:link w:val="Ttulo3"/>
    <w:uiPriority w:val="9"/>
    <w:rsid w:val="00AF2899"/>
    <w:rPr>
      <w:color w:val="434343"/>
      <w:sz w:val="28"/>
      <w:szCs w:val="28"/>
    </w:rPr>
  </w:style>
  <w:style w:type="character" w:styleId="nfasis">
    <w:name w:val="Emphasis"/>
    <w:basedOn w:val="Fuentedeprrafopredeter"/>
    <w:uiPriority w:val="20"/>
    <w:qFormat/>
    <w:rsid w:val="006051E8"/>
    <w:rPr>
      <w:i/>
      <w:iCs/>
    </w:rPr>
  </w:style>
  <w:style w:type="paragraph" w:styleId="Textonotaalfinal">
    <w:name w:val="endnote text"/>
    <w:basedOn w:val="Normal"/>
    <w:link w:val="TextonotaalfinalCar"/>
    <w:uiPriority w:val="99"/>
    <w:semiHidden/>
    <w:unhideWhenUsed/>
    <w:rsid w:val="00DC36D2"/>
    <w:rPr>
      <w:sz w:val="20"/>
      <w:szCs w:val="20"/>
    </w:rPr>
  </w:style>
  <w:style w:type="character" w:customStyle="1" w:styleId="TextonotaalfinalCar">
    <w:name w:val="Texto nota al final Car"/>
    <w:basedOn w:val="Fuentedeprrafopredeter"/>
    <w:link w:val="Textonotaalfinal"/>
    <w:uiPriority w:val="99"/>
    <w:semiHidden/>
    <w:rsid w:val="00DC36D2"/>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DC36D2"/>
    <w:rPr>
      <w:vertAlign w:val="superscript"/>
    </w:rPr>
  </w:style>
  <w:style w:type="paragraph" w:styleId="Textonotapie">
    <w:name w:val="footnote text"/>
    <w:basedOn w:val="Normal"/>
    <w:link w:val="TextonotapieCar"/>
    <w:uiPriority w:val="99"/>
    <w:semiHidden/>
    <w:unhideWhenUsed/>
    <w:rsid w:val="00DC36D2"/>
    <w:rPr>
      <w:sz w:val="20"/>
      <w:szCs w:val="20"/>
    </w:rPr>
  </w:style>
  <w:style w:type="character" w:customStyle="1" w:styleId="TextonotapieCar">
    <w:name w:val="Texto nota pie Car"/>
    <w:basedOn w:val="Fuentedeprrafopredeter"/>
    <w:link w:val="Textonotapie"/>
    <w:uiPriority w:val="99"/>
    <w:semiHidden/>
    <w:rsid w:val="00DC36D2"/>
    <w:rPr>
      <w:rFonts w:ascii="Times New Roman" w:eastAsia="Times New Roman" w:hAnsi="Times New Roman" w:cs="Times New Roman"/>
      <w:sz w:val="20"/>
      <w:szCs w:val="20"/>
      <w:lang w:val="es-MX"/>
    </w:rPr>
  </w:style>
  <w:style w:type="character" w:styleId="Refdenotaalpie">
    <w:name w:val="footnote reference"/>
    <w:basedOn w:val="Fuentedeprrafopredeter"/>
    <w:uiPriority w:val="99"/>
    <w:semiHidden/>
    <w:unhideWhenUsed/>
    <w:rsid w:val="00DC36D2"/>
    <w:rPr>
      <w:vertAlign w:val="superscript"/>
    </w:rPr>
  </w:style>
  <w:style w:type="character" w:customStyle="1" w:styleId="whitespace-normal">
    <w:name w:val="whitespace-normal"/>
    <w:basedOn w:val="Fuentedeprrafopredeter"/>
    <w:rsid w:val="003F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87686">
      <w:bodyDiv w:val="1"/>
      <w:marLeft w:val="0"/>
      <w:marRight w:val="0"/>
      <w:marTop w:val="0"/>
      <w:marBottom w:val="0"/>
      <w:divBdr>
        <w:top w:val="none" w:sz="0" w:space="0" w:color="auto"/>
        <w:left w:val="none" w:sz="0" w:space="0" w:color="auto"/>
        <w:bottom w:val="none" w:sz="0" w:space="0" w:color="auto"/>
        <w:right w:val="none" w:sz="0" w:space="0" w:color="auto"/>
      </w:divBdr>
    </w:div>
    <w:div w:id="826475771">
      <w:bodyDiv w:val="1"/>
      <w:marLeft w:val="0"/>
      <w:marRight w:val="0"/>
      <w:marTop w:val="0"/>
      <w:marBottom w:val="0"/>
      <w:divBdr>
        <w:top w:val="none" w:sz="0" w:space="0" w:color="auto"/>
        <w:left w:val="none" w:sz="0" w:space="0" w:color="auto"/>
        <w:bottom w:val="none" w:sz="0" w:space="0" w:color="auto"/>
        <w:right w:val="none" w:sz="0" w:space="0" w:color="auto"/>
      </w:divBdr>
    </w:div>
    <w:div w:id="897325425">
      <w:bodyDiv w:val="1"/>
      <w:marLeft w:val="0"/>
      <w:marRight w:val="0"/>
      <w:marTop w:val="0"/>
      <w:marBottom w:val="0"/>
      <w:divBdr>
        <w:top w:val="none" w:sz="0" w:space="0" w:color="auto"/>
        <w:left w:val="none" w:sz="0" w:space="0" w:color="auto"/>
        <w:bottom w:val="none" w:sz="0" w:space="0" w:color="auto"/>
        <w:right w:val="none" w:sz="0" w:space="0" w:color="auto"/>
      </w:divBdr>
      <w:divsChild>
        <w:div w:id="200843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449904">
      <w:bodyDiv w:val="1"/>
      <w:marLeft w:val="0"/>
      <w:marRight w:val="0"/>
      <w:marTop w:val="0"/>
      <w:marBottom w:val="0"/>
      <w:divBdr>
        <w:top w:val="none" w:sz="0" w:space="0" w:color="auto"/>
        <w:left w:val="none" w:sz="0" w:space="0" w:color="auto"/>
        <w:bottom w:val="none" w:sz="0" w:space="0" w:color="auto"/>
        <w:right w:val="none" w:sz="0" w:space="0" w:color="auto"/>
      </w:divBdr>
    </w:div>
    <w:div w:id="1129126958">
      <w:bodyDiv w:val="1"/>
      <w:marLeft w:val="0"/>
      <w:marRight w:val="0"/>
      <w:marTop w:val="0"/>
      <w:marBottom w:val="0"/>
      <w:divBdr>
        <w:top w:val="none" w:sz="0" w:space="0" w:color="auto"/>
        <w:left w:val="none" w:sz="0" w:space="0" w:color="auto"/>
        <w:bottom w:val="none" w:sz="0" w:space="0" w:color="auto"/>
        <w:right w:val="none" w:sz="0" w:space="0" w:color="auto"/>
      </w:divBdr>
      <w:divsChild>
        <w:div w:id="531385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738274">
      <w:bodyDiv w:val="1"/>
      <w:marLeft w:val="0"/>
      <w:marRight w:val="0"/>
      <w:marTop w:val="0"/>
      <w:marBottom w:val="0"/>
      <w:divBdr>
        <w:top w:val="none" w:sz="0" w:space="0" w:color="auto"/>
        <w:left w:val="none" w:sz="0" w:space="0" w:color="auto"/>
        <w:bottom w:val="none" w:sz="0" w:space="0" w:color="auto"/>
        <w:right w:val="none" w:sz="0" w:space="0" w:color="auto"/>
      </w:divBdr>
    </w:div>
    <w:div w:id="1162544320">
      <w:bodyDiv w:val="1"/>
      <w:marLeft w:val="0"/>
      <w:marRight w:val="0"/>
      <w:marTop w:val="0"/>
      <w:marBottom w:val="0"/>
      <w:divBdr>
        <w:top w:val="none" w:sz="0" w:space="0" w:color="auto"/>
        <w:left w:val="none" w:sz="0" w:space="0" w:color="auto"/>
        <w:bottom w:val="none" w:sz="0" w:space="0" w:color="auto"/>
        <w:right w:val="none" w:sz="0" w:space="0" w:color="auto"/>
      </w:divBdr>
    </w:div>
    <w:div w:id="1240940778">
      <w:bodyDiv w:val="1"/>
      <w:marLeft w:val="0"/>
      <w:marRight w:val="0"/>
      <w:marTop w:val="0"/>
      <w:marBottom w:val="0"/>
      <w:divBdr>
        <w:top w:val="none" w:sz="0" w:space="0" w:color="auto"/>
        <w:left w:val="none" w:sz="0" w:space="0" w:color="auto"/>
        <w:bottom w:val="none" w:sz="0" w:space="0" w:color="auto"/>
        <w:right w:val="none" w:sz="0" w:space="0" w:color="auto"/>
      </w:divBdr>
    </w:div>
    <w:div w:id="1260680035">
      <w:bodyDiv w:val="1"/>
      <w:marLeft w:val="0"/>
      <w:marRight w:val="0"/>
      <w:marTop w:val="0"/>
      <w:marBottom w:val="0"/>
      <w:divBdr>
        <w:top w:val="none" w:sz="0" w:space="0" w:color="auto"/>
        <w:left w:val="none" w:sz="0" w:space="0" w:color="auto"/>
        <w:bottom w:val="none" w:sz="0" w:space="0" w:color="auto"/>
        <w:right w:val="none" w:sz="0" w:space="0" w:color="auto"/>
      </w:divBdr>
    </w:div>
    <w:div w:id="1260867833">
      <w:bodyDiv w:val="1"/>
      <w:marLeft w:val="0"/>
      <w:marRight w:val="0"/>
      <w:marTop w:val="0"/>
      <w:marBottom w:val="0"/>
      <w:divBdr>
        <w:top w:val="none" w:sz="0" w:space="0" w:color="auto"/>
        <w:left w:val="none" w:sz="0" w:space="0" w:color="auto"/>
        <w:bottom w:val="none" w:sz="0" w:space="0" w:color="auto"/>
        <w:right w:val="none" w:sz="0" w:space="0" w:color="auto"/>
      </w:divBdr>
    </w:div>
    <w:div w:id="1307592834">
      <w:bodyDiv w:val="1"/>
      <w:marLeft w:val="0"/>
      <w:marRight w:val="0"/>
      <w:marTop w:val="0"/>
      <w:marBottom w:val="0"/>
      <w:divBdr>
        <w:top w:val="none" w:sz="0" w:space="0" w:color="auto"/>
        <w:left w:val="none" w:sz="0" w:space="0" w:color="auto"/>
        <w:bottom w:val="none" w:sz="0" w:space="0" w:color="auto"/>
        <w:right w:val="none" w:sz="0" w:space="0" w:color="auto"/>
      </w:divBdr>
    </w:div>
    <w:div w:id="1317028905">
      <w:bodyDiv w:val="1"/>
      <w:marLeft w:val="0"/>
      <w:marRight w:val="0"/>
      <w:marTop w:val="0"/>
      <w:marBottom w:val="0"/>
      <w:divBdr>
        <w:top w:val="none" w:sz="0" w:space="0" w:color="auto"/>
        <w:left w:val="none" w:sz="0" w:space="0" w:color="auto"/>
        <w:bottom w:val="none" w:sz="0" w:space="0" w:color="auto"/>
        <w:right w:val="none" w:sz="0" w:space="0" w:color="auto"/>
      </w:divBdr>
    </w:div>
    <w:div w:id="1346900192">
      <w:bodyDiv w:val="1"/>
      <w:marLeft w:val="0"/>
      <w:marRight w:val="0"/>
      <w:marTop w:val="0"/>
      <w:marBottom w:val="0"/>
      <w:divBdr>
        <w:top w:val="none" w:sz="0" w:space="0" w:color="auto"/>
        <w:left w:val="none" w:sz="0" w:space="0" w:color="auto"/>
        <w:bottom w:val="none" w:sz="0" w:space="0" w:color="auto"/>
        <w:right w:val="none" w:sz="0" w:space="0" w:color="auto"/>
      </w:divBdr>
    </w:div>
    <w:div w:id="1592465742">
      <w:bodyDiv w:val="1"/>
      <w:marLeft w:val="0"/>
      <w:marRight w:val="0"/>
      <w:marTop w:val="0"/>
      <w:marBottom w:val="0"/>
      <w:divBdr>
        <w:top w:val="none" w:sz="0" w:space="0" w:color="auto"/>
        <w:left w:val="none" w:sz="0" w:space="0" w:color="auto"/>
        <w:bottom w:val="none" w:sz="0" w:space="0" w:color="auto"/>
        <w:right w:val="none" w:sz="0" w:space="0" w:color="auto"/>
      </w:divBdr>
    </w:div>
    <w:div w:id="1660840219">
      <w:bodyDiv w:val="1"/>
      <w:marLeft w:val="0"/>
      <w:marRight w:val="0"/>
      <w:marTop w:val="0"/>
      <w:marBottom w:val="0"/>
      <w:divBdr>
        <w:top w:val="none" w:sz="0" w:space="0" w:color="auto"/>
        <w:left w:val="none" w:sz="0" w:space="0" w:color="auto"/>
        <w:bottom w:val="none" w:sz="0" w:space="0" w:color="auto"/>
        <w:right w:val="none" w:sz="0" w:space="0" w:color="auto"/>
      </w:divBdr>
    </w:div>
    <w:div w:id="1685741194">
      <w:bodyDiv w:val="1"/>
      <w:marLeft w:val="0"/>
      <w:marRight w:val="0"/>
      <w:marTop w:val="0"/>
      <w:marBottom w:val="0"/>
      <w:divBdr>
        <w:top w:val="none" w:sz="0" w:space="0" w:color="auto"/>
        <w:left w:val="none" w:sz="0" w:space="0" w:color="auto"/>
        <w:bottom w:val="none" w:sz="0" w:space="0" w:color="auto"/>
        <w:right w:val="none" w:sz="0" w:space="0" w:color="auto"/>
      </w:divBdr>
    </w:div>
    <w:div w:id="1698237193">
      <w:bodyDiv w:val="1"/>
      <w:marLeft w:val="0"/>
      <w:marRight w:val="0"/>
      <w:marTop w:val="0"/>
      <w:marBottom w:val="0"/>
      <w:divBdr>
        <w:top w:val="none" w:sz="0" w:space="0" w:color="auto"/>
        <w:left w:val="none" w:sz="0" w:space="0" w:color="auto"/>
        <w:bottom w:val="none" w:sz="0" w:space="0" w:color="auto"/>
        <w:right w:val="none" w:sz="0" w:space="0" w:color="auto"/>
      </w:divBdr>
    </w:div>
    <w:div w:id="1860921956">
      <w:bodyDiv w:val="1"/>
      <w:marLeft w:val="0"/>
      <w:marRight w:val="0"/>
      <w:marTop w:val="0"/>
      <w:marBottom w:val="0"/>
      <w:divBdr>
        <w:top w:val="none" w:sz="0" w:space="0" w:color="auto"/>
        <w:left w:val="none" w:sz="0" w:space="0" w:color="auto"/>
        <w:bottom w:val="none" w:sz="0" w:space="0" w:color="auto"/>
        <w:right w:val="none" w:sz="0" w:space="0" w:color="auto"/>
      </w:divBdr>
    </w:div>
    <w:div w:id="2106151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C6DE-F022-9C4D-AE04-B869FFDC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2306</Words>
  <Characters>12684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2026-02-25T15:30:00Z</dcterms:created>
  <dcterms:modified xsi:type="dcterms:W3CDTF">2026-02-25T15:30:00Z</dcterms:modified>
</cp:coreProperties>
</file>