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E934" w14:textId="563640D1" w:rsidR="00711AC8" w:rsidRPr="00711AC8" w:rsidRDefault="00D5373B" w:rsidP="00711AC8">
      <w:pPr>
        <w:spacing w:after="200" w:line="360" w:lineRule="auto"/>
        <w:jc w:val="right"/>
        <w:rPr>
          <w:rFonts w:ascii="Avenir Book" w:eastAsia="Montserrat" w:hAnsi="Avenir Book" w:cs="Montserrat"/>
          <w:b/>
          <w:sz w:val="26"/>
          <w:szCs w:val="26"/>
        </w:rPr>
      </w:pPr>
      <w:r w:rsidRPr="00711AC8">
        <w:rPr>
          <w:rFonts w:ascii="Avenir Book" w:eastAsia="Montserrat" w:hAnsi="Avenir Book" w:cs="Montserrat"/>
          <w:b/>
          <w:sz w:val="26"/>
          <w:szCs w:val="26"/>
        </w:rPr>
        <w:t xml:space="preserve">Chihuahua, Chih. a </w:t>
      </w:r>
      <w:r w:rsidR="000653EF">
        <w:rPr>
          <w:rFonts w:ascii="Avenir Book" w:eastAsia="Montserrat" w:hAnsi="Avenir Book" w:cs="Montserrat"/>
          <w:b/>
          <w:sz w:val="26"/>
          <w:szCs w:val="26"/>
        </w:rPr>
        <w:t>10</w:t>
      </w:r>
      <w:r w:rsidR="00D335DA">
        <w:rPr>
          <w:rFonts w:ascii="Avenir Book" w:eastAsia="Montserrat" w:hAnsi="Avenir Book" w:cs="Montserrat"/>
          <w:b/>
          <w:sz w:val="26"/>
          <w:szCs w:val="26"/>
        </w:rPr>
        <w:t xml:space="preserve"> de</w:t>
      </w:r>
      <w:r w:rsidR="000653EF">
        <w:rPr>
          <w:rFonts w:ascii="Avenir Book" w:eastAsia="Montserrat" w:hAnsi="Avenir Book" w:cs="Montserrat"/>
          <w:b/>
          <w:sz w:val="26"/>
          <w:szCs w:val="26"/>
        </w:rPr>
        <w:t xml:space="preserve"> diciembre</w:t>
      </w:r>
      <w:r w:rsidRPr="00711AC8">
        <w:rPr>
          <w:rFonts w:ascii="Avenir Book" w:eastAsia="Montserrat" w:hAnsi="Avenir Book" w:cs="Montserrat"/>
          <w:b/>
          <w:sz w:val="26"/>
          <w:szCs w:val="26"/>
        </w:rPr>
        <w:t xml:space="preserve"> del 202</w:t>
      </w:r>
      <w:r w:rsidR="009E7AF6">
        <w:rPr>
          <w:rFonts w:ascii="Avenir Book" w:eastAsia="Montserrat" w:hAnsi="Avenir Book" w:cs="Montserrat"/>
          <w:b/>
          <w:sz w:val="26"/>
          <w:szCs w:val="26"/>
        </w:rPr>
        <w:t>5</w:t>
      </w:r>
    </w:p>
    <w:p w14:paraId="2DC4210C" w14:textId="77777777" w:rsidR="00D5373B" w:rsidRPr="00711AC8" w:rsidRDefault="00D5373B" w:rsidP="00711AC8">
      <w:pPr>
        <w:spacing w:line="240" w:lineRule="auto"/>
        <w:jc w:val="both"/>
        <w:rPr>
          <w:rFonts w:ascii="Avenir Book" w:eastAsia="Montserrat" w:hAnsi="Avenir Book" w:cs="Montserrat"/>
          <w:b/>
          <w:sz w:val="26"/>
          <w:szCs w:val="26"/>
        </w:rPr>
      </w:pPr>
      <w:r w:rsidRPr="00711AC8">
        <w:rPr>
          <w:rFonts w:ascii="Avenir Book" w:eastAsia="Montserrat" w:hAnsi="Avenir Book" w:cs="Montserrat"/>
          <w:b/>
          <w:sz w:val="26"/>
          <w:szCs w:val="26"/>
        </w:rPr>
        <w:t>H. CONGRESO DEL ESTADO DE CHIHUAHUA</w:t>
      </w:r>
    </w:p>
    <w:p w14:paraId="583482D4" w14:textId="77777777" w:rsidR="00D5373B" w:rsidRPr="00711AC8" w:rsidRDefault="00D5373B" w:rsidP="00711AC8">
      <w:pPr>
        <w:spacing w:line="240" w:lineRule="auto"/>
        <w:jc w:val="both"/>
        <w:rPr>
          <w:rFonts w:ascii="Avenir Book" w:eastAsia="Montserrat" w:hAnsi="Avenir Book" w:cs="Montserrat"/>
          <w:b/>
          <w:sz w:val="26"/>
          <w:szCs w:val="26"/>
        </w:rPr>
      </w:pPr>
      <w:r w:rsidRPr="00711AC8">
        <w:rPr>
          <w:rFonts w:ascii="Avenir Book" w:eastAsia="Montserrat" w:hAnsi="Avenir Book" w:cs="Montserrat"/>
          <w:b/>
          <w:sz w:val="26"/>
          <w:szCs w:val="26"/>
        </w:rPr>
        <w:t>P R E S E N T E.-</w:t>
      </w:r>
    </w:p>
    <w:p w14:paraId="718BE511" w14:textId="1BED9781" w:rsidR="00F81D7D" w:rsidRPr="00711AC8" w:rsidRDefault="00B04B36" w:rsidP="00711AC8">
      <w:pPr>
        <w:spacing w:before="100" w:beforeAutospacing="1" w:after="100" w:afterAutospacing="1" w:line="240" w:lineRule="auto"/>
        <w:jc w:val="both"/>
        <w:rPr>
          <w:rFonts w:ascii="Avenir Book" w:hAnsi="Avenir Book"/>
          <w:sz w:val="26"/>
          <w:szCs w:val="26"/>
        </w:rPr>
      </w:pPr>
      <w:r w:rsidRPr="00711AC8">
        <w:rPr>
          <w:rFonts w:ascii="Avenir Book" w:eastAsia="Montserrat" w:hAnsi="Avenir Book" w:cs="Montserrat"/>
          <w:b/>
          <w:sz w:val="26"/>
          <w:szCs w:val="26"/>
        </w:rPr>
        <w:t>DIPUTADA ALMA YESENIA PORTILLO LERMA,</w:t>
      </w:r>
      <w:r w:rsidRPr="002724AF">
        <w:rPr>
          <w:b/>
          <w:bCs/>
        </w:rPr>
        <w:t xml:space="preserve"> DIPUTADO</w:t>
      </w:r>
      <w:r>
        <w:t xml:space="preserve"> </w:t>
      </w:r>
      <w:r w:rsidRPr="00B04B36">
        <w:rPr>
          <w:rFonts w:ascii="Avenir Book" w:eastAsia="Montserrat" w:hAnsi="Avenir Book" w:cs="Montserrat"/>
          <w:b/>
          <w:sz w:val="26"/>
          <w:szCs w:val="26"/>
        </w:rPr>
        <w:t>ROBERTO ARTURO MEDINA AGUIRRE</w:t>
      </w:r>
      <w:r>
        <w:rPr>
          <w:rFonts w:ascii="Avenir Book" w:eastAsia="Montserrat" w:hAnsi="Avenir Book" w:cs="Montserrat"/>
          <w:b/>
          <w:sz w:val="26"/>
          <w:szCs w:val="26"/>
        </w:rPr>
        <w:t xml:space="preserve">, DIPUTADA </w:t>
      </w:r>
      <w:r w:rsidRPr="00B04B36">
        <w:rPr>
          <w:rFonts w:ascii="Avenir Book" w:eastAsia="Montserrat" w:hAnsi="Avenir Book" w:cs="Montserrat"/>
          <w:b/>
          <w:sz w:val="26"/>
          <w:szCs w:val="26"/>
        </w:rPr>
        <w:t>IRLANDA DOMINIQUE MÁRQUEZ NOLASCO</w:t>
      </w:r>
      <w:r>
        <w:rPr>
          <w:rFonts w:ascii="Avenir Book" w:eastAsia="Montserrat" w:hAnsi="Avenir Book" w:cs="Montserrat"/>
          <w:b/>
          <w:sz w:val="26"/>
          <w:szCs w:val="26"/>
        </w:rPr>
        <w:t xml:space="preserve">, </w:t>
      </w:r>
      <w:r w:rsidRPr="00711AC8">
        <w:rPr>
          <w:rFonts w:ascii="Avenir Book" w:eastAsia="Montserrat" w:hAnsi="Avenir Book" w:cs="Montserrat"/>
          <w:b/>
          <w:sz w:val="26"/>
          <w:szCs w:val="26"/>
        </w:rPr>
        <w:t xml:space="preserve"> </w:t>
      </w:r>
      <w:r>
        <w:rPr>
          <w:rFonts w:ascii="Avenir Book" w:eastAsia="Montserrat" w:hAnsi="Avenir Book" w:cs="Montserrat"/>
          <w:b/>
          <w:sz w:val="26"/>
          <w:szCs w:val="26"/>
        </w:rPr>
        <w:t xml:space="preserve">DIPUTADO </w:t>
      </w:r>
      <w:r w:rsidRPr="00B04B36">
        <w:rPr>
          <w:rFonts w:ascii="Avenir Book" w:eastAsia="Montserrat" w:hAnsi="Avenir Book" w:cs="Montserrat"/>
          <w:b/>
          <w:sz w:val="26"/>
          <w:szCs w:val="26"/>
        </w:rPr>
        <w:t>ÓSCAR DANIEL AVITIA ARELLANES</w:t>
      </w:r>
      <w:r>
        <w:rPr>
          <w:rFonts w:ascii="Avenir Book" w:eastAsia="Montserrat" w:hAnsi="Avenir Book" w:cs="Montserrat"/>
          <w:b/>
          <w:sz w:val="26"/>
          <w:szCs w:val="26"/>
        </w:rPr>
        <w:t xml:space="preserve">, DIPUTADA </w:t>
      </w:r>
      <w:r w:rsidRPr="00B04B36">
        <w:rPr>
          <w:rFonts w:ascii="Avenir Book" w:eastAsia="Montserrat" w:hAnsi="Avenir Book" w:cs="Montserrat"/>
          <w:b/>
          <w:sz w:val="26"/>
          <w:szCs w:val="26"/>
        </w:rPr>
        <w:t>ELIZABETH GUZMÁN ARGUETA</w:t>
      </w:r>
      <w:r>
        <w:rPr>
          <w:rFonts w:ascii="Avenir Book" w:eastAsia="Montserrat" w:hAnsi="Avenir Book" w:cs="Montserrat"/>
          <w:b/>
          <w:sz w:val="26"/>
          <w:szCs w:val="26"/>
        </w:rPr>
        <w:t xml:space="preserve"> </w:t>
      </w:r>
      <w:r w:rsidR="00D5373B" w:rsidRPr="00711AC8">
        <w:rPr>
          <w:rFonts w:ascii="Avenir Book" w:eastAsia="Montserrat" w:hAnsi="Avenir Book" w:cs="Montserrat"/>
          <w:sz w:val="26"/>
          <w:szCs w:val="26"/>
        </w:rPr>
        <w:t xml:space="preserve">en </w:t>
      </w:r>
      <w:r>
        <w:rPr>
          <w:rFonts w:ascii="Avenir Book" w:eastAsia="Montserrat" w:hAnsi="Avenir Book" w:cs="Montserrat"/>
          <w:sz w:val="26"/>
          <w:szCs w:val="26"/>
        </w:rPr>
        <w:t>nuestro</w:t>
      </w:r>
      <w:r w:rsidR="00D5373B" w:rsidRPr="00711AC8">
        <w:rPr>
          <w:rFonts w:ascii="Avenir Book" w:eastAsia="Montserrat" w:hAnsi="Avenir Book" w:cs="Montserrat"/>
          <w:sz w:val="26"/>
          <w:szCs w:val="26"/>
        </w:rPr>
        <w:t xml:space="preserve"> carácter de integrante</w:t>
      </w:r>
      <w:r>
        <w:rPr>
          <w:rFonts w:ascii="Avenir Book" w:eastAsia="Montserrat" w:hAnsi="Avenir Book" w:cs="Montserrat"/>
          <w:sz w:val="26"/>
          <w:szCs w:val="26"/>
        </w:rPr>
        <w:t>s</w:t>
      </w:r>
      <w:r w:rsidR="00D5373B" w:rsidRPr="00711AC8">
        <w:rPr>
          <w:rFonts w:ascii="Avenir Book" w:eastAsia="Montserrat" w:hAnsi="Avenir Book" w:cs="Montserrat"/>
          <w:sz w:val="26"/>
          <w:szCs w:val="26"/>
        </w:rPr>
        <w:t xml:space="preserve"> </w:t>
      </w:r>
      <w:r>
        <w:rPr>
          <w:rFonts w:ascii="Avenir Book" w:eastAsia="Montserrat" w:hAnsi="Avenir Book" w:cs="Montserrat"/>
          <w:sz w:val="26"/>
          <w:szCs w:val="26"/>
        </w:rPr>
        <w:t>del Comité Editorial y de Biblioteca</w:t>
      </w:r>
      <w:r w:rsidR="00D5373B" w:rsidRPr="00711AC8">
        <w:rPr>
          <w:rFonts w:ascii="Avenir Book" w:eastAsia="Montserrat" w:hAnsi="Avenir Book" w:cs="Montserrat"/>
          <w:sz w:val="26"/>
          <w:szCs w:val="26"/>
        </w:rPr>
        <w:t xml:space="preserve"> de la Sexagésima Octava Legislatura </w:t>
      </w:r>
      <w:r w:rsidR="00004860" w:rsidRPr="00004860">
        <w:rPr>
          <w:rFonts w:ascii="Avenir Book" w:eastAsia="Montserrat" w:hAnsi="Avenir Book" w:cs="Montserrat"/>
          <w:sz w:val="26"/>
          <w:szCs w:val="26"/>
        </w:rPr>
        <w:t>con fundamento en lo dispuesto en los artículos 71, fracción III de la Constitución Política de los Estados Unidos Mexicanos, 167, fracción I y 170 de la Ley Orgánica del Poder Legislativo del Estado de Chihuahua, así como en los artículos 75 y 76 del Reglamento Interior y de Prácticas Parlamentarias del Poder Legislativo, comparecemos ante esta Honorable Representación Popular para presentar una iniciativa con carácter de Decreto</w:t>
      </w:r>
      <w:r w:rsidR="00D5373B" w:rsidRPr="00711AC8">
        <w:rPr>
          <w:rFonts w:ascii="Avenir Book" w:eastAsia="Montserrat" w:hAnsi="Avenir Book" w:cs="Montserrat"/>
          <w:sz w:val="26"/>
          <w:szCs w:val="26"/>
        </w:rPr>
        <w:t xml:space="preserve">, a </w:t>
      </w:r>
      <w:r w:rsidR="00145F96" w:rsidRPr="00711AC8">
        <w:rPr>
          <w:rFonts w:ascii="Avenir Book" w:eastAsia="Montserrat" w:hAnsi="Avenir Book" w:cs="Montserrat"/>
          <w:sz w:val="26"/>
          <w:szCs w:val="26"/>
        </w:rPr>
        <w:t>fin de</w:t>
      </w:r>
      <w:r w:rsidR="00004860">
        <w:rPr>
          <w:rFonts w:ascii="Avenir Book" w:eastAsia="Montserrat" w:hAnsi="Avenir Book" w:cs="Montserrat"/>
          <w:b/>
          <w:bCs/>
          <w:sz w:val="26"/>
          <w:szCs w:val="26"/>
        </w:rPr>
        <w:t xml:space="preserve"> </w:t>
      </w:r>
      <w:bookmarkStart w:id="0" w:name="_Hlk181706065"/>
      <w:r>
        <w:rPr>
          <w:rFonts w:ascii="Avenir Book" w:eastAsia="Montserrat" w:hAnsi="Avenir Book" w:cs="Montserrat"/>
          <w:b/>
          <w:bCs/>
          <w:sz w:val="26"/>
          <w:szCs w:val="26"/>
        </w:rPr>
        <w:t>Establecer el fondo apoyo a publicaciones del Comité Editorial y de Biblioteca</w:t>
      </w:r>
      <w:bookmarkEnd w:id="0"/>
      <w:r w:rsidR="00D5373B" w:rsidRPr="00711AC8">
        <w:rPr>
          <w:rFonts w:ascii="Avenir Book" w:hAnsi="Avenir Book"/>
          <w:b/>
          <w:bCs/>
          <w:sz w:val="26"/>
          <w:szCs w:val="26"/>
        </w:rPr>
        <w:t>.</w:t>
      </w:r>
      <w:r w:rsidR="00145F96" w:rsidRPr="00711AC8">
        <w:rPr>
          <w:rFonts w:ascii="Avenir Book" w:hAnsi="Avenir Book"/>
          <w:sz w:val="26"/>
          <w:szCs w:val="26"/>
        </w:rPr>
        <w:t xml:space="preserve"> </w:t>
      </w:r>
      <w:r w:rsidR="00D5373B" w:rsidRPr="00711AC8">
        <w:rPr>
          <w:rFonts w:ascii="Avenir Book" w:eastAsia="Montserrat" w:hAnsi="Avenir Book" w:cs="Montserrat"/>
          <w:sz w:val="26"/>
          <w:szCs w:val="26"/>
        </w:rPr>
        <w:t>Lo anterior, de conformidad con la siguiente:</w:t>
      </w:r>
      <w:r w:rsidR="00D5373B" w:rsidRPr="00711AC8">
        <w:rPr>
          <w:rFonts w:ascii="Avenir Book" w:hAnsi="Avenir Book"/>
          <w:sz w:val="26"/>
          <w:szCs w:val="26"/>
        </w:rPr>
        <w:t xml:space="preserve"> </w:t>
      </w:r>
    </w:p>
    <w:p w14:paraId="1EDFA627" w14:textId="77777777" w:rsidR="00F81D7D" w:rsidRPr="00711AC8" w:rsidRDefault="00145F96" w:rsidP="00711AC8">
      <w:pPr>
        <w:spacing w:before="100" w:beforeAutospacing="1" w:after="100" w:afterAutospacing="1" w:line="240" w:lineRule="auto"/>
        <w:jc w:val="center"/>
        <w:rPr>
          <w:rFonts w:ascii="Avenir Book" w:eastAsia="Montserrat" w:hAnsi="Avenir Book" w:cs="Montserrat"/>
          <w:b/>
          <w:bCs/>
          <w:sz w:val="26"/>
          <w:szCs w:val="26"/>
        </w:rPr>
      </w:pPr>
      <w:r w:rsidRPr="00711AC8">
        <w:rPr>
          <w:rFonts w:ascii="Avenir Book" w:eastAsia="Montserrat" w:hAnsi="Avenir Book" w:cs="Montserrat"/>
          <w:b/>
          <w:bCs/>
          <w:sz w:val="26"/>
          <w:szCs w:val="26"/>
        </w:rPr>
        <w:t>EXPOSICIÓN DE MOTIVOS</w:t>
      </w:r>
    </w:p>
    <w:p w14:paraId="421661F9" w14:textId="605162C2" w:rsidR="00004860" w:rsidRDefault="00B04B36" w:rsidP="00004860">
      <w:pPr>
        <w:spacing w:before="100" w:beforeAutospacing="1" w:after="100" w:afterAutospacing="1" w:line="240" w:lineRule="auto"/>
        <w:jc w:val="both"/>
        <w:rPr>
          <w:rFonts w:ascii="Avenir Book" w:eastAsia="Montserrat" w:hAnsi="Avenir Book" w:cs="Montserrat"/>
          <w:sz w:val="26"/>
          <w:szCs w:val="26"/>
          <w:lang w:val="es-MX"/>
        </w:rPr>
      </w:pPr>
      <w:r>
        <w:rPr>
          <w:rFonts w:ascii="Avenir Book" w:eastAsia="Montserrat" w:hAnsi="Avenir Book" w:cs="Montserrat"/>
          <w:sz w:val="26"/>
          <w:szCs w:val="26"/>
        </w:rPr>
        <w:t>El artículo123 de la Ley Orgánica del Poder Legislativo, establece las atribuciones del Comité Editorial y de Biblioteca, del H. Congreso del Estado de Chihuahua, de entre las cuales destaca la prevista en su fracción IV, “</w:t>
      </w:r>
      <w:r w:rsidRPr="00B04B36">
        <w:rPr>
          <w:rFonts w:ascii="Avenir Book" w:eastAsia="Montserrat" w:hAnsi="Avenir Book" w:cs="Montserrat"/>
          <w:sz w:val="26"/>
          <w:szCs w:val="26"/>
          <w:lang w:val="es-MX"/>
        </w:rPr>
        <w:t>Promover la edición de publicaciones que se consideren de interés para el desarrollo cultural del Estado.</w:t>
      </w:r>
      <w:r>
        <w:rPr>
          <w:rFonts w:ascii="Avenir Book" w:eastAsia="Montserrat" w:hAnsi="Avenir Book" w:cs="Montserrat"/>
          <w:sz w:val="26"/>
          <w:szCs w:val="26"/>
          <w:lang w:val="es-MX"/>
        </w:rPr>
        <w:t>”, para tal efecto se establece la atribución a la junta de Coordinación Política en el artículo 66</w:t>
      </w:r>
      <w:r w:rsidR="00E34321">
        <w:rPr>
          <w:rFonts w:ascii="Avenir Book" w:eastAsia="Montserrat" w:hAnsi="Avenir Book" w:cs="Montserrat"/>
          <w:sz w:val="26"/>
          <w:szCs w:val="26"/>
          <w:lang w:val="es-MX"/>
        </w:rPr>
        <w:t>, fracción IX, segundo párrafo</w:t>
      </w:r>
      <w:r>
        <w:rPr>
          <w:rFonts w:ascii="Avenir Book" w:eastAsia="Montserrat" w:hAnsi="Avenir Book" w:cs="Montserrat"/>
          <w:sz w:val="26"/>
          <w:szCs w:val="26"/>
          <w:lang w:val="es-MX"/>
        </w:rPr>
        <w:t xml:space="preserve"> de la citada Ley, para que </w:t>
      </w:r>
      <w:r w:rsidR="00E34321">
        <w:rPr>
          <w:rFonts w:ascii="Avenir Book" w:eastAsia="Montserrat" w:hAnsi="Avenir Book" w:cs="Montserrat"/>
          <w:sz w:val="26"/>
          <w:szCs w:val="26"/>
          <w:lang w:val="es-MX"/>
        </w:rPr>
        <w:t xml:space="preserve">se establezca </w:t>
      </w:r>
      <w:r w:rsidR="00E34321" w:rsidRPr="00E34321">
        <w:rPr>
          <w:rFonts w:ascii="Avenir Book" w:eastAsia="Montserrat" w:hAnsi="Avenir Book" w:cs="Montserrat"/>
          <w:sz w:val="26"/>
          <w:szCs w:val="26"/>
          <w:lang w:val="es-MX"/>
        </w:rPr>
        <w:t>el monto que se canalizará para llevar a cabo publicaciones que programe el Consejo Editorial, del Comité Editorial y de Biblioteca.</w:t>
      </w:r>
    </w:p>
    <w:p w14:paraId="2D46850B" w14:textId="618EEE61" w:rsidR="00E34321" w:rsidRDefault="00E34321" w:rsidP="00004860">
      <w:pPr>
        <w:spacing w:before="100" w:beforeAutospacing="1" w:after="100" w:afterAutospacing="1" w:line="240" w:lineRule="auto"/>
        <w:jc w:val="both"/>
        <w:rPr>
          <w:rFonts w:ascii="Avenir Book" w:eastAsia="Montserrat" w:hAnsi="Avenir Book" w:cs="Montserrat"/>
          <w:sz w:val="26"/>
          <w:szCs w:val="26"/>
        </w:rPr>
      </w:pPr>
      <w:r>
        <w:rPr>
          <w:rFonts w:ascii="Avenir Book" w:eastAsia="Montserrat" w:hAnsi="Avenir Book" w:cs="Montserrat"/>
          <w:sz w:val="26"/>
          <w:szCs w:val="26"/>
        </w:rPr>
        <w:t>En este tenor de ideas, consideramos menester, contar con un monto establecido, a fin de que el Comité que nos honramos en representar, tenga una base cierta de la cual partir para saber la disponibilidad y capacidad de apoyo a cada proyecto que se nos presenta, dotando con ello de una certeza para la operatividad de las funciones que se nos encomiendan desde la Ley.</w:t>
      </w:r>
    </w:p>
    <w:p w14:paraId="55D23CD4" w14:textId="5DE1D602" w:rsidR="00E34321" w:rsidRPr="00E34321" w:rsidRDefault="00E34321" w:rsidP="00E34321">
      <w:pPr>
        <w:spacing w:before="100" w:beforeAutospacing="1" w:after="100" w:afterAutospacing="1" w:line="240" w:lineRule="auto"/>
        <w:jc w:val="both"/>
        <w:rPr>
          <w:rFonts w:ascii="Avenir Book" w:eastAsia="Montserrat" w:hAnsi="Avenir Book" w:cs="Montserrat"/>
          <w:sz w:val="26"/>
          <w:szCs w:val="26"/>
        </w:rPr>
      </w:pPr>
      <w:r w:rsidRPr="00E34321">
        <w:rPr>
          <w:rFonts w:ascii="Avenir Book" w:eastAsia="Montserrat" w:hAnsi="Avenir Book" w:cs="Montserrat"/>
          <w:sz w:val="26"/>
          <w:szCs w:val="26"/>
        </w:rPr>
        <w:t>Asimismo, contar con un monto definido permite que el Comité pueda planificar estratégicamente la producción editorial a mediano y largo plazo. Sin una previsión presupuestal clara, resulta complejo establecer calendarios de trabajo, alianzas institucionales o líneas temáticas prioritarias que respondan de manera sistemática a las necesidades culturales del Estado. La certeza financiera no solo facilita la organización interna, sino que también posibilita que los proyectos editoriales se desarrollen con criterios de calidad, continuidad y pertinencia social.</w:t>
      </w:r>
    </w:p>
    <w:p w14:paraId="7D747544" w14:textId="77777777" w:rsidR="00E34321" w:rsidRPr="00E34321" w:rsidRDefault="00E34321" w:rsidP="00E34321">
      <w:pPr>
        <w:spacing w:before="100" w:beforeAutospacing="1" w:after="100" w:afterAutospacing="1" w:line="240" w:lineRule="auto"/>
        <w:jc w:val="both"/>
        <w:rPr>
          <w:rFonts w:ascii="Avenir Book" w:eastAsia="Montserrat" w:hAnsi="Avenir Book" w:cs="Montserrat"/>
          <w:sz w:val="26"/>
          <w:szCs w:val="26"/>
        </w:rPr>
      </w:pPr>
      <w:r w:rsidRPr="00E34321">
        <w:rPr>
          <w:rFonts w:ascii="Avenir Book" w:eastAsia="Montserrat" w:hAnsi="Avenir Book" w:cs="Montserrat"/>
          <w:sz w:val="26"/>
          <w:szCs w:val="26"/>
        </w:rPr>
        <w:t xml:space="preserve">De igual forma, un presupuesto previamente asignado contribuye a fomentar la transparencia y la rendición de cuentas en el ejercicio de los recursos públicos destinados a la actividad editorial. Al existir una partida claramente establecida, se facilita la evaluación objetiva del uso y destino de los fondos, fortaleciendo la confianza institucional tanto hacia el interior del Congreso como ante la ciudadanía. Esto favorece un entorno en el que las decisiones editoriales pueden justificarse con </w:t>
      </w:r>
      <w:r w:rsidRPr="00E34321">
        <w:rPr>
          <w:rFonts w:ascii="Avenir Book" w:eastAsia="Montserrat" w:hAnsi="Avenir Book" w:cs="Montserrat"/>
          <w:sz w:val="26"/>
          <w:szCs w:val="26"/>
        </w:rPr>
        <w:lastRenderedPageBreak/>
        <w:t>mayor claridad y apegarse de forma estricta a los principios normativos establecidos.</w:t>
      </w:r>
    </w:p>
    <w:p w14:paraId="77C3B340" w14:textId="77777777" w:rsidR="00E34321" w:rsidRPr="00E34321" w:rsidRDefault="00E34321" w:rsidP="00E34321">
      <w:pPr>
        <w:spacing w:before="100" w:beforeAutospacing="1" w:after="100" w:afterAutospacing="1" w:line="240" w:lineRule="auto"/>
        <w:jc w:val="both"/>
        <w:rPr>
          <w:rFonts w:ascii="Avenir Book" w:eastAsia="Montserrat" w:hAnsi="Avenir Book" w:cs="Montserrat"/>
          <w:sz w:val="26"/>
          <w:szCs w:val="26"/>
        </w:rPr>
      </w:pPr>
    </w:p>
    <w:p w14:paraId="7D8EC3D6" w14:textId="29DB0769" w:rsidR="00E34321" w:rsidRPr="00004860" w:rsidRDefault="00E34321" w:rsidP="00E34321">
      <w:pPr>
        <w:spacing w:before="100" w:beforeAutospacing="1" w:after="100" w:afterAutospacing="1" w:line="240" w:lineRule="auto"/>
        <w:jc w:val="both"/>
        <w:rPr>
          <w:rFonts w:ascii="Avenir Book" w:eastAsia="Montserrat" w:hAnsi="Avenir Book" w:cs="Montserrat"/>
          <w:sz w:val="26"/>
          <w:szCs w:val="26"/>
        </w:rPr>
      </w:pPr>
      <w:r w:rsidRPr="00E34321">
        <w:rPr>
          <w:rFonts w:ascii="Avenir Book" w:eastAsia="Montserrat" w:hAnsi="Avenir Book" w:cs="Montserrat"/>
          <w:sz w:val="26"/>
          <w:szCs w:val="26"/>
        </w:rPr>
        <w:t>Finalmente, la determinación de un monto específico impulsa el desarrollo cultural del Estado al garantizar que los proyectos editoriales no dependan de decisiones improvisadas o coyunturales. Con recursos asegurados, el Comité puede respaldar iniciativas que rescaten la memoria histórica, difundan investigaciones relevantes y promuevan expresiones literarias y artísticas propias de Chihuahua. En este sentido, el establecimiento de un presupuesto estable no solo es un requisito administrativo, sino un elemento esencial para consolidar una política editorial sólida, sostenida y alineada con el mandato legal de promover la cultura y el conocimiento en la entidad.</w:t>
      </w:r>
    </w:p>
    <w:p w14:paraId="38777750" w14:textId="463CB4FC" w:rsidR="00D92E36" w:rsidRDefault="00D5373B" w:rsidP="00711AC8">
      <w:pPr>
        <w:spacing w:before="100" w:beforeAutospacing="1" w:after="100" w:afterAutospacing="1" w:line="240" w:lineRule="auto"/>
        <w:jc w:val="both"/>
        <w:rPr>
          <w:rFonts w:ascii="Avenir Book" w:eastAsia="Calibri" w:hAnsi="Avenir Book" w:cs="Times New Roman"/>
          <w:b/>
          <w:bCs/>
          <w:sz w:val="26"/>
          <w:szCs w:val="26"/>
        </w:rPr>
      </w:pPr>
      <w:r w:rsidRPr="00711AC8">
        <w:rPr>
          <w:rFonts w:ascii="Avenir Book" w:eastAsia="Calibri" w:hAnsi="Avenir Book" w:cs="Times New Roman"/>
          <w:sz w:val="26"/>
          <w:szCs w:val="26"/>
        </w:rPr>
        <w:t>Por todo esto, me permito someter a consideración de est</w:t>
      </w:r>
      <w:r w:rsidR="00145F96" w:rsidRPr="00711AC8">
        <w:rPr>
          <w:rFonts w:ascii="Avenir Book" w:eastAsia="Calibri" w:hAnsi="Avenir Book" w:cs="Times New Roman"/>
          <w:sz w:val="26"/>
          <w:szCs w:val="26"/>
        </w:rPr>
        <w:t>e Honorable Congreso del Estado de Chihuahua,</w:t>
      </w:r>
      <w:r w:rsidRPr="00711AC8">
        <w:rPr>
          <w:rFonts w:ascii="Avenir Book" w:eastAsia="Calibri" w:hAnsi="Avenir Book" w:cs="Times New Roman"/>
          <w:sz w:val="26"/>
          <w:szCs w:val="26"/>
        </w:rPr>
        <w:t xml:space="preserve"> la siguiente </w:t>
      </w:r>
      <w:r w:rsidR="00D92E36" w:rsidRPr="00D92E36">
        <w:rPr>
          <w:rFonts w:ascii="Avenir Book" w:eastAsia="Calibri" w:hAnsi="Avenir Book" w:cs="Times New Roman"/>
          <w:sz w:val="26"/>
          <w:szCs w:val="26"/>
        </w:rPr>
        <w:t>proposición con carácter de punto de:</w:t>
      </w:r>
      <w:r w:rsidR="00D92E36" w:rsidRPr="00711AC8">
        <w:rPr>
          <w:rFonts w:ascii="Avenir Book" w:eastAsia="Calibri" w:hAnsi="Avenir Book" w:cs="Times New Roman"/>
          <w:b/>
          <w:bCs/>
          <w:sz w:val="26"/>
          <w:szCs w:val="26"/>
        </w:rPr>
        <w:t xml:space="preserve"> </w:t>
      </w:r>
    </w:p>
    <w:p w14:paraId="6635E9BE" w14:textId="21F80B34" w:rsidR="00D5373B" w:rsidRDefault="00D92E36" w:rsidP="00D92E36">
      <w:pPr>
        <w:spacing w:before="100" w:beforeAutospacing="1" w:after="100" w:afterAutospacing="1" w:line="240" w:lineRule="auto"/>
        <w:jc w:val="center"/>
        <w:rPr>
          <w:rFonts w:ascii="Avenir Book" w:eastAsia="Calibri" w:hAnsi="Avenir Book" w:cs="Times New Roman"/>
          <w:b/>
          <w:bCs/>
          <w:sz w:val="26"/>
          <w:szCs w:val="26"/>
        </w:rPr>
      </w:pPr>
      <w:r>
        <w:rPr>
          <w:rFonts w:ascii="Avenir Book" w:eastAsia="Calibri" w:hAnsi="Avenir Book" w:cs="Times New Roman"/>
          <w:b/>
          <w:bCs/>
          <w:sz w:val="26"/>
          <w:szCs w:val="26"/>
        </w:rPr>
        <w:t>DECRETO</w:t>
      </w:r>
      <w:r w:rsidR="00D5373B" w:rsidRPr="00711AC8">
        <w:rPr>
          <w:rFonts w:ascii="Avenir Book" w:eastAsia="Calibri" w:hAnsi="Avenir Book" w:cs="Times New Roman"/>
          <w:b/>
          <w:bCs/>
          <w:sz w:val="26"/>
          <w:szCs w:val="26"/>
        </w:rPr>
        <w:t>.</w:t>
      </w:r>
    </w:p>
    <w:p w14:paraId="068B8EDA" w14:textId="59222EA8" w:rsidR="003E6531" w:rsidRDefault="00D92E36" w:rsidP="00E34321">
      <w:pPr>
        <w:spacing w:before="100" w:beforeAutospacing="1" w:after="100" w:afterAutospacing="1" w:line="240" w:lineRule="auto"/>
        <w:jc w:val="both"/>
        <w:rPr>
          <w:rFonts w:ascii="Avenir Book" w:eastAsia="Calibri" w:hAnsi="Avenir Book" w:cs="Times New Roman"/>
          <w:sz w:val="26"/>
          <w:szCs w:val="26"/>
        </w:rPr>
      </w:pPr>
      <w:r>
        <w:rPr>
          <w:rFonts w:ascii="Avenir Book" w:eastAsia="Calibri" w:hAnsi="Avenir Book" w:cs="Times New Roman"/>
          <w:b/>
          <w:bCs/>
          <w:sz w:val="26"/>
          <w:szCs w:val="26"/>
        </w:rPr>
        <w:t xml:space="preserve">ARTÍCULO </w:t>
      </w:r>
      <w:proofErr w:type="gramStart"/>
      <w:r w:rsidR="005346AF">
        <w:rPr>
          <w:rFonts w:ascii="Avenir Book" w:eastAsia="Calibri" w:hAnsi="Avenir Book" w:cs="Times New Roman"/>
          <w:b/>
          <w:bCs/>
          <w:sz w:val="26"/>
          <w:szCs w:val="26"/>
        </w:rPr>
        <w:t>UNICO</w:t>
      </w:r>
      <w:r>
        <w:rPr>
          <w:rFonts w:ascii="Avenir Book" w:eastAsia="Calibri" w:hAnsi="Avenir Book" w:cs="Times New Roman"/>
          <w:b/>
          <w:bCs/>
          <w:sz w:val="26"/>
          <w:szCs w:val="26"/>
        </w:rPr>
        <w:t>.-</w:t>
      </w:r>
      <w:proofErr w:type="gramEnd"/>
      <w:r>
        <w:rPr>
          <w:rFonts w:ascii="Avenir Book" w:eastAsia="Calibri" w:hAnsi="Avenir Book" w:cs="Times New Roman"/>
          <w:b/>
          <w:bCs/>
          <w:sz w:val="26"/>
          <w:szCs w:val="26"/>
        </w:rPr>
        <w:t xml:space="preserve"> </w:t>
      </w:r>
      <w:r w:rsidR="00E34321">
        <w:rPr>
          <w:rFonts w:ascii="Avenir Book" w:eastAsia="Calibri" w:hAnsi="Avenir Book" w:cs="Times New Roman"/>
          <w:sz w:val="26"/>
          <w:szCs w:val="26"/>
        </w:rPr>
        <w:t>Se adiciona el artículo 66, fracción IX, segundo párrafo de la Ley Orgánica del Poder Legislativo para quedar redactado de la siguiente manera:</w:t>
      </w:r>
    </w:p>
    <w:p w14:paraId="0F64C291" w14:textId="7D7DA6F5" w:rsidR="00E34321" w:rsidRDefault="002724AF" w:rsidP="00E34321">
      <w:pPr>
        <w:spacing w:before="100" w:beforeAutospacing="1" w:after="100" w:afterAutospacing="1" w:line="240" w:lineRule="auto"/>
        <w:jc w:val="both"/>
        <w:rPr>
          <w:rFonts w:ascii="Avenir Book" w:eastAsia="Calibri" w:hAnsi="Avenir Book" w:cs="Times New Roman"/>
          <w:sz w:val="26"/>
          <w:szCs w:val="26"/>
        </w:rPr>
      </w:pPr>
      <w:r w:rsidRPr="002724AF">
        <w:rPr>
          <w:rFonts w:ascii="Avenir Book" w:eastAsia="Calibri" w:hAnsi="Avenir Book" w:cs="Times New Roman"/>
          <w:b/>
          <w:bCs/>
          <w:sz w:val="26"/>
          <w:szCs w:val="26"/>
        </w:rPr>
        <w:t>ARTÍCULO 66.</w:t>
      </w:r>
      <w:r>
        <w:rPr>
          <w:rFonts w:ascii="Avenir Book" w:eastAsia="Calibri" w:hAnsi="Avenir Book" w:cs="Times New Roman"/>
          <w:sz w:val="26"/>
          <w:szCs w:val="26"/>
        </w:rPr>
        <w:t xml:space="preserve"> …</w:t>
      </w:r>
    </w:p>
    <w:p w14:paraId="587AED87" w14:textId="369834A9" w:rsidR="002724AF" w:rsidRDefault="002724AF" w:rsidP="002724AF">
      <w:pPr>
        <w:spacing w:before="100" w:beforeAutospacing="1" w:after="100" w:afterAutospacing="1" w:line="240" w:lineRule="auto"/>
        <w:ind w:left="284"/>
        <w:jc w:val="both"/>
        <w:rPr>
          <w:rFonts w:ascii="Avenir Book" w:eastAsia="Calibri" w:hAnsi="Avenir Book" w:cs="Times New Roman"/>
          <w:sz w:val="26"/>
          <w:szCs w:val="26"/>
        </w:rPr>
      </w:pPr>
      <w:r w:rsidRPr="002724AF">
        <w:rPr>
          <w:rFonts w:ascii="Avenir Book" w:eastAsia="Calibri" w:hAnsi="Avenir Book" w:cs="Times New Roman"/>
          <w:sz w:val="26"/>
          <w:szCs w:val="26"/>
        </w:rPr>
        <w:t>I. a XVIII.</w:t>
      </w:r>
      <w:r>
        <w:rPr>
          <w:rFonts w:ascii="Avenir Book" w:eastAsia="Calibri" w:hAnsi="Avenir Book" w:cs="Times New Roman"/>
          <w:sz w:val="26"/>
          <w:szCs w:val="26"/>
        </w:rPr>
        <w:t xml:space="preserve"> …</w:t>
      </w:r>
    </w:p>
    <w:p w14:paraId="0828FF8E" w14:textId="2D214300" w:rsidR="002724AF" w:rsidRDefault="002724AF" w:rsidP="002724AF">
      <w:pPr>
        <w:spacing w:before="100" w:beforeAutospacing="1" w:after="100" w:afterAutospacing="1" w:line="240" w:lineRule="auto"/>
        <w:ind w:left="284"/>
        <w:jc w:val="both"/>
        <w:rPr>
          <w:rFonts w:ascii="Avenir Book" w:eastAsia="Calibri" w:hAnsi="Avenir Book" w:cs="Times New Roman"/>
          <w:sz w:val="26"/>
          <w:szCs w:val="26"/>
        </w:rPr>
      </w:pPr>
      <w:r w:rsidRPr="002724AF">
        <w:rPr>
          <w:rFonts w:ascii="Avenir Book" w:eastAsia="Calibri" w:hAnsi="Avenir Book" w:cs="Times New Roman"/>
          <w:sz w:val="26"/>
          <w:szCs w:val="26"/>
        </w:rPr>
        <w:t>IX.</w:t>
      </w:r>
      <w:r>
        <w:rPr>
          <w:rFonts w:ascii="Avenir Book" w:eastAsia="Calibri" w:hAnsi="Avenir Book" w:cs="Times New Roman"/>
          <w:sz w:val="26"/>
          <w:szCs w:val="26"/>
        </w:rPr>
        <w:t xml:space="preserve"> …</w:t>
      </w:r>
    </w:p>
    <w:p w14:paraId="70142523" w14:textId="42CF30B9" w:rsidR="002724AF" w:rsidRPr="00A87234" w:rsidRDefault="002724AF" w:rsidP="002724AF">
      <w:pPr>
        <w:spacing w:before="100" w:beforeAutospacing="1" w:after="100" w:afterAutospacing="1" w:line="240" w:lineRule="auto"/>
        <w:ind w:left="284"/>
        <w:jc w:val="both"/>
        <w:rPr>
          <w:rFonts w:ascii="Avenir Book" w:eastAsia="Calibri" w:hAnsi="Avenir Book" w:cs="Times New Roman"/>
          <w:sz w:val="26"/>
          <w:szCs w:val="26"/>
        </w:rPr>
      </w:pPr>
      <w:r w:rsidRPr="002724AF">
        <w:rPr>
          <w:rFonts w:ascii="Avenir Book" w:eastAsia="Calibri" w:hAnsi="Avenir Book" w:cs="Times New Roman"/>
          <w:sz w:val="26"/>
          <w:szCs w:val="26"/>
        </w:rPr>
        <w:t>En dicho proyecto, deberá establecerse el monto</w:t>
      </w:r>
      <w:r w:rsidR="009E7AF6">
        <w:rPr>
          <w:rFonts w:ascii="Avenir Book" w:eastAsia="Calibri" w:hAnsi="Avenir Book" w:cs="Times New Roman"/>
          <w:sz w:val="26"/>
          <w:szCs w:val="26"/>
        </w:rPr>
        <w:t xml:space="preserve"> </w:t>
      </w:r>
      <w:r w:rsidR="009E7AF6" w:rsidRPr="009E7AF6">
        <w:rPr>
          <w:rFonts w:ascii="Avenir Book" w:eastAsia="Calibri" w:hAnsi="Avenir Book" w:cs="Times New Roman"/>
          <w:b/>
          <w:bCs/>
          <w:sz w:val="26"/>
          <w:szCs w:val="26"/>
        </w:rPr>
        <w:t>mínimo</w:t>
      </w:r>
      <w:r w:rsidR="002A2CB4">
        <w:rPr>
          <w:rFonts w:ascii="Avenir Book" w:eastAsia="Calibri" w:hAnsi="Avenir Book" w:cs="Times New Roman"/>
          <w:b/>
          <w:bCs/>
          <w:sz w:val="26"/>
          <w:szCs w:val="26"/>
        </w:rPr>
        <w:t xml:space="preserve"> anual</w:t>
      </w:r>
      <w:r w:rsidR="009E7AF6">
        <w:rPr>
          <w:rFonts w:ascii="Avenir Book" w:eastAsia="Calibri" w:hAnsi="Avenir Book" w:cs="Times New Roman"/>
          <w:sz w:val="26"/>
          <w:szCs w:val="26"/>
        </w:rPr>
        <w:t xml:space="preserve"> </w:t>
      </w:r>
      <w:r w:rsidR="009E7AF6" w:rsidRPr="009E7AF6">
        <w:rPr>
          <w:rFonts w:ascii="Avenir Book" w:eastAsia="Calibri" w:hAnsi="Avenir Book" w:cs="Times New Roman"/>
          <w:b/>
          <w:bCs/>
          <w:sz w:val="26"/>
          <w:szCs w:val="26"/>
        </w:rPr>
        <w:t xml:space="preserve">de </w:t>
      </w:r>
      <w:r w:rsidR="002A2CB4" w:rsidRPr="002A2CB4">
        <w:rPr>
          <w:rFonts w:ascii="Avenir Book" w:eastAsia="Calibri" w:hAnsi="Avenir Book" w:cs="Times New Roman"/>
          <w:b/>
          <w:bCs/>
          <w:sz w:val="26"/>
          <w:szCs w:val="26"/>
        </w:rPr>
        <w:t>1767.72</w:t>
      </w:r>
      <w:r w:rsidR="002A2CB4">
        <w:rPr>
          <w:rFonts w:ascii="Avenir Book" w:eastAsia="Calibri" w:hAnsi="Avenir Book" w:cs="Times New Roman"/>
          <w:b/>
          <w:bCs/>
          <w:sz w:val="26"/>
          <w:szCs w:val="26"/>
        </w:rPr>
        <w:t xml:space="preserve"> </w:t>
      </w:r>
      <w:proofErr w:type="spellStart"/>
      <w:r w:rsidR="002A2CB4">
        <w:rPr>
          <w:rFonts w:ascii="Avenir Book" w:eastAsia="Calibri" w:hAnsi="Avenir Book" w:cs="Times New Roman"/>
          <w:b/>
          <w:bCs/>
          <w:sz w:val="26"/>
          <w:szCs w:val="26"/>
        </w:rPr>
        <w:t>umas</w:t>
      </w:r>
      <w:proofErr w:type="spellEnd"/>
      <w:r w:rsidR="002A2CB4">
        <w:rPr>
          <w:rFonts w:ascii="Avenir Book" w:eastAsia="Calibri" w:hAnsi="Avenir Book" w:cs="Times New Roman"/>
          <w:b/>
          <w:bCs/>
          <w:sz w:val="26"/>
          <w:szCs w:val="26"/>
        </w:rPr>
        <w:t xml:space="preserve"> diarias, </w:t>
      </w:r>
      <w:r w:rsidRPr="002724AF">
        <w:rPr>
          <w:rFonts w:ascii="Avenir Book" w:eastAsia="Calibri" w:hAnsi="Avenir Book" w:cs="Times New Roman"/>
          <w:sz w:val="26"/>
          <w:szCs w:val="26"/>
        </w:rPr>
        <w:t>que se canalizará para llevar a cabo publicaciones que programe el Consejo Editorial, del Comité Editorial y de Biblioteca</w:t>
      </w:r>
    </w:p>
    <w:p w14:paraId="0F8B925E" w14:textId="62A7DE3A" w:rsidR="00C467CF" w:rsidRDefault="00C467CF" w:rsidP="00C467CF">
      <w:pPr>
        <w:spacing w:before="100" w:beforeAutospacing="1" w:after="100" w:afterAutospacing="1" w:line="240" w:lineRule="auto"/>
        <w:jc w:val="center"/>
        <w:rPr>
          <w:rFonts w:ascii="Avenir Book" w:eastAsia="Calibri" w:hAnsi="Avenir Book" w:cs="Times New Roman"/>
          <w:b/>
          <w:bCs/>
          <w:sz w:val="26"/>
          <w:szCs w:val="26"/>
        </w:rPr>
      </w:pPr>
      <w:r>
        <w:rPr>
          <w:rFonts w:ascii="Avenir Book" w:eastAsia="Calibri" w:hAnsi="Avenir Book" w:cs="Times New Roman"/>
          <w:b/>
          <w:bCs/>
          <w:sz w:val="26"/>
          <w:szCs w:val="26"/>
        </w:rPr>
        <w:t>ARTÍCULOS TRANSITORIOS</w:t>
      </w:r>
    </w:p>
    <w:p w14:paraId="5D054A62" w14:textId="4837946B" w:rsidR="00C467CF" w:rsidRDefault="00C467CF" w:rsidP="00C467CF">
      <w:pPr>
        <w:spacing w:before="100" w:beforeAutospacing="1" w:after="100" w:afterAutospacing="1" w:line="240" w:lineRule="auto"/>
        <w:jc w:val="both"/>
        <w:rPr>
          <w:rFonts w:ascii="Avenir Book" w:eastAsia="Calibri" w:hAnsi="Avenir Book" w:cs="Times New Roman"/>
          <w:b/>
          <w:bCs/>
          <w:sz w:val="26"/>
          <w:szCs w:val="26"/>
        </w:rPr>
      </w:pPr>
      <w:proofErr w:type="gramStart"/>
      <w:r>
        <w:rPr>
          <w:rFonts w:ascii="Avenir Book" w:eastAsia="Calibri" w:hAnsi="Avenir Book" w:cs="Times New Roman"/>
          <w:b/>
          <w:bCs/>
          <w:sz w:val="26"/>
          <w:szCs w:val="26"/>
        </w:rPr>
        <w:t>PRIMERO.-</w:t>
      </w:r>
      <w:proofErr w:type="gramEnd"/>
      <w:r>
        <w:rPr>
          <w:rFonts w:ascii="Avenir Book" w:eastAsia="Calibri" w:hAnsi="Avenir Book" w:cs="Times New Roman"/>
          <w:b/>
          <w:bCs/>
          <w:sz w:val="26"/>
          <w:szCs w:val="26"/>
        </w:rPr>
        <w:t xml:space="preserve"> </w:t>
      </w:r>
      <w:r w:rsidRPr="00A87234">
        <w:rPr>
          <w:rFonts w:ascii="Avenir Book" w:eastAsia="Calibri" w:hAnsi="Avenir Book" w:cs="Times New Roman"/>
          <w:sz w:val="26"/>
          <w:szCs w:val="26"/>
        </w:rPr>
        <w:t>El presente Decreto entrará en vigor al día siguiente de su publicación en el Periódico Oficial del Estado.</w:t>
      </w:r>
    </w:p>
    <w:p w14:paraId="1293F9B3" w14:textId="29A0E571" w:rsidR="00C467CF" w:rsidRPr="00A87234" w:rsidRDefault="00C467CF" w:rsidP="00C467CF">
      <w:pPr>
        <w:spacing w:before="100" w:beforeAutospacing="1" w:after="100" w:afterAutospacing="1" w:line="240" w:lineRule="auto"/>
        <w:jc w:val="both"/>
        <w:rPr>
          <w:rFonts w:ascii="Avenir Book" w:eastAsia="Calibri" w:hAnsi="Avenir Book" w:cs="Times New Roman"/>
          <w:sz w:val="26"/>
          <w:szCs w:val="26"/>
        </w:rPr>
      </w:pPr>
      <w:proofErr w:type="gramStart"/>
      <w:r>
        <w:rPr>
          <w:rFonts w:ascii="Avenir Book" w:eastAsia="Calibri" w:hAnsi="Avenir Book" w:cs="Times New Roman"/>
          <w:b/>
          <w:bCs/>
          <w:sz w:val="26"/>
          <w:szCs w:val="26"/>
        </w:rPr>
        <w:t>SEGUNDO.-</w:t>
      </w:r>
      <w:proofErr w:type="gramEnd"/>
      <w:r>
        <w:rPr>
          <w:rFonts w:ascii="Avenir Book" w:eastAsia="Calibri" w:hAnsi="Avenir Book" w:cs="Times New Roman"/>
          <w:b/>
          <w:bCs/>
          <w:sz w:val="26"/>
          <w:szCs w:val="26"/>
        </w:rPr>
        <w:t xml:space="preserve"> </w:t>
      </w:r>
      <w:r w:rsidRPr="00A87234">
        <w:rPr>
          <w:rFonts w:ascii="Avenir Book" w:eastAsia="Calibri" w:hAnsi="Avenir Book" w:cs="Times New Roman"/>
          <w:sz w:val="26"/>
          <w:szCs w:val="26"/>
        </w:rPr>
        <w:t>La partida presupuestal para dar cumplimiento al presente Decreto deberá ser prevista cada año.</w:t>
      </w:r>
    </w:p>
    <w:p w14:paraId="5B710F31" w14:textId="7CECAC74" w:rsidR="00F81D7D" w:rsidRPr="00711AC8" w:rsidRDefault="00F81D7D" w:rsidP="00711AC8">
      <w:pPr>
        <w:spacing w:before="100" w:beforeAutospacing="1" w:after="100" w:afterAutospacing="1" w:line="240" w:lineRule="auto"/>
        <w:jc w:val="both"/>
        <w:rPr>
          <w:rFonts w:ascii="Avenir Book" w:eastAsia="Calibri" w:hAnsi="Avenir Book" w:cs="Times New Roman"/>
          <w:sz w:val="26"/>
          <w:szCs w:val="26"/>
        </w:rPr>
      </w:pPr>
      <w:r w:rsidRPr="00711AC8">
        <w:rPr>
          <w:rFonts w:ascii="Avenir Book" w:eastAsia="Calibri" w:hAnsi="Avenir Book" w:cs="Times New Roman"/>
          <w:sz w:val="26"/>
          <w:szCs w:val="26"/>
        </w:rPr>
        <w:t xml:space="preserve">Dado </w:t>
      </w:r>
      <w:r w:rsidR="00D5373B" w:rsidRPr="00711AC8">
        <w:rPr>
          <w:rFonts w:ascii="Avenir Book" w:eastAsia="Calibri" w:hAnsi="Avenir Book" w:cs="Times New Roman"/>
          <w:sz w:val="26"/>
          <w:szCs w:val="26"/>
        </w:rPr>
        <w:t xml:space="preserve">en el recinto oficial del Poder Legislativo, en la Ciudad de Chihuahua, Chihuahua, a </w:t>
      </w:r>
      <w:r w:rsidR="005346AF" w:rsidRPr="00711AC8">
        <w:rPr>
          <w:rFonts w:ascii="Avenir Book" w:eastAsia="Calibri" w:hAnsi="Avenir Book" w:cs="Times New Roman"/>
          <w:sz w:val="26"/>
          <w:szCs w:val="26"/>
        </w:rPr>
        <w:t>los días</w:t>
      </w:r>
      <w:r w:rsidR="00D5373B" w:rsidRPr="00711AC8">
        <w:rPr>
          <w:rFonts w:ascii="Avenir Book" w:eastAsia="Calibri" w:hAnsi="Avenir Book" w:cs="Times New Roman"/>
          <w:sz w:val="26"/>
          <w:szCs w:val="26"/>
        </w:rPr>
        <w:t xml:space="preserve"> </w:t>
      </w:r>
      <w:r w:rsidR="000653EF">
        <w:rPr>
          <w:rFonts w:ascii="Avenir Book" w:eastAsia="Calibri" w:hAnsi="Avenir Book" w:cs="Times New Roman"/>
          <w:sz w:val="26"/>
          <w:szCs w:val="26"/>
        </w:rPr>
        <w:t xml:space="preserve">10 </w:t>
      </w:r>
      <w:proofErr w:type="spellStart"/>
      <w:r w:rsidR="000653EF">
        <w:rPr>
          <w:rFonts w:ascii="Avenir Book" w:eastAsia="Calibri" w:hAnsi="Avenir Book" w:cs="Times New Roman"/>
          <w:sz w:val="26"/>
          <w:szCs w:val="26"/>
        </w:rPr>
        <w:t>dias</w:t>
      </w:r>
      <w:proofErr w:type="spellEnd"/>
      <w:r w:rsidR="000653EF">
        <w:rPr>
          <w:rFonts w:ascii="Avenir Book" w:eastAsia="Calibri" w:hAnsi="Avenir Book" w:cs="Times New Roman"/>
          <w:sz w:val="26"/>
          <w:szCs w:val="26"/>
        </w:rPr>
        <w:t xml:space="preserve"> del mes de diciembre</w:t>
      </w:r>
      <w:r w:rsidR="00A87234">
        <w:rPr>
          <w:rFonts w:ascii="Avenir Book" w:eastAsia="Calibri" w:hAnsi="Avenir Book" w:cs="Times New Roman"/>
          <w:sz w:val="26"/>
          <w:szCs w:val="26"/>
        </w:rPr>
        <w:t xml:space="preserve"> </w:t>
      </w:r>
      <w:r w:rsidR="00D5373B" w:rsidRPr="00711AC8">
        <w:rPr>
          <w:rFonts w:ascii="Avenir Book" w:eastAsia="Calibri" w:hAnsi="Avenir Book" w:cs="Times New Roman"/>
          <w:sz w:val="26"/>
          <w:szCs w:val="26"/>
        </w:rPr>
        <w:t>del año dos mil veintic</w:t>
      </w:r>
      <w:r w:rsidR="009E7AF6">
        <w:rPr>
          <w:rFonts w:ascii="Avenir Book" w:eastAsia="Calibri" w:hAnsi="Avenir Book" w:cs="Times New Roman"/>
          <w:sz w:val="26"/>
          <w:szCs w:val="26"/>
        </w:rPr>
        <w:t>inco</w:t>
      </w:r>
      <w:r w:rsidR="00D5373B" w:rsidRPr="00711AC8">
        <w:rPr>
          <w:rFonts w:ascii="Avenir Book" w:eastAsia="Calibri" w:hAnsi="Avenir Book" w:cs="Times New Roman"/>
          <w:sz w:val="26"/>
          <w:szCs w:val="26"/>
        </w:rPr>
        <w:t>.</w:t>
      </w:r>
    </w:p>
    <w:p w14:paraId="1B60C187" w14:textId="77777777" w:rsidR="00F81D7D" w:rsidRDefault="00F81D7D" w:rsidP="00711AC8">
      <w:pPr>
        <w:spacing w:before="100" w:beforeAutospacing="1" w:after="100" w:afterAutospacing="1" w:line="240" w:lineRule="auto"/>
        <w:jc w:val="center"/>
        <w:rPr>
          <w:rFonts w:ascii="Montserrat" w:eastAsia="Montserrat" w:hAnsi="Montserrat" w:cs="Montserrat"/>
          <w:b/>
          <w:sz w:val="24"/>
          <w:szCs w:val="24"/>
        </w:rPr>
      </w:pPr>
      <w:r>
        <w:rPr>
          <w:rFonts w:ascii="Montserrat" w:eastAsia="Montserrat" w:hAnsi="Montserrat" w:cs="Montserrat"/>
          <w:b/>
          <w:sz w:val="24"/>
          <w:szCs w:val="24"/>
        </w:rPr>
        <w:t xml:space="preserve">ATENTAMENTE    </w:t>
      </w:r>
    </w:p>
    <w:p w14:paraId="69ED176E" w14:textId="77777777" w:rsidR="00711AC8" w:rsidRDefault="00711AC8" w:rsidP="00711AC8">
      <w:pPr>
        <w:spacing w:before="100" w:beforeAutospacing="1" w:after="100" w:afterAutospacing="1" w:line="240" w:lineRule="auto"/>
        <w:jc w:val="center"/>
        <w:rPr>
          <w:rFonts w:ascii="Montserrat" w:eastAsia="Montserrat" w:hAnsi="Montserrat" w:cs="Montserrat"/>
          <w:b/>
          <w:sz w:val="24"/>
          <w:szCs w:val="24"/>
        </w:rPr>
      </w:pPr>
    </w:p>
    <w:p w14:paraId="7FCA2305" w14:textId="77777777" w:rsidR="009E7AF6" w:rsidRPr="009E7AF6" w:rsidRDefault="00F81D7D" w:rsidP="009E7AF6">
      <w:pPr>
        <w:spacing w:line="360" w:lineRule="auto"/>
        <w:rPr>
          <w:rFonts w:ascii="Century Gothic" w:eastAsia="Times New Roman" w:hAnsi="Century Gothic"/>
          <w:b/>
          <w:caps/>
          <w:sz w:val="24"/>
          <w:szCs w:val="24"/>
          <w:lang w:val="es-ES_tradnl"/>
        </w:rPr>
      </w:pPr>
      <w:r>
        <w:rPr>
          <w:rFonts w:ascii="Montserrat" w:eastAsia="Montserrat" w:hAnsi="Montserrat" w:cs="Montserrat"/>
          <w:b/>
          <w:sz w:val="24"/>
          <w:szCs w:val="24"/>
        </w:rPr>
        <w:lastRenderedPageBreak/>
        <w:t xml:space="preserve"> </w:t>
      </w:r>
    </w:p>
    <w:p w14:paraId="08AE7141" w14:textId="77777777" w:rsidR="009E7AF6" w:rsidRPr="009E7AF6" w:rsidRDefault="009E7AF6" w:rsidP="009E7AF6">
      <w:pPr>
        <w:spacing w:line="360" w:lineRule="auto"/>
        <w:jc w:val="center"/>
        <w:rPr>
          <w:rFonts w:ascii="Century Gothic" w:eastAsia="Times New Roman" w:hAnsi="Century Gothic"/>
          <w:b/>
          <w:sz w:val="24"/>
          <w:szCs w:val="24"/>
          <w:lang w:val="es-MX"/>
        </w:rPr>
      </w:pPr>
      <w:r w:rsidRPr="009E7AF6">
        <w:rPr>
          <w:rFonts w:ascii="Century Gothic" w:eastAsia="Times New Roman" w:hAnsi="Century Gothic"/>
          <w:b/>
          <w:sz w:val="24"/>
          <w:szCs w:val="24"/>
          <w:lang w:val="es-MX"/>
        </w:rPr>
        <w:t>DIP. ALMA YESENIA PORTILLO LERMA</w:t>
      </w:r>
    </w:p>
    <w:p w14:paraId="273B7699" w14:textId="77777777" w:rsidR="009E7AF6" w:rsidRPr="009E7AF6" w:rsidRDefault="009E7AF6" w:rsidP="009E7AF6">
      <w:pPr>
        <w:spacing w:line="360" w:lineRule="auto"/>
        <w:jc w:val="center"/>
        <w:rPr>
          <w:rFonts w:ascii="Century Gothic" w:eastAsia="Calibri" w:hAnsi="Century Gothic"/>
          <w:b/>
          <w:sz w:val="24"/>
          <w:szCs w:val="24"/>
          <w:lang w:val="es-MX" w:eastAsia="en-US"/>
        </w:rPr>
      </w:pPr>
      <w:r w:rsidRPr="009E7AF6">
        <w:rPr>
          <w:rFonts w:ascii="Century Gothic" w:eastAsia="Calibri" w:hAnsi="Century Gothic"/>
          <w:b/>
          <w:sz w:val="24"/>
          <w:szCs w:val="24"/>
          <w:lang w:val="es-ES" w:eastAsia="en-US"/>
        </w:rPr>
        <w:t>PRESIDENTA</w:t>
      </w:r>
    </w:p>
    <w:p w14:paraId="2F4196F6" w14:textId="77777777" w:rsidR="009E7AF6" w:rsidRPr="009E7AF6" w:rsidRDefault="009E7AF6" w:rsidP="009E7AF6">
      <w:pPr>
        <w:spacing w:line="360" w:lineRule="auto"/>
        <w:jc w:val="center"/>
        <w:rPr>
          <w:rFonts w:ascii="Century Gothic" w:eastAsia="Calibri" w:hAnsi="Century Gothic"/>
          <w:b/>
          <w:sz w:val="24"/>
          <w:szCs w:val="24"/>
          <w:lang w:val="es-MX" w:eastAsia="en-US"/>
        </w:rPr>
      </w:pPr>
    </w:p>
    <w:p w14:paraId="02492ADF" w14:textId="77777777" w:rsidR="009E7AF6" w:rsidRPr="009E7AF6" w:rsidRDefault="009E7AF6" w:rsidP="009E7AF6">
      <w:pPr>
        <w:spacing w:line="360" w:lineRule="auto"/>
        <w:jc w:val="center"/>
        <w:rPr>
          <w:rFonts w:ascii="Century Gothic" w:eastAsia="Calibri" w:hAnsi="Century Gothic"/>
          <w:b/>
          <w:sz w:val="24"/>
          <w:szCs w:val="24"/>
          <w:lang w:val="es-MX" w:eastAsia="en-US"/>
        </w:rPr>
      </w:pPr>
    </w:p>
    <w:p w14:paraId="4BFE55C6" w14:textId="77777777" w:rsidR="009E7AF6" w:rsidRPr="009E7AF6" w:rsidRDefault="009E7AF6" w:rsidP="009E7AF6">
      <w:pPr>
        <w:spacing w:line="360" w:lineRule="auto"/>
        <w:jc w:val="center"/>
        <w:rPr>
          <w:rFonts w:ascii="Century Gothic" w:eastAsia="Calibri" w:hAnsi="Century Gothic"/>
          <w:b/>
          <w:sz w:val="24"/>
          <w:szCs w:val="24"/>
          <w:lang w:val="es-MX" w:eastAsia="en-US"/>
        </w:rPr>
      </w:pPr>
    </w:p>
    <w:p w14:paraId="772D5F93" w14:textId="77777777" w:rsidR="009E7AF6" w:rsidRPr="009E7AF6" w:rsidRDefault="009E7AF6" w:rsidP="009E7AF6">
      <w:pPr>
        <w:spacing w:line="360" w:lineRule="auto"/>
        <w:rPr>
          <w:rFonts w:ascii="Century Gothic" w:eastAsia="Calibri" w:hAnsi="Century Gothic"/>
          <w:b/>
          <w:sz w:val="24"/>
          <w:szCs w:val="24"/>
          <w:lang w:val="es-MX" w:eastAsia="en-US"/>
        </w:rPr>
      </w:pPr>
    </w:p>
    <w:p w14:paraId="22B888A9" w14:textId="77777777" w:rsidR="009E7AF6" w:rsidRPr="009E7AF6" w:rsidRDefault="009E7AF6" w:rsidP="009E7AF6">
      <w:pPr>
        <w:spacing w:line="360" w:lineRule="auto"/>
        <w:rPr>
          <w:rFonts w:ascii="Century Gothic" w:eastAsia="Calibri" w:hAnsi="Century Gothic"/>
          <w:b/>
          <w:sz w:val="24"/>
          <w:szCs w:val="24"/>
          <w:lang w:val="es-MX" w:eastAsia="en-US"/>
        </w:rPr>
      </w:pPr>
    </w:p>
    <w:p w14:paraId="1C5F716C" w14:textId="77777777" w:rsidR="009E7AF6" w:rsidRPr="009E7AF6" w:rsidRDefault="009E7AF6" w:rsidP="009E7AF6">
      <w:pPr>
        <w:spacing w:line="360" w:lineRule="auto"/>
        <w:rPr>
          <w:rFonts w:ascii="Century Gothic" w:eastAsia="Calibri" w:hAnsi="Century Gothic"/>
          <w:b/>
          <w:sz w:val="24"/>
          <w:szCs w:val="24"/>
          <w:lang w:val="es-MX" w:eastAsia="en-US"/>
        </w:rPr>
      </w:pPr>
    </w:p>
    <w:p w14:paraId="148EEE4A" w14:textId="77777777" w:rsidR="009E7AF6" w:rsidRPr="009E7AF6" w:rsidRDefault="009E7AF6" w:rsidP="009E7AF6">
      <w:pPr>
        <w:spacing w:line="360" w:lineRule="auto"/>
        <w:rPr>
          <w:rFonts w:ascii="Century Gothic" w:eastAsia="Calibri" w:hAnsi="Century Gothic"/>
          <w:b/>
          <w:sz w:val="24"/>
          <w:szCs w:val="24"/>
          <w:lang w:val="es-MX" w:eastAsia="en-US"/>
        </w:rPr>
      </w:pPr>
    </w:p>
    <w:p w14:paraId="4A584D3F" w14:textId="77777777" w:rsidR="009E7AF6" w:rsidRPr="009E7AF6" w:rsidRDefault="009E7AF6" w:rsidP="009E7AF6">
      <w:pPr>
        <w:spacing w:line="360" w:lineRule="auto"/>
        <w:jc w:val="center"/>
        <w:rPr>
          <w:rFonts w:ascii="Century Gothic" w:eastAsia="Calibri" w:hAnsi="Century Gothic"/>
          <w:b/>
          <w:sz w:val="24"/>
          <w:szCs w:val="24"/>
          <w:lang w:val="es-MX" w:eastAsia="en-US"/>
        </w:rPr>
      </w:pPr>
    </w:p>
    <w:tbl>
      <w:tblPr>
        <w:tblW w:w="0" w:type="auto"/>
        <w:tblLayout w:type="fixed"/>
        <w:tblCellMar>
          <w:left w:w="70" w:type="dxa"/>
          <w:right w:w="70" w:type="dxa"/>
        </w:tblCellMar>
        <w:tblLook w:val="0000" w:firstRow="0" w:lastRow="0" w:firstColumn="0" w:lastColumn="0" w:noHBand="0" w:noVBand="0"/>
      </w:tblPr>
      <w:tblGrid>
        <w:gridCol w:w="4489"/>
        <w:gridCol w:w="4795"/>
      </w:tblGrid>
      <w:tr w:rsidR="009E7AF6" w:rsidRPr="009E7AF6" w14:paraId="3F900E16" w14:textId="77777777" w:rsidTr="009505B5">
        <w:tc>
          <w:tcPr>
            <w:tcW w:w="4489" w:type="dxa"/>
          </w:tcPr>
          <w:p w14:paraId="389844DA" w14:textId="77777777" w:rsidR="009E7AF6" w:rsidRPr="009E7AF6" w:rsidRDefault="009E7AF6" w:rsidP="009E7AF6">
            <w:pPr>
              <w:spacing w:line="360" w:lineRule="auto"/>
              <w:jc w:val="center"/>
              <w:rPr>
                <w:rFonts w:ascii="Century Gothic" w:eastAsia="Times New Roman" w:hAnsi="Century Gothic"/>
                <w:b/>
                <w:sz w:val="24"/>
                <w:szCs w:val="24"/>
                <w:lang w:val="es-MX"/>
              </w:rPr>
            </w:pPr>
            <w:r w:rsidRPr="009E7AF6">
              <w:rPr>
                <w:rFonts w:ascii="Century Gothic" w:eastAsia="Times New Roman" w:hAnsi="Century Gothic"/>
                <w:b/>
                <w:sz w:val="24"/>
                <w:szCs w:val="24"/>
                <w:lang w:val="es-MX"/>
              </w:rPr>
              <w:t>DIP. ROBERTO ARTURO MEDINA AGUIRRE</w:t>
            </w:r>
          </w:p>
          <w:p w14:paraId="4496264D" w14:textId="77777777" w:rsidR="009E7AF6" w:rsidRPr="009E7AF6" w:rsidRDefault="009E7AF6" w:rsidP="009E7AF6">
            <w:pPr>
              <w:spacing w:line="360" w:lineRule="auto"/>
              <w:jc w:val="center"/>
              <w:rPr>
                <w:rFonts w:ascii="Century Gothic" w:eastAsia="Calibri" w:hAnsi="Century Gothic"/>
                <w:b/>
                <w:spacing w:val="10"/>
                <w:sz w:val="24"/>
                <w:szCs w:val="24"/>
                <w:lang w:val="es-MX" w:eastAsia="en-US"/>
              </w:rPr>
            </w:pPr>
            <w:r w:rsidRPr="009E7AF6">
              <w:rPr>
                <w:rFonts w:ascii="Century Gothic" w:eastAsia="Calibri" w:hAnsi="Century Gothic"/>
                <w:b/>
                <w:sz w:val="24"/>
                <w:szCs w:val="24"/>
                <w:lang w:val="es-MX" w:eastAsia="en-US"/>
              </w:rPr>
              <w:t>SECRETARIO</w:t>
            </w:r>
          </w:p>
        </w:tc>
        <w:tc>
          <w:tcPr>
            <w:tcW w:w="4795" w:type="dxa"/>
          </w:tcPr>
          <w:p w14:paraId="4F484046" w14:textId="77777777" w:rsidR="009E7AF6" w:rsidRPr="009E7AF6" w:rsidRDefault="009E7AF6" w:rsidP="009E7AF6">
            <w:pPr>
              <w:spacing w:line="360" w:lineRule="auto"/>
              <w:jc w:val="center"/>
              <w:rPr>
                <w:rFonts w:ascii="Century Gothic" w:eastAsia="Times New Roman" w:hAnsi="Century Gothic"/>
                <w:b/>
                <w:sz w:val="24"/>
                <w:szCs w:val="24"/>
                <w:lang w:val="es-MX"/>
              </w:rPr>
            </w:pPr>
            <w:r w:rsidRPr="009E7AF6">
              <w:rPr>
                <w:rFonts w:ascii="Century Gothic" w:eastAsia="Times New Roman" w:hAnsi="Century Gothic"/>
                <w:b/>
                <w:sz w:val="24"/>
                <w:szCs w:val="24"/>
                <w:lang w:val="es-MX"/>
              </w:rPr>
              <w:t>DIP. IRLANDA DOMINIQUE MÁRQUEZ NOLASCO</w:t>
            </w:r>
          </w:p>
          <w:p w14:paraId="21D69147" w14:textId="77777777" w:rsidR="009E7AF6" w:rsidRPr="009E7AF6" w:rsidRDefault="009E7AF6" w:rsidP="009E7AF6">
            <w:pPr>
              <w:spacing w:line="360" w:lineRule="auto"/>
              <w:jc w:val="center"/>
              <w:rPr>
                <w:rFonts w:ascii="Century Gothic" w:eastAsia="Times New Roman" w:hAnsi="Century Gothic"/>
                <w:b/>
                <w:spacing w:val="10"/>
                <w:sz w:val="24"/>
                <w:szCs w:val="24"/>
                <w:lang w:val="es-MX"/>
              </w:rPr>
            </w:pPr>
            <w:r w:rsidRPr="009E7AF6">
              <w:rPr>
                <w:rFonts w:ascii="Century Gothic" w:eastAsia="Times New Roman" w:hAnsi="Century Gothic"/>
                <w:b/>
                <w:sz w:val="24"/>
                <w:szCs w:val="24"/>
                <w:lang w:val="es-MX"/>
              </w:rPr>
              <w:t>VOCAL</w:t>
            </w:r>
          </w:p>
        </w:tc>
      </w:tr>
    </w:tbl>
    <w:p w14:paraId="14792BCD" w14:textId="77777777" w:rsidR="009E7AF6" w:rsidRPr="009E7AF6" w:rsidRDefault="009E7AF6" w:rsidP="009E7AF6">
      <w:pPr>
        <w:spacing w:line="360" w:lineRule="auto"/>
        <w:rPr>
          <w:rFonts w:ascii="Century Gothic" w:eastAsia="Calibri" w:hAnsi="Century Gothic"/>
          <w:b/>
          <w:spacing w:val="10"/>
          <w:sz w:val="24"/>
          <w:szCs w:val="24"/>
          <w:lang w:val="es-ES" w:eastAsia="en-US"/>
        </w:rPr>
      </w:pPr>
    </w:p>
    <w:p w14:paraId="079207BB" w14:textId="77777777" w:rsidR="009E7AF6" w:rsidRPr="009E7AF6" w:rsidRDefault="009E7AF6" w:rsidP="009E7AF6">
      <w:pPr>
        <w:spacing w:line="360" w:lineRule="auto"/>
        <w:rPr>
          <w:rFonts w:ascii="Century Gothic" w:eastAsia="Calibri" w:hAnsi="Century Gothic"/>
          <w:b/>
          <w:spacing w:val="10"/>
          <w:sz w:val="24"/>
          <w:szCs w:val="24"/>
          <w:lang w:val="es-ES" w:eastAsia="en-US"/>
        </w:rPr>
      </w:pPr>
    </w:p>
    <w:p w14:paraId="083F4384" w14:textId="77777777" w:rsidR="009E7AF6" w:rsidRPr="009E7AF6" w:rsidRDefault="009E7AF6" w:rsidP="009E7AF6">
      <w:pPr>
        <w:spacing w:line="360" w:lineRule="auto"/>
        <w:rPr>
          <w:rFonts w:ascii="Century Gothic" w:eastAsia="Calibri" w:hAnsi="Century Gothic"/>
          <w:b/>
          <w:spacing w:val="10"/>
          <w:sz w:val="24"/>
          <w:szCs w:val="24"/>
          <w:lang w:val="es-ES" w:eastAsia="en-US"/>
        </w:rPr>
      </w:pPr>
    </w:p>
    <w:p w14:paraId="7E0DC35D" w14:textId="77777777" w:rsidR="009E7AF6" w:rsidRPr="009E7AF6" w:rsidRDefault="009E7AF6" w:rsidP="009E7AF6">
      <w:pPr>
        <w:spacing w:line="360" w:lineRule="auto"/>
        <w:rPr>
          <w:rFonts w:ascii="Century Gothic" w:eastAsia="Calibri" w:hAnsi="Century Gothic"/>
          <w:b/>
          <w:spacing w:val="10"/>
          <w:sz w:val="24"/>
          <w:szCs w:val="24"/>
          <w:lang w:val="es-ES" w:eastAsia="en-US"/>
        </w:rPr>
      </w:pPr>
    </w:p>
    <w:p w14:paraId="710CD1A0" w14:textId="77777777" w:rsidR="009E7AF6" w:rsidRPr="009E7AF6" w:rsidRDefault="009E7AF6" w:rsidP="009E7AF6">
      <w:pPr>
        <w:spacing w:line="360" w:lineRule="auto"/>
        <w:rPr>
          <w:rFonts w:ascii="Century Gothic" w:eastAsia="Calibri" w:hAnsi="Century Gothic"/>
          <w:b/>
          <w:spacing w:val="10"/>
          <w:sz w:val="24"/>
          <w:szCs w:val="24"/>
          <w:lang w:val="es-ES" w:eastAsia="en-US"/>
        </w:rPr>
      </w:pPr>
    </w:p>
    <w:tbl>
      <w:tblPr>
        <w:tblW w:w="9284" w:type="dxa"/>
        <w:tblLayout w:type="fixed"/>
        <w:tblCellMar>
          <w:left w:w="70" w:type="dxa"/>
          <w:right w:w="70" w:type="dxa"/>
        </w:tblCellMar>
        <w:tblLook w:val="0000" w:firstRow="0" w:lastRow="0" w:firstColumn="0" w:lastColumn="0" w:noHBand="0" w:noVBand="0"/>
      </w:tblPr>
      <w:tblGrid>
        <w:gridCol w:w="4890"/>
        <w:gridCol w:w="4394"/>
      </w:tblGrid>
      <w:tr w:rsidR="009E7AF6" w:rsidRPr="009E7AF6" w14:paraId="17EE3D84" w14:textId="77777777" w:rsidTr="009505B5">
        <w:tc>
          <w:tcPr>
            <w:tcW w:w="4890" w:type="dxa"/>
          </w:tcPr>
          <w:p w14:paraId="13D2D74C" w14:textId="77777777" w:rsidR="009E7AF6" w:rsidRPr="009E7AF6" w:rsidRDefault="009E7AF6" w:rsidP="009E7AF6">
            <w:pPr>
              <w:spacing w:line="360" w:lineRule="auto"/>
              <w:jc w:val="center"/>
              <w:rPr>
                <w:rFonts w:ascii="Century Gothic" w:eastAsia="Times New Roman" w:hAnsi="Century Gothic"/>
                <w:b/>
                <w:sz w:val="24"/>
                <w:szCs w:val="24"/>
                <w:lang w:val="es-MX"/>
              </w:rPr>
            </w:pPr>
            <w:r w:rsidRPr="009E7AF6">
              <w:rPr>
                <w:rFonts w:ascii="Century Gothic" w:eastAsia="Times New Roman" w:hAnsi="Century Gothic"/>
                <w:b/>
                <w:sz w:val="24"/>
                <w:szCs w:val="24"/>
                <w:lang w:val="es-MX"/>
              </w:rPr>
              <w:t>DIP. ÓSCAR DANIEL AVITIA ARELLANES</w:t>
            </w:r>
          </w:p>
          <w:p w14:paraId="1A9A2EF1" w14:textId="77777777" w:rsidR="009E7AF6" w:rsidRPr="009E7AF6" w:rsidRDefault="009E7AF6" w:rsidP="009E7AF6">
            <w:pPr>
              <w:spacing w:line="360" w:lineRule="auto"/>
              <w:jc w:val="center"/>
              <w:rPr>
                <w:rFonts w:ascii="Century Gothic" w:eastAsia="Times New Roman" w:hAnsi="Century Gothic"/>
                <w:b/>
                <w:spacing w:val="10"/>
                <w:sz w:val="24"/>
                <w:szCs w:val="24"/>
                <w:lang w:val="es-MX"/>
              </w:rPr>
            </w:pPr>
            <w:r w:rsidRPr="009E7AF6">
              <w:rPr>
                <w:rFonts w:ascii="Century Gothic" w:eastAsia="Times New Roman" w:hAnsi="Century Gothic"/>
                <w:b/>
                <w:sz w:val="24"/>
                <w:szCs w:val="24"/>
                <w:lang w:val="es-MX"/>
              </w:rPr>
              <w:t>VOCAL</w:t>
            </w:r>
          </w:p>
        </w:tc>
        <w:tc>
          <w:tcPr>
            <w:tcW w:w="4394" w:type="dxa"/>
          </w:tcPr>
          <w:p w14:paraId="28078D19" w14:textId="77777777" w:rsidR="009E7AF6" w:rsidRPr="009E7AF6" w:rsidRDefault="009E7AF6" w:rsidP="009E7AF6">
            <w:pPr>
              <w:spacing w:line="360" w:lineRule="auto"/>
              <w:jc w:val="center"/>
              <w:rPr>
                <w:rFonts w:ascii="Century Gothic" w:eastAsia="Times New Roman" w:hAnsi="Century Gothic"/>
                <w:b/>
                <w:sz w:val="24"/>
                <w:szCs w:val="24"/>
                <w:lang w:val="es-MX"/>
              </w:rPr>
            </w:pPr>
            <w:r w:rsidRPr="009E7AF6">
              <w:rPr>
                <w:rFonts w:ascii="Century Gothic" w:eastAsia="Times New Roman" w:hAnsi="Century Gothic"/>
                <w:b/>
                <w:sz w:val="24"/>
                <w:szCs w:val="24"/>
                <w:lang w:val="es-MX"/>
              </w:rPr>
              <w:t>DIP. ELIZABETH GUZMÁN ARGUETA</w:t>
            </w:r>
          </w:p>
          <w:p w14:paraId="44BCBEBD" w14:textId="77777777" w:rsidR="009E7AF6" w:rsidRPr="009E7AF6" w:rsidRDefault="009E7AF6" w:rsidP="009E7AF6">
            <w:pPr>
              <w:spacing w:line="360" w:lineRule="auto"/>
              <w:jc w:val="center"/>
              <w:rPr>
                <w:rFonts w:ascii="Century Gothic" w:eastAsia="Times New Roman" w:hAnsi="Century Gothic"/>
                <w:b/>
                <w:spacing w:val="10"/>
                <w:sz w:val="24"/>
                <w:szCs w:val="24"/>
                <w:lang w:val="es-MX"/>
              </w:rPr>
            </w:pPr>
            <w:r w:rsidRPr="009E7AF6">
              <w:rPr>
                <w:rFonts w:ascii="Century Gothic" w:eastAsia="Times New Roman" w:hAnsi="Century Gothic"/>
                <w:b/>
                <w:sz w:val="24"/>
                <w:szCs w:val="24"/>
                <w:lang w:val="es-MX"/>
              </w:rPr>
              <w:t>VOCAL</w:t>
            </w:r>
          </w:p>
        </w:tc>
      </w:tr>
    </w:tbl>
    <w:p w14:paraId="075190CC" w14:textId="29BAB72A" w:rsidR="00F81D7D" w:rsidRDefault="00F81D7D" w:rsidP="00711AC8">
      <w:pPr>
        <w:spacing w:line="240" w:lineRule="auto"/>
        <w:jc w:val="center"/>
        <w:rPr>
          <w:rFonts w:ascii="Montserrat" w:eastAsia="Montserrat" w:hAnsi="Montserrat" w:cs="Montserrat"/>
          <w:b/>
          <w:sz w:val="24"/>
          <w:szCs w:val="24"/>
        </w:rPr>
      </w:pPr>
      <w:r>
        <w:rPr>
          <w:rFonts w:ascii="Montserrat" w:eastAsia="Montserrat" w:hAnsi="Montserrat" w:cs="Montserrat"/>
          <w:b/>
          <w:sz w:val="24"/>
          <w:szCs w:val="24"/>
        </w:rPr>
        <w:t xml:space="preserve"> </w:t>
      </w:r>
    </w:p>
    <w:p w14:paraId="43F74E05" w14:textId="77777777" w:rsidR="002F24D9" w:rsidRDefault="002F24D9" w:rsidP="00711AC8">
      <w:pPr>
        <w:spacing w:before="100" w:beforeAutospacing="1" w:after="100" w:afterAutospacing="1" w:line="240" w:lineRule="auto"/>
        <w:jc w:val="both"/>
      </w:pPr>
    </w:p>
    <w:sectPr w:rsidR="002F24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017B0"/>
    <w:multiLevelType w:val="hybridMultilevel"/>
    <w:tmpl w:val="BFDAB0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AE1600"/>
    <w:multiLevelType w:val="hybridMultilevel"/>
    <w:tmpl w:val="5CBAA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84149"/>
    <w:multiLevelType w:val="hybridMultilevel"/>
    <w:tmpl w:val="4A10BAE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004860"/>
    <w:rsid w:val="000653EF"/>
    <w:rsid w:val="00111068"/>
    <w:rsid w:val="001459E7"/>
    <w:rsid w:val="00145F96"/>
    <w:rsid w:val="002724AF"/>
    <w:rsid w:val="002A2CB4"/>
    <w:rsid w:val="002F24D9"/>
    <w:rsid w:val="00382245"/>
    <w:rsid w:val="003E6531"/>
    <w:rsid w:val="00533476"/>
    <w:rsid w:val="005346AF"/>
    <w:rsid w:val="0066430A"/>
    <w:rsid w:val="00682136"/>
    <w:rsid w:val="006B6B14"/>
    <w:rsid w:val="00711AC8"/>
    <w:rsid w:val="008E1199"/>
    <w:rsid w:val="009E7AF6"/>
    <w:rsid w:val="00A87234"/>
    <w:rsid w:val="00AC66D9"/>
    <w:rsid w:val="00B04B36"/>
    <w:rsid w:val="00C467CF"/>
    <w:rsid w:val="00C740C8"/>
    <w:rsid w:val="00D17D2D"/>
    <w:rsid w:val="00D335DA"/>
    <w:rsid w:val="00D5373B"/>
    <w:rsid w:val="00D92E36"/>
    <w:rsid w:val="00E34321"/>
    <w:rsid w:val="00EE2DFD"/>
    <w:rsid w:val="00F81D7D"/>
    <w:rsid w:val="00FE1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3554"/>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B"/>
    <w:pPr>
      <w:spacing w:line="276" w:lineRule="auto"/>
    </w:pPr>
    <w:rPr>
      <w:rFonts w:ascii="Arial" w:eastAsia="Arial" w:hAnsi="Arial" w:cs="Arial"/>
      <w:sz w:val="22"/>
      <w:szCs w:val="2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777993">
      <w:bodyDiv w:val="1"/>
      <w:marLeft w:val="0"/>
      <w:marRight w:val="0"/>
      <w:marTop w:val="0"/>
      <w:marBottom w:val="0"/>
      <w:divBdr>
        <w:top w:val="none" w:sz="0" w:space="0" w:color="auto"/>
        <w:left w:val="none" w:sz="0" w:space="0" w:color="auto"/>
        <w:bottom w:val="none" w:sz="0" w:space="0" w:color="auto"/>
        <w:right w:val="none" w:sz="0" w:space="0" w:color="auto"/>
      </w:divBdr>
    </w:div>
    <w:div w:id="16321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cp:lastPrinted>2024-11-05T20:40:00Z</cp:lastPrinted>
  <dcterms:created xsi:type="dcterms:W3CDTF">2026-01-22T21:43:00Z</dcterms:created>
  <dcterms:modified xsi:type="dcterms:W3CDTF">2026-01-22T21:43:00Z</dcterms:modified>
</cp:coreProperties>
</file>