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D1428" w14:textId="77777777" w:rsidR="009B30EF" w:rsidRDefault="009B30EF">
      <w:pPr>
        <w:spacing w:before="240" w:after="240" w:line="360" w:lineRule="auto"/>
        <w:ind w:left="-566"/>
        <w:jc w:val="both"/>
        <w:rPr>
          <w:b/>
          <w:bCs/>
          <w:sz w:val="24"/>
          <w:szCs w:val="24"/>
        </w:rPr>
      </w:pPr>
    </w:p>
    <w:p w14:paraId="034AF723" w14:textId="77777777" w:rsidR="009B30EF" w:rsidRDefault="00A8077D">
      <w:pPr>
        <w:spacing w:before="240" w:after="240" w:line="360" w:lineRule="auto"/>
        <w:ind w:left="-566"/>
        <w:jc w:val="both"/>
        <w:rPr>
          <w:b/>
          <w:bCs/>
          <w:sz w:val="24"/>
          <w:szCs w:val="24"/>
        </w:rPr>
      </w:pPr>
      <w:r>
        <w:rPr>
          <w:b/>
          <w:bCs/>
          <w:sz w:val="24"/>
          <w:szCs w:val="24"/>
        </w:rPr>
        <w:t>H. CONGRESO DEL ESTADO.</w:t>
      </w:r>
    </w:p>
    <w:p w14:paraId="6DF79A75" w14:textId="77777777" w:rsidR="009B30EF" w:rsidRDefault="00A8077D">
      <w:pPr>
        <w:spacing w:before="240" w:after="240" w:line="360" w:lineRule="auto"/>
        <w:ind w:left="-566"/>
        <w:jc w:val="both"/>
        <w:rPr>
          <w:sz w:val="24"/>
          <w:szCs w:val="24"/>
        </w:rPr>
      </w:pPr>
      <w:r>
        <w:rPr>
          <w:b/>
          <w:bCs/>
          <w:sz w:val="24"/>
          <w:szCs w:val="24"/>
        </w:rPr>
        <w:t>P R E S E N T E.</w:t>
      </w:r>
      <w:r>
        <w:rPr>
          <w:sz w:val="24"/>
          <w:szCs w:val="24"/>
        </w:rPr>
        <w:t xml:space="preserve">  </w:t>
      </w:r>
    </w:p>
    <w:p w14:paraId="66FE8D53" w14:textId="77777777" w:rsidR="00A8077D" w:rsidRDefault="00A8077D">
      <w:pPr>
        <w:spacing w:line="360" w:lineRule="auto"/>
        <w:ind w:left="-566"/>
        <w:jc w:val="both"/>
        <w:rPr>
          <w:color w:val="1D1D1F"/>
          <w:sz w:val="24"/>
          <w:szCs w:val="24"/>
          <w:highlight w:val="white"/>
        </w:rPr>
      </w:pPr>
      <w:r>
        <w:rPr>
          <w:color w:val="1D1D1F"/>
          <w:sz w:val="24"/>
          <w:szCs w:val="24"/>
          <w:highlight w:val="white"/>
        </w:rPr>
        <w:t xml:space="preserve">Quienes suscriben, en nuestro carácter de diputadas y diputados de la Sexagésima Octava Legislatura e integrantes del Grupo Parlamentario de MORENA, con fundamento en lo dispuesto por la fracción I del artículo 68 de la Constitución Política del Estado y demás normas aplicables, sometemos a la consideración de esta Soberanía la presente iniciativa con carácter de decreto, a fin de reformar, adicionar y derogar diversas disposiciones de la </w:t>
      </w:r>
    </w:p>
    <w:p w14:paraId="4EED62CE" w14:textId="2A408FA2" w:rsidR="009B30EF" w:rsidRPr="00A8077D" w:rsidRDefault="00A8077D" w:rsidP="00A8077D">
      <w:pPr>
        <w:spacing w:line="360" w:lineRule="auto"/>
        <w:ind w:left="-566"/>
        <w:jc w:val="both"/>
        <w:rPr>
          <w:i/>
          <w:iCs/>
          <w:color w:val="1D1D1F"/>
          <w:sz w:val="24"/>
          <w:szCs w:val="24"/>
          <w:highlight w:val="white"/>
        </w:rPr>
      </w:pPr>
      <w:r w:rsidRPr="00A8077D">
        <w:rPr>
          <w:i/>
          <w:iCs/>
          <w:color w:val="1D1D1F"/>
          <w:sz w:val="24"/>
          <w:szCs w:val="24"/>
          <w:highlight w:val="white"/>
        </w:rPr>
        <w:t>LEY DE DERECHOS DE LAS PERSONAS MAYORES EN EL ESTADO DE CHIHUAHUA</w:t>
      </w:r>
      <w:r>
        <w:rPr>
          <w:color w:val="1D1D1F"/>
          <w:sz w:val="24"/>
          <w:szCs w:val="24"/>
          <w:highlight w:val="white"/>
        </w:rPr>
        <w:t>. Lo anterior se sustenta en la siguiente</w:t>
      </w:r>
    </w:p>
    <w:p w14:paraId="03F463C3" w14:textId="77777777" w:rsidR="009B30EF" w:rsidRDefault="009B30EF">
      <w:pPr>
        <w:spacing w:line="360" w:lineRule="auto"/>
        <w:ind w:left="-566"/>
        <w:jc w:val="both"/>
        <w:rPr>
          <w:sz w:val="24"/>
          <w:szCs w:val="24"/>
        </w:rPr>
      </w:pPr>
    </w:p>
    <w:p w14:paraId="51A3EB08" w14:textId="77777777" w:rsidR="009B30EF" w:rsidRDefault="009B30EF">
      <w:pPr>
        <w:spacing w:line="360" w:lineRule="auto"/>
        <w:ind w:left="-566"/>
        <w:jc w:val="both"/>
        <w:rPr>
          <w:sz w:val="24"/>
          <w:szCs w:val="24"/>
        </w:rPr>
      </w:pPr>
    </w:p>
    <w:p w14:paraId="187C7EC8" w14:textId="77777777" w:rsidR="009B30EF" w:rsidRDefault="009B30EF">
      <w:pPr>
        <w:spacing w:line="360" w:lineRule="auto"/>
        <w:ind w:left="-566"/>
        <w:jc w:val="both"/>
        <w:rPr>
          <w:sz w:val="24"/>
          <w:szCs w:val="24"/>
        </w:rPr>
      </w:pPr>
    </w:p>
    <w:p w14:paraId="7B186F35" w14:textId="77777777" w:rsidR="009B30EF" w:rsidRDefault="00A8077D">
      <w:pPr>
        <w:spacing w:line="360" w:lineRule="auto"/>
        <w:ind w:left="-566"/>
        <w:jc w:val="center"/>
        <w:rPr>
          <w:b/>
          <w:bCs/>
          <w:sz w:val="24"/>
          <w:szCs w:val="24"/>
        </w:rPr>
      </w:pPr>
      <w:r>
        <w:rPr>
          <w:b/>
          <w:bCs/>
          <w:sz w:val="24"/>
          <w:szCs w:val="24"/>
        </w:rPr>
        <w:t>EXPOSICIÓN DE MOTIVOS:</w:t>
      </w:r>
    </w:p>
    <w:p w14:paraId="736F3910" w14:textId="77777777" w:rsidR="009B30EF" w:rsidRDefault="00A8077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both"/>
        <w:rPr>
          <w:color w:val="1D1D1F"/>
          <w:sz w:val="24"/>
          <w:szCs w:val="24"/>
        </w:rPr>
      </w:pPr>
      <w:r>
        <w:rPr>
          <w:color w:val="1D1D1F"/>
          <w:sz w:val="24"/>
          <w:szCs w:val="24"/>
        </w:rPr>
        <w:t>Uno de los grandes pendientes de la seguridad social en México es la ausencia de seguros de desempleo. Para nadie es desconocido el altísimo porcentaje de trabajo informal en el país.</w:t>
      </w:r>
    </w:p>
    <w:p w14:paraId="0CED21E9" w14:textId="77777777" w:rsidR="009B30EF" w:rsidRDefault="00A8077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both"/>
        <w:rPr>
          <w:color w:val="1D1D1F"/>
          <w:sz w:val="24"/>
          <w:szCs w:val="24"/>
        </w:rPr>
      </w:pPr>
      <w:r>
        <w:rPr>
          <w:color w:val="1D1D1F"/>
          <w:sz w:val="24"/>
          <w:szCs w:val="24"/>
        </w:rPr>
        <w:t xml:space="preserve">De acuerdo con la </w:t>
      </w:r>
      <w:r>
        <w:rPr>
          <w:i/>
          <w:iCs/>
          <w:color w:val="1D1D1F"/>
          <w:sz w:val="24"/>
          <w:szCs w:val="24"/>
        </w:rPr>
        <w:t>Encuesta Nacional de Ocupación y Empleo</w:t>
      </w:r>
      <w:r>
        <w:rPr>
          <w:color w:val="1D1D1F"/>
          <w:sz w:val="24"/>
          <w:szCs w:val="24"/>
        </w:rPr>
        <w:t xml:space="preserve"> (ENOE) del INEGI, al tercer trimestre de 2025 —según información de la Secretaría del Trabajo y Previsión Social (STPS)—, el 44.6 % de la población ocupada cuenta con un empleo formal, lo que equivale a 26.5 millones de personas. En Chihuahua, podemos asumir que, en términos generales, dicha proporción se mantiene.</w:t>
      </w:r>
    </w:p>
    <w:p w14:paraId="003AAE4E" w14:textId="77777777" w:rsidR="009B30EF" w:rsidRDefault="00A8077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both"/>
        <w:rPr>
          <w:color w:val="1D1D1F"/>
          <w:sz w:val="24"/>
          <w:szCs w:val="24"/>
        </w:rPr>
      </w:pPr>
      <w:r>
        <w:rPr>
          <w:color w:val="1D1D1F"/>
          <w:sz w:val="24"/>
          <w:szCs w:val="24"/>
        </w:rPr>
        <w:t>No se cuenta con información concreta sobre cuántos adultos mayores trabajan en la formalidad en Chihuahua; sin embargo, es evidente que la población objetivo de una política pública dirigida a adultos mayores que pierdan su empleo formal es relativamente pequeña, dado que es una realidad que este grupo tiende a estar inserto en la informalidad.</w:t>
      </w:r>
    </w:p>
    <w:p w14:paraId="663DA4D3" w14:textId="77777777" w:rsidR="009B30EF" w:rsidRDefault="00A8077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both"/>
        <w:rPr>
          <w:color w:val="1D1D1F"/>
          <w:sz w:val="24"/>
          <w:szCs w:val="24"/>
        </w:rPr>
      </w:pPr>
      <w:r>
        <w:rPr>
          <w:color w:val="1D1D1F"/>
          <w:sz w:val="24"/>
          <w:szCs w:val="24"/>
        </w:rPr>
        <w:t xml:space="preserve">Para ilustrar esta situación, basta contrastar los datos del Censo de Población y Vivienda 2020: en el estado de Chihuahua, las personas de 65 años o más sumaban </w:t>
      </w:r>
      <w:r>
        <w:rPr>
          <w:color w:val="1D1D1F"/>
          <w:sz w:val="24"/>
          <w:szCs w:val="24"/>
        </w:rPr>
        <w:lastRenderedPageBreak/>
        <w:t>278,960, lo que representa el 7.45 % de la población total del estado, que asciende a 3,741,869 habitantes. Y dentro de ese grupo, menos del 50 % tiene un empleo formal.</w:t>
      </w:r>
    </w:p>
    <w:p w14:paraId="65E91F39" w14:textId="77777777" w:rsidR="009B30EF" w:rsidRDefault="00A8077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both"/>
        <w:rPr>
          <w:color w:val="1D1D1F"/>
          <w:sz w:val="24"/>
          <w:szCs w:val="24"/>
        </w:rPr>
      </w:pPr>
      <w:r>
        <w:rPr>
          <w:color w:val="1D1D1F"/>
          <w:sz w:val="24"/>
          <w:szCs w:val="24"/>
        </w:rPr>
        <w:t>La formalidad laboral ofrece importantes beneficios al trabajador, entre ellos el acceso a prestaciones de ley. La presente iniciativa tiene precisamente como objetivo incentivar que los adultos mayores, al perder un empleo formal, puedan buscar otro empleo formal antes que verse obligados a ingresar al sector informal por la urgencia económica.</w:t>
      </w:r>
    </w:p>
    <w:p w14:paraId="3B5FBD80" w14:textId="77777777" w:rsidR="009B30EF" w:rsidRDefault="00A8077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both"/>
        <w:rPr>
          <w:color w:val="1D1D1F"/>
          <w:sz w:val="24"/>
          <w:szCs w:val="24"/>
        </w:rPr>
      </w:pPr>
      <w:r>
        <w:rPr>
          <w:color w:val="1D1D1F"/>
          <w:sz w:val="24"/>
          <w:szCs w:val="24"/>
        </w:rPr>
        <w:t>Existen mecanismos confiables para verificar que el potencial beneficiario del seguro de desempleo haya estado efectivamente en la formalidad, tales como recibos de nómina y registros de cotización ante el IMSS.</w:t>
      </w:r>
    </w:p>
    <w:p w14:paraId="62F5B1A3" w14:textId="2C298079" w:rsidR="009B30EF" w:rsidRDefault="00A8077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both"/>
        <w:rPr>
          <w:color w:val="1D1D1F"/>
          <w:sz w:val="24"/>
          <w:szCs w:val="24"/>
        </w:rPr>
      </w:pPr>
      <w:r>
        <w:rPr>
          <w:color w:val="1D1D1F"/>
          <w:sz w:val="24"/>
          <w:szCs w:val="24"/>
        </w:rPr>
        <w:t xml:space="preserve">En la legislación local, la </w:t>
      </w:r>
      <w:r w:rsidRPr="00A8077D">
        <w:rPr>
          <w:i/>
          <w:iCs/>
          <w:color w:val="1D1D1F"/>
          <w:sz w:val="24"/>
          <w:szCs w:val="24"/>
          <w:highlight w:val="white"/>
        </w:rPr>
        <w:t xml:space="preserve">Ley De Derechos </w:t>
      </w:r>
      <w:r>
        <w:rPr>
          <w:i/>
          <w:iCs/>
          <w:color w:val="1D1D1F"/>
          <w:sz w:val="24"/>
          <w:szCs w:val="24"/>
          <w:highlight w:val="white"/>
        </w:rPr>
        <w:t>d</w:t>
      </w:r>
      <w:r w:rsidRPr="00A8077D">
        <w:rPr>
          <w:i/>
          <w:iCs/>
          <w:color w:val="1D1D1F"/>
          <w:sz w:val="24"/>
          <w:szCs w:val="24"/>
          <w:highlight w:val="white"/>
        </w:rPr>
        <w:t xml:space="preserve">e </w:t>
      </w:r>
      <w:r>
        <w:rPr>
          <w:i/>
          <w:iCs/>
          <w:color w:val="1D1D1F"/>
          <w:sz w:val="24"/>
          <w:szCs w:val="24"/>
          <w:highlight w:val="white"/>
        </w:rPr>
        <w:t>l</w:t>
      </w:r>
      <w:r w:rsidRPr="00A8077D">
        <w:rPr>
          <w:i/>
          <w:iCs/>
          <w:color w:val="1D1D1F"/>
          <w:sz w:val="24"/>
          <w:szCs w:val="24"/>
          <w:highlight w:val="white"/>
        </w:rPr>
        <w:t xml:space="preserve">as Personas Mayores </w:t>
      </w:r>
      <w:r>
        <w:rPr>
          <w:i/>
          <w:iCs/>
          <w:color w:val="1D1D1F"/>
          <w:sz w:val="24"/>
          <w:szCs w:val="24"/>
          <w:highlight w:val="white"/>
        </w:rPr>
        <w:t>e</w:t>
      </w:r>
      <w:r w:rsidRPr="00A8077D">
        <w:rPr>
          <w:i/>
          <w:iCs/>
          <w:color w:val="1D1D1F"/>
          <w:sz w:val="24"/>
          <w:szCs w:val="24"/>
          <w:highlight w:val="white"/>
        </w:rPr>
        <w:t xml:space="preserve">n </w:t>
      </w:r>
      <w:r>
        <w:rPr>
          <w:i/>
          <w:iCs/>
          <w:color w:val="1D1D1F"/>
          <w:sz w:val="24"/>
          <w:szCs w:val="24"/>
          <w:highlight w:val="white"/>
        </w:rPr>
        <w:t>e</w:t>
      </w:r>
      <w:r w:rsidRPr="00A8077D">
        <w:rPr>
          <w:i/>
          <w:iCs/>
          <w:color w:val="1D1D1F"/>
          <w:sz w:val="24"/>
          <w:szCs w:val="24"/>
          <w:highlight w:val="white"/>
        </w:rPr>
        <w:t xml:space="preserve">l Estado </w:t>
      </w:r>
      <w:r>
        <w:rPr>
          <w:i/>
          <w:iCs/>
          <w:color w:val="1D1D1F"/>
          <w:sz w:val="24"/>
          <w:szCs w:val="24"/>
          <w:highlight w:val="white"/>
        </w:rPr>
        <w:t>d</w:t>
      </w:r>
      <w:r w:rsidRPr="00A8077D">
        <w:rPr>
          <w:i/>
          <w:iCs/>
          <w:color w:val="1D1D1F"/>
          <w:sz w:val="24"/>
          <w:szCs w:val="24"/>
          <w:highlight w:val="white"/>
        </w:rPr>
        <w:t>e Chihuahua</w:t>
      </w:r>
      <w:r>
        <w:rPr>
          <w:color w:val="1D1D1F"/>
          <w:sz w:val="24"/>
          <w:szCs w:val="24"/>
        </w:rPr>
        <w:t xml:space="preserve"> reconoce, en su artículo 52, fracción X, que el desempleo y la falta de recursos constituyen causas de vulnerabilidad para este grupo poblacional. Precisamente, el derecho a un seguro de desempleo es materia de dicha ley.</w:t>
      </w:r>
    </w:p>
    <w:p w14:paraId="06ACA7C4" w14:textId="77777777" w:rsidR="009B30EF" w:rsidRDefault="00A8077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both"/>
        <w:rPr>
          <w:color w:val="1D1D1F"/>
          <w:sz w:val="24"/>
          <w:szCs w:val="24"/>
        </w:rPr>
      </w:pPr>
      <w:r>
        <w:rPr>
          <w:color w:val="1D1D1F"/>
          <w:sz w:val="24"/>
          <w:szCs w:val="24"/>
        </w:rPr>
        <w:t>Asimismo, el artículo 19 de la misma ley establece las competencias de las autoridades estatales y municipales, y prefigura acciones de política pública, como campañas de concientización.</w:t>
      </w:r>
    </w:p>
    <w:p w14:paraId="28ACACBF" w14:textId="77777777" w:rsidR="009B30EF" w:rsidRDefault="00A8077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both"/>
        <w:rPr>
          <w:color w:val="1D1D1F"/>
          <w:sz w:val="24"/>
          <w:szCs w:val="24"/>
        </w:rPr>
      </w:pPr>
      <w:r>
        <w:rPr>
          <w:color w:val="1D1D1F"/>
          <w:sz w:val="24"/>
          <w:szCs w:val="24"/>
        </w:rPr>
        <w:t>Consideramos que en dicho artículo 19 debe incluirse expresamente la competencia de la autoridad estatal para implementar un seguro de desempleo dirigido a personas adultas mayores, equivalente a tres meses de salario mínimo. Esta medida permitiría, como ya se ha señalado, que las personas beneficiarias cuenten con un margen de tiempo razonable para reintegrarse al mercado laboral formal.</w:t>
      </w:r>
    </w:p>
    <w:p w14:paraId="036BEB1D" w14:textId="77777777" w:rsidR="009B30EF" w:rsidRDefault="00A8077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both"/>
        <w:rPr>
          <w:color w:val="1D1D1F"/>
          <w:sz w:val="24"/>
          <w:szCs w:val="24"/>
        </w:rPr>
      </w:pPr>
      <w:r>
        <w:rPr>
          <w:color w:val="1D1D1F"/>
          <w:sz w:val="24"/>
          <w:szCs w:val="24"/>
        </w:rPr>
        <w:t>Además, deben impulsarse acciones coordinadas con el sector privado para promover fuentes de empleo adecuadas a las capacidades de las personas de la tercera edad, con el fin de regular el mercado laboral en este segmento y corregir una falla estructural que se manifiesta en la discriminación y exclusión sistemática de este grupo.</w:t>
      </w:r>
    </w:p>
    <w:p w14:paraId="5E277533" w14:textId="77777777" w:rsidR="009B30EF" w:rsidRDefault="00A8077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both"/>
        <w:rPr>
          <w:color w:val="1D1D1F"/>
          <w:sz w:val="24"/>
          <w:szCs w:val="24"/>
        </w:rPr>
      </w:pPr>
      <w:r>
        <w:rPr>
          <w:color w:val="1D1D1F"/>
          <w:sz w:val="24"/>
          <w:szCs w:val="24"/>
        </w:rPr>
        <w:t>Por todo lo anterior, proponemos el siguiente proyecto con carácter de:</w:t>
      </w:r>
    </w:p>
    <w:p w14:paraId="2AC8122D" w14:textId="77777777" w:rsidR="009B30EF" w:rsidRDefault="009B30EF">
      <w:pPr>
        <w:spacing w:line="360" w:lineRule="auto"/>
        <w:ind w:left="-566"/>
        <w:jc w:val="both"/>
        <w:rPr>
          <w:b/>
          <w:bCs/>
          <w:sz w:val="24"/>
          <w:szCs w:val="24"/>
        </w:rPr>
      </w:pPr>
    </w:p>
    <w:p w14:paraId="586E0A5C" w14:textId="77777777" w:rsidR="009B30EF" w:rsidRDefault="00A8077D">
      <w:pPr>
        <w:spacing w:line="360" w:lineRule="auto"/>
        <w:ind w:left="-566"/>
        <w:jc w:val="center"/>
        <w:rPr>
          <w:b/>
          <w:bCs/>
          <w:sz w:val="24"/>
          <w:szCs w:val="24"/>
        </w:rPr>
      </w:pPr>
      <w:r>
        <w:rPr>
          <w:b/>
          <w:bCs/>
          <w:sz w:val="24"/>
          <w:szCs w:val="24"/>
        </w:rPr>
        <w:lastRenderedPageBreak/>
        <w:t>DECRETO.</w:t>
      </w:r>
    </w:p>
    <w:p w14:paraId="1090463D" w14:textId="77777777" w:rsidR="009B30EF" w:rsidRDefault="009B30EF">
      <w:pPr>
        <w:spacing w:line="360" w:lineRule="auto"/>
        <w:jc w:val="both"/>
        <w:rPr>
          <w:sz w:val="24"/>
          <w:szCs w:val="24"/>
        </w:rPr>
      </w:pPr>
    </w:p>
    <w:p w14:paraId="09E34B56" w14:textId="37A7DEE8" w:rsidR="009B30EF" w:rsidRDefault="00A8077D">
      <w:pPr>
        <w:spacing w:line="360" w:lineRule="auto"/>
        <w:ind w:left="-566"/>
        <w:jc w:val="both"/>
        <w:rPr>
          <w:b/>
          <w:bCs/>
          <w:sz w:val="24"/>
          <w:szCs w:val="24"/>
        </w:rPr>
      </w:pPr>
      <w:r>
        <w:rPr>
          <w:b/>
          <w:bCs/>
          <w:sz w:val="24"/>
          <w:szCs w:val="24"/>
        </w:rPr>
        <w:t>ARTÍCULO PRIMERO.</w:t>
      </w:r>
      <w:r>
        <w:rPr>
          <w:sz w:val="24"/>
          <w:szCs w:val="24"/>
        </w:rPr>
        <w:t xml:space="preserve">  </w:t>
      </w:r>
      <w:r>
        <w:rPr>
          <w:color w:val="1D1D1F"/>
          <w:sz w:val="24"/>
          <w:szCs w:val="24"/>
          <w:highlight w:val="white"/>
        </w:rPr>
        <w:t xml:space="preserve">Se reforma el artículo 19 de la </w:t>
      </w:r>
      <w:r>
        <w:t>Ley de Derechos de las Personas Mayores</w:t>
      </w:r>
      <w:r>
        <w:rPr>
          <w:i/>
          <w:iCs/>
          <w:color w:val="1D1D1F"/>
          <w:sz w:val="24"/>
          <w:szCs w:val="24"/>
          <w:highlight w:val="white"/>
        </w:rPr>
        <w:t xml:space="preserve"> </w:t>
      </w:r>
      <w:r>
        <w:t>en el Estado de Chihuahua</w:t>
      </w:r>
      <w:r>
        <w:rPr>
          <w:color w:val="1D1D1F"/>
          <w:sz w:val="24"/>
          <w:szCs w:val="24"/>
          <w:highlight w:val="white"/>
        </w:rPr>
        <w:t>, el cual quedará redactado como sigue:</w:t>
      </w:r>
    </w:p>
    <w:p w14:paraId="6FCDC60E" w14:textId="77777777" w:rsidR="009B30EF" w:rsidRDefault="009B30EF">
      <w:pPr>
        <w:spacing w:line="360" w:lineRule="auto"/>
        <w:ind w:left="-566"/>
        <w:jc w:val="both"/>
        <w:rPr>
          <w:b/>
          <w:bCs/>
          <w:sz w:val="24"/>
          <w:szCs w:val="24"/>
        </w:rPr>
      </w:pPr>
    </w:p>
    <w:p w14:paraId="4434008B" w14:textId="77777777" w:rsidR="009B30EF" w:rsidRDefault="00A8077D">
      <w:pPr>
        <w:spacing w:line="360" w:lineRule="auto"/>
        <w:ind w:left="-566"/>
        <w:jc w:val="both"/>
        <w:rPr>
          <w:sz w:val="24"/>
          <w:szCs w:val="24"/>
        </w:rPr>
      </w:pPr>
      <w:r>
        <w:rPr>
          <w:b/>
          <w:bCs/>
          <w:sz w:val="24"/>
          <w:szCs w:val="24"/>
        </w:rPr>
        <w:t xml:space="preserve">Artículo 19. </w:t>
      </w:r>
      <w:r>
        <w:rPr>
          <w:sz w:val="24"/>
          <w:szCs w:val="24"/>
        </w:rPr>
        <w:t>Las autoridades estatales y municipales, en el ámbito de su competencia, deberán:</w:t>
      </w:r>
    </w:p>
    <w:p w14:paraId="1A05BF46" w14:textId="77777777" w:rsidR="009B30EF" w:rsidRDefault="00A8077D">
      <w:pPr>
        <w:spacing w:line="360" w:lineRule="auto"/>
        <w:ind w:left="-566"/>
        <w:jc w:val="both"/>
        <w:rPr>
          <w:b/>
          <w:bCs/>
          <w:sz w:val="24"/>
          <w:szCs w:val="24"/>
        </w:rPr>
      </w:pPr>
      <w:r>
        <w:rPr>
          <w:b/>
          <w:bCs/>
          <w:sz w:val="24"/>
          <w:szCs w:val="24"/>
        </w:rPr>
        <w:t>I al IX…</w:t>
      </w:r>
    </w:p>
    <w:p w14:paraId="69878DAF" w14:textId="77777777" w:rsidR="009B30EF" w:rsidRDefault="009B30EF">
      <w:pPr>
        <w:spacing w:line="360" w:lineRule="auto"/>
        <w:ind w:left="-566"/>
        <w:jc w:val="both"/>
        <w:rPr>
          <w:b/>
          <w:bCs/>
          <w:sz w:val="24"/>
          <w:szCs w:val="24"/>
        </w:rPr>
      </w:pPr>
    </w:p>
    <w:p w14:paraId="105367B1" w14:textId="77777777" w:rsidR="009B30EF" w:rsidRDefault="00A8077D">
      <w:pPr>
        <w:spacing w:line="360" w:lineRule="auto"/>
        <w:ind w:left="-566"/>
        <w:jc w:val="both"/>
        <w:rPr>
          <w:b/>
          <w:bCs/>
          <w:sz w:val="24"/>
          <w:szCs w:val="24"/>
        </w:rPr>
      </w:pPr>
      <w:r>
        <w:rPr>
          <w:b/>
          <w:bCs/>
          <w:sz w:val="24"/>
          <w:szCs w:val="24"/>
        </w:rPr>
        <w:t>X. Implementar, de manera coordinada entre los gobiernos estatal y municipal, un seguro de desempleo para personas adultas mayores que hayan perdido un empleo formal. El monto de dicho seguro será equivalente a tres meses de salario mínimo vigente</w:t>
      </w:r>
      <w:r>
        <w:rPr>
          <w:b/>
          <w:bCs/>
          <w:color w:val="8C8D9B"/>
          <w:sz w:val="24"/>
          <w:szCs w:val="24"/>
          <w:highlight w:val="white"/>
        </w:rPr>
        <w:t xml:space="preserve"> </w:t>
      </w:r>
      <w:r>
        <w:rPr>
          <w:b/>
          <w:bCs/>
          <w:sz w:val="24"/>
          <w:szCs w:val="24"/>
        </w:rPr>
        <w:t>en el respectivo año fiscal.</w:t>
      </w:r>
    </w:p>
    <w:p w14:paraId="6ABDA11A" w14:textId="77777777" w:rsidR="009B30EF" w:rsidRDefault="009B30EF">
      <w:pPr>
        <w:spacing w:line="360" w:lineRule="auto"/>
        <w:ind w:left="-566"/>
        <w:jc w:val="both"/>
        <w:rPr>
          <w:b/>
          <w:bCs/>
          <w:sz w:val="24"/>
          <w:szCs w:val="24"/>
        </w:rPr>
      </w:pPr>
    </w:p>
    <w:p w14:paraId="07DA5E4E" w14:textId="77777777" w:rsidR="009B30EF" w:rsidRDefault="00A8077D">
      <w:pPr>
        <w:spacing w:line="360" w:lineRule="auto"/>
        <w:ind w:left="-566"/>
        <w:jc w:val="both"/>
        <w:rPr>
          <w:b/>
          <w:bCs/>
          <w:sz w:val="24"/>
          <w:szCs w:val="24"/>
        </w:rPr>
      </w:pPr>
      <w:r>
        <w:rPr>
          <w:b/>
          <w:bCs/>
          <w:sz w:val="24"/>
          <w:szCs w:val="24"/>
        </w:rPr>
        <w:t>XI. Realizar acciones, en coordinación con el sector privado, para promover fuentes de empleo adecuadas a las capacidades de las personas adultas mayores</w:t>
      </w:r>
      <w:r>
        <w:rPr>
          <w:b/>
          <w:bCs/>
          <w:color w:val="8C8D9B"/>
          <w:sz w:val="24"/>
          <w:szCs w:val="24"/>
          <w:highlight w:val="white"/>
        </w:rPr>
        <w:t>.</w:t>
      </w:r>
    </w:p>
    <w:p w14:paraId="5F60937A" w14:textId="77777777" w:rsidR="009B30EF" w:rsidRDefault="009B30EF">
      <w:pPr>
        <w:spacing w:line="360" w:lineRule="auto"/>
        <w:ind w:left="-566"/>
        <w:jc w:val="both"/>
        <w:rPr>
          <w:sz w:val="24"/>
          <w:szCs w:val="24"/>
        </w:rPr>
      </w:pPr>
    </w:p>
    <w:p w14:paraId="1706918E" w14:textId="77777777" w:rsidR="009B30EF" w:rsidRDefault="009B30EF">
      <w:pPr>
        <w:spacing w:line="360" w:lineRule="auto"/>
        <w:ind w:left="-566"/>
        <w:jc w:val="both"/>
        <w:rPr>
          <w:sz w:val="24"/>
          <w:szCs w:val="24"/>
        </w:rPr>
      </w:pPr>
    </w:p>
    <w:p w14:paraId="720AAD14" w14:textId="77777777" w:rsidR="009B30EF" w:rsidRDefault="00A8077D">
      <w:pPr>
        <w:spacing w:after="160" w:line="256" w:lineRule="auto"/>
        <w:ind w:left="-566"/>
        <w:jc w:val="center"/>
        <w:rPr>
          <w:b/>
          <w:bCs/>
          <w:sz w:val="24"/>
          <w:szCs w:val="24"/>
        </w:rPr>
      </w:pPr>
      <w:r>
        <w:rPr>
          <w:b/>
          <w:bCs/>
          <w:sz w:val="24"/>
          <w:szCs w:val="24"/>
        </w:rPr>
        <w:t xml:space="preserve">TRANSITORIOS: </w:t>
      </w:r>
    </w:p>
    <w:p w14:paraId="1E9ED6D2" w14:textId="77777777" w:rsidR="009B30EF" w:rsidRDefault="009B30EF">
      <w:pPr>
        <w:spacing w:after="160" w:line="256" w:lineRule="auto"/>
        <w:ind w:left="-566"/>
        <w:jc w:val="both"/>
        <w:rPr>
          <w:b/>
          <w:bCs/>
          <w:sz w:val="24"/>
          <w:szCs w:val="24"/>
        </w:rPr>
      </w:pPr>
    </w:p>
    <w:p w14:paraId="4EA4082F" w14:textId="77777777" w:rsidR="009B30EF" w:rsidRDefault="009B30EF">
      <w:pPr>
        <w:spacing w:after="160" w:line="256" w:lineRule="auto"/>
        <w:ind w:left="-566"/>
        <w:jc w:val="both"/>
        <w:rPr>
          <w:b/>
          <w:bCs/>
          <w:sz w:val="24"/>
          <w:szCs w:val="24"/>
        </w:rPr>
      </w:pPr>
    </w:p>
    <w:p w14:paraId="05DAE15F" w14:textId="77777777" w:rsidR="009B30EF" w:rsidRDefault="00A8077D">
      <w:pPr>
        <w:spacing w:after="160" w:line="256" w:lineRule="auto"/>
        <w:ind w:left="-566"/>
        <w:jc w:val="both"/>
        <w:rPr>
          <w:b/>
          <w:bCs/>
          <w:sz w:val="24"/>
          <w:szCs w:val="24"/>
        </w:rPr>
      </w:pPr>
      <w:r>
        <w:rPr>
          <w:b/>
          <w:bCs/>
          <w:sz w:val="24"/>
          <w:szCs w:val="24"/>
        </w:rPr>
        <w:t xml:space="preserve">PRIMERO. – </w:t>
      </w:r>
      <w:r>
        <w:rPr>
          <w:sz w:val="24"/>
          <w:szCs w:val="24"/>
        </w:rPr>
        <w:t xml:space="preserve">El presente decreto entrará en vigor al día siguiente de su publicación en el Periódico Oficial del Estado de Chihuahua. </w:t>
      </w:r>
    </w:p>
    <w:p w14:paraId="3904BB60" w14:textId="77777777" w:rsidR="009B30EF" w:rsidRDefault="00A8077D">
      <w:pPr>
        <w:spacing w:after="160" w:line="256" w:lineRule="auto"/>
        <w:ind w:left="-566"/>
        <w:jc w:val="both"/>
        <w:rPr>
          <w:b/>
          <w:bCs/>
          <w:sz w:val="24"/>
          <w:szCs w:val="24"/>
        </w:rPr>
      </w:pPr>
      <w:r>
        <w:rPr>
          <w:b/>
          <w:bCs/>
          <w:sz w:val="24"/>
          <w:szCs w:val="24"/>
        </w:rPr>
        <w:t xml:space="preserve">ECONÓMICO. - </w:t>
      </w:r>
      <w:r>
        <w:rPr>
          <w:sz w:val="24"/>
          <w:szCs w:val="24"/>
        </w:rPr>
        <w:t>Aprobado que sea, túrnese a la Secretaría para que elabore la minuta de decreto correspondiente.</w:t>
      </w:r>
    </w:p>
    <w:p w14:paraId="05951EC1" w14:textId="7567163E" w:rsidR="009B30EF" w:rsidRPr="00A8077D" w:rsidRDefault="00A8077D" w:rsidP="00A8077D">
      <w:pPr>
        <w:spacing w:after="160" w:line="256" w:lineRule="auto"/>
        <w:ind w:left="-566"/>
        <w:jc w:val="both"/>
        <w:rPr>
          <w:sz w:val="24"/>
          <w:szCs w:val="24"/>
        </w:rPr>
      </w:pPr>
      <w:r>
        <w:rPr>
          <w:b/>
          <w:bCs/>
          <w:sz w:val="24"/>
          <w:szCs w:val="24"/>
        </w:rPr>
        <w:t xml:space="preserve">DADO. – </w:t>
      </w:r>
      <w:r>
        <w:rPr>
          <w:sz w:val="24"/>
          <w:szCs w:val="24"/>
        </w:rPr>
        <w:t xml:space="preserve">En </w:t>
      </w:r>
      <w:r w:rsidRPr="00A8077D">
        <w:rPr>
          <w:sz w:val="24"/>
          <w:szCs w:val="24"/>
        </w:rPr>
        <w:t>la sala Morelos del</w:t>
      </w:r>
      <w:r>
        <w:rPr>
          <w:sz w:val="24"/>
          <w:szCs w:val="24"/>
        </w:rPr>
        <w:t xml:space="preserve"> Poder Legislativo a los </w:t>
      </w:r>
      <w:r>
        <w:rPr>
          <w:sz w:val="24"/>
          <w:szCs w:val="24"/>
          <w:highlight w:val="white"/>
        </w:rPr>
        <w:t>16</w:t>
      </w:r>
      <w:r>
        <w:rPr>
          <w:sz w:val="24"/>
          <w:szCs w:val="24"/>
        </w:rPr>
        <w:t xml:space="preserve"> días del mes de enero del año dos mil veintiséis.</w:t>
      </w:r>
    </w:p>
    <w:p w14:paraId="44C99387" w14:textId="77777777" w:rsidR="009B30EF" w:rsidRDefault="009B30EF">
      <w:pPr>
        <w:spacing w:after="160" w:line="256" w:lineRule="auto"/>
        <w:rPr>
          <w:b/>
          <w:bCs/>
          <w:sz w:val="24"/>
          <w:szCs w:val="24"/>
        </w:rPr>
      </w:pPr>
    </w:p>
    <w:p w14:paraId="042D6B7A" w14:textId="77777777" w:rsidR="009B30EF" w:rsidRDefault="00A8077D">
      <w:pPr>
        <w:spacing w:after="160" w:line="256" w:lineRule="auto"/>
        <w:jc w:val="center"/>
        <w:rPr>
          <w:b/>
          <w:bCs/>
          <w:sz w:val="24"/>
          <w:szCs w:val="24"/>
        </w:rPr>
      </w:pPr>
      <w:r>
        <w:rPr>
          <w:b/>
          <w:bCs/>
          <w:sz w:val="24"/>
          <w:szCs w:val="24"/>
        </w:rPr>
        <w:t>ATENTAMENTE</w:t>
      </w:r>
    </w:p>
    <w:p w14:paraId="5D80DB18" w14:textId="77777777" w:rsidR="009B30EF" w:rsidRDefault="009B30EF">
      <w:pPr>
        <w:spacing w:after="160" w:line="480" w:lineRule="auto"/>
        <w:rPr>
          <w:b/>
          <w:bCs/>
          <w:sz w:val="24"/>
          <w:szCs w:val="24"/>
        </w:rPr>
      </w:pPr>
    </w:p>
    <w:p w14:paraId="33621544" w14:textId="77777777" w:rsidR="009B30EF" w:rsidRDefault="009B30EF">
      <w:pPr>
        <w:spacing w:after="160" w:line="480" w:lineRule="auto"/>
        <w:rPr>
          <w:b/>
          <w:bCs/>
          <w:sz w:val="24"/>
          <w:szCs w:val="24"/>
        </w:rPr>
      </w:pPr>
    </w:p>
    <w:tbl>
      <w:tblPr>
        <w:tblStyle w:val="a"/>
        <w:tblW w:w="903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0"/>
        <w:gridCol w:w="4500"/>
      </w:tblGrid>
      <w:tr w:rsidR="009B30EF" w14:paraId="738FF5BC" w14:textId="77777777">
        <w:trPr>
          <w:jc w:val="center"/>
        </w:trPr>
        <w:tc>
          <w:tcPr>
            <w:tcW w:w="4530" w:type="dxa"/>
            <w:shd w:val="clear" w:color="auto" w:fill="auto"/>
            <w:tcMar>
              <w:top w:w="100" w:type="dxa"/>
              <w:left w:w="100" w:type="dxa"/>
              <w:bottom w:w="100" w:type="dxa"/>
              <w:right w:w="100" w:type="dxa"/>
            </w:tcMar>
          </w:tcPr>
          <w:p w14:paraId="54D69A9B" w14:textId="77777777" w:rsidR="009B30EF" w:rsidRDefault="00A8077D">
            <w:pPr>
              <w:widowControl w:val="0"/>
              <w:spacing w:line="240" w:lineRule="auto"/>
              <w:rPr>
                <w:b/>
                <w:bCs/>
                <w:sz w:val="24"/>
                <w:szCs w:val="24"/>
              </w:rPr>
            </w:pPr>
            <w:r>
              <w:rPr>
                <w:b/>
                <w:bCs/>
                <w:sz w:val="24"/>
                <w:szCs w:val="24"/>
              </w:rPr>
              <w:t>Dip. Magdalena Renteria Perez</w:t>
            </w:r>
          </w:p>
          <w:p w14:paraId="47F62265" w14:textId="77777777" w:rsidR="009B30EF" w:rsidRDefault="009B30EF">
            <w:pPr>
              <w:widowControl w:val="0"/>
              <w:spacing w:line="240" w:lineRule="auto"/>
              <w:rPr>
                <w:b/>
                <w:bCs/>
                <w:sz w:val="24"/>
                <w:szCs w:val="24"/>
              </w:rPr>
            </w:pPr>
          </w:p>
          <w:p w14:paraId="489260B8" w14:textId="77777777" w:rsidR="009B30EF" w:rsidRDefault="009B30EF">
            <w:pPr>
              <w:widowControl w:val="0"/>
              <w:spacing w:line="240" w:lineRule="auto"/>
              <w:rPr>
                <w:b/>
                <w:bCs/>
                <w:sz w:val="24"/>
                <w:szCs w:val="24"/>
              </w:rPr>
            </w:pPr>
          </w:p>
          <w:p w14:paraId="32955F7E" w14:textId="77777777" w:rsidR="009B30EF" w:rsidRDefault="009B30EF">
            <w:pPr>
              <w:widowControl w:val="0"/>
              <w:spacing w:line="240" w:lineRule="auto"/>
              <w:rPr>
                <w:b/>
                <w:bCs/>
                <w:sz w:val="24"/>
                <w:szCs w:val="24"/>
              </w:rPr>
            </w:pPr>
          </w:p>
          <w:p w14:paraId="277D26C9" w14:textId="77777777" w:rsidR="009B30EF" w:rsidRDefault="009B30EF">
            <w:pPr>
              <w:widowControl w:val="0"/>
              <w:spacing w:line="240" w:lineRule="auto"/>
              <w:rPr>
                <w:b/>
                <w:bCs/>
                <w:sz w:val="24"/>
                <w:szCs w:val="24"/>
              </w:rPr>
            </w:pPr>
          </w:p>
          <w:p w14:paraId="0745C7D6" w14:textId="77777777" w:rsidR="009B30EF" w:rsidRDefault="009B30EF">
            <w:pPr>
              <w:widowControl w:val="0"/>
              <w:spacing w:line="240" w:lineRule="auto"/>
              <w:rPr>
                <w:b/>
                <w:bCs/>
                <w:sz w:val="24"/>
                <w:szCs w:val="24"/>
              </w:rPr>
            </w:pPr>
          </w:p>
          <w:p w14:paraId="1B1015EA" w14:textId="77777777" w:rsidR="009B30EF" w:rsidRDefault="009B30EF">
            <w:pPr>
              <w:widowControl w:val="0"/>
              <w:spacing w:line="240" w:lineRule="auto"/>
              <w:rPr>
                <w:b/>
                <w:bCs/>
                <w:sz w:val="24"/>
                <w:szCs w:val="24"/>
              </w:rPr>
            </w:pPr>
          </w:p>
          <w:p w14:paraId="53257C30" w14:textId="77777777" w:rsidR="009B30EF" w:rsidRDefault="009B30EF">
            <w:pPr>
              <w:widowControl w:val="0"/>
              <w:spacing w:line="240" w:lineRule="auto"/>
              <w:rPr>
                <w:b/>
                <w:bCs/>
                <w:sz w:val="24"/>
                <w:szCs w:val="24"/>
              </w:rPr>
            </w:pPr>
          </w:p>
          <w:p w14:paraId="601A1088" w14:textId="77777777" w:rsidR="009B30EF" w:rsidRDefault="009B30EF">
            <w:pPr>
              <w:widowControl w:val="0"/>
              <w:spacing w:line="240" w:lineRule="auto"/>
              <w:rPr>
                <w:b/>
                <w:bCs/>
                <w:sz w:val="24"/>
                <w:szCs w:val="24"/>
              </w:rPr>
            </w:pPr>
          </w:p>
        </w:tc>
        <w:tc>
          <w:tcPr>
            <w:tcW w:w="4500" w:type="dxa"/>
            <w:shd w:val="clear" w:color="auto" w:fill="auto"/>
            <w:tcMar>
              <w:top w:w="100" w:type="dxa"/>
              <w:left w:w="100" w:type="dxa"/>
              <w:bottom w:w="100" w:type="dxa"/>
              <w:right w:w="100" w:type="dxa"/>
            </w:tcMar>
          </w:tcPr>
          <w:p w14:paraId="62F91C1A" w14:textId="77777777" w:rsidR="009B30EF" w:rsidRDefault="00A8077D">
            <w:pPr>
              <w:widowControl w:val="0"/>
              <w:spacing w:line="240" w:lineRule="auto"/>
              <w:rPr>
                <w:b/>
                <w:bCs/>
                <w:sz w:val="24"/>
                <w:szCs w:val="24"/>
              </w:rPr>
            </w:pPr>
            <w:r>
              <w:rPr>
                <w:b/>
                <w:bCs/>
                <w:sz w:val="24"/>
                <w:szCs w:val="24"/>
              </w:rPr>
              <w:lastRenderedPageBreak/>
              <w:t>Dip. Elizabeth Guzmán Argueta</w:t>
            </w:r>
          </w:p>
          <w:p w14:paraId="09B80477" w14:textId="77777777" w:rsidR="009B30EF" w:rsidRDefault="009B30EF">
            <w:pPr>
              <w:widowControl w:val="0"/>
              <w:spacing w:line="240" w:lineRule="auto"/>
              <w:rPr>
                <w:b/>
                <w:bCs/>
                <w:sz w:val="24"/>
                <w:szCs w:val="24"/>
              </w:rPr>
            </w:pPr>
          </w:p>
        </w:tc>
      </w:tr>
      <w:tr w:rsidR="009B30EF" w14:paraId="4BA21F21" w14:textId="77777777">
        <w:trPr>
          <w:jc w:val="center"/>
        </w:trPr>
        <w:tc>
          <w:tcPr>
            <w:tcW w:w="4530" w:type="dxa"/>
            <w:shd w:val="clear" w:color="auto" w:fill="auto"/>
            <w:tcMar>
              <w:top w:w="100" w:type="dxa"/>
              <w:left w:w="100" w:type="dxa"/>
              <w:bottom w:w="100" w:type="dxa"/>
              <w:right w:w="100" w:type="dxa"/>
            </w:tcMar>
          </w:tcPr>
          <w:p w14:paraId="74D32973" w14:textId="77777777" w:rsidR="009B30EF" w:rsidRDefault="00A8077D">
            <w:pPr>
              <w:widowControl w:val="0"/>
              <w:spacing w:line="240" w:lineRule="auto"/>
              <w:rPr>
                <w:b/>
                <w:bCs/>
                <w:sz w:val="24"/>
                <w:szCs w:val="24"/>
              </w:rPr>
            </w:pPr>
            <w:r>
              <w:rPr>
                <w:b/>
                <w:bCs/>
                <w:sz w:val="24"/>
                <w:szCs w:val="24"/>
              </w:rPr>
              <w:lastRenderedPageBreak/>
              <w:t>Dip. Edin Cuauhtémoc Estrada Sotelo</w:t>
            </w:r>
          </w:p>
          <w:p w14:paraId="63EA203A" w14:textId="77777777" w:rsidR="009B30EF" w:rsidRDefault="009B30EF">
            <w:pPr>
              <w:widowControl w:val="0"/>
              <w:spacing w:line="240" w:lineRule="auto"/>
              <w:rPr>
                <w:b/>
                <w:bCs/>
                <w:sz w:val="24"/>
                <w:szCs w:val="24"/>
              </w:rPr>
            </w:pPr>
          </w:p>
          <w:p w14:paraId="27E3503A" w14:textId="77777777" w:rsidR="009B30EF" w:rsidRDefault="009B30EF">
            <w:pPr>
              <w:widowControl w:val="0"/>
              <w:spacing w:line="240" w:lineRule="auto"/>
              <w:rPr>
                <w:b/>
                <w:bCs/>
                <w:sz w:val="24"/>
                <w:szCs w:val="24"/>
              </w:rPr>
            </w:pPr>
          </w:p>
          <w:p w14:paraId="56897DE9" w14:textId="77777777" w:rsidR="009B30EF" w:rsidRDefault="009B30EF">
            <w:pPr>
              <w:widowControl w:val="0"/>
              <w:spacing w:line="240" w:lineRule="auto"/>
              <w:rPr>
                <w:b/>
                <w:bCs/>
                <w:sz w:val="24"/>
                <w:szCs w:val="24"/>
              </w:rPr>
            </w:pPr>
          </w:p>
        </w:tc>
        <w:tc>
          <w:tcPr>
            <w:tcW w:w="4500" w:type="dxa"/>
            <w:shd w:val="clear" w:color="auto" w:fill="auto"/>
            <w:tcMar>
              <w:top w:w="100" w:type="dxa"/>
              <w:left w:w="100" w:type="dxa"/>
              <w:bottom w:w="100" w:type="dxa"/>
              <w:right w:w="100" w:type="dxa"/>
            </w:tcMar>
          </w:tcPr>
          <w:p w14:paraId="73B0405D" w14:textId="77777777" w:rsidR="009B30EF" w:rsidRDefault="00A8077D">
            <w:pPr>
              <w:widowControl w:val="0"/>
              <w:spacing w:line="240" w:lineRule="auto"/>
              <w:rPr>
                <w:b/>
                <w:bCs/>
                <w:sz w:val="24"/>
                <w:szCs w:val="24"/>
              </w:rPr>
            </w:pPr>
            <w:r>
              <w:rPr>
                <w:b/>
                <w:bCs/>
                <w:sz w:val="24"/>
                <w:szCs w:val="24"/>
              </w:rPr>
              <w:t>Dip. Leticia Ortega Máynez</w:t>
            </w:r>
          </w:p>
        </w:tc>
      </w:tr>
      <w:tr w:rsidR="009B30EF" w14:paraId="1BEFB4C6" w14:textId="77777777">
        <w:trPr>
          <w:jc w:val="center"/>
        </w:trPr>
        <w:tc>
          <w:tcPr>
            <w:tcW w:w="4530" w:type="dxa"/>
            <w:shd w:val="clear" w:color="auto" w:fill="auto"/>
            <w:tcMar>
              <w:top w:w="100" w:type="dxa"/>
              <w:left w:w="100" w:type="dxa"/>
              <w:bottom w:w="100" w:type="dxa"/>
              <w:right w:w="100" w:type="dxa"/>
            </w:tcMar>
          </w:tcPr>
          <w:p w14:paraId="25910BD5" w14:textId="77777777" w:rsidR="009B30EF" w:rsidRDefault="00A8077D">
            <w:pPr>
              <w:widowControl w:val="0"/>
              <w:spacing w:line="240" w:lineRule="auto"/>
              <w:rPr>
                <w:b/>
                <w:bCs/>
                <w:sz w:val="24"/>
                <w:szCs w:val="24"/>
              </w:rPr>
            </w:pPr>
            <w:r>
              <w:rPr>
                <w:b/>
                <w:bCs/>
                <w:sz w:val="24"/>
                <w:szCs w:val="24"/>
              </w:rPr>
              <w:t>Dip. Óscar Daniel Avitia Arellanes</w:t>
            </w:r>
          </w:p>
          <w:p w14:paraId="487FB1DC" w14:textId="77777777" w:rsidR="009B30EF" w:rsidRDefault="009B30EF">
            <w:pPr>
              <w:widowControl w:val="0"/>
              <w:spacing w:line="240" w:lineRule="auto"/>
              <w:rPr>
                <w:b/>
                <w:bCs/>
                <w:sz w:val="24"/>
                <w:szCs w:val="24"/>
              </w:rPr>
            </w:pPr>
          </w:p>
          <w:p w14:paraId="65D729B3" w14:textId="77777777" w:rsidR="009B30EF" w:rsidRDefault="009B30EF">
            <w:pPr>
              <w:widowControl w:val="0"/>
              <w:spacing w:line="240" w:lineRule="auto"/>
              <w:rPr>
                <w:b/>
                <w:bCs/>
                <w:sz w:val="24"/>
                <w:szCs w:val="24"/>
              </w:rPr>
            </w:pPr>
          </w:p>
          <w:p w14:paraId="0A679DA2" w14:textId="77777777" w:rsidR="009B30EF" w:rsidRDefault="009B30EF">
            <w:pPr>
              <w:widowControl w:val="0"/>
              <w:spacing w:line="240" w:lineRule="auto"/>
              <w:rPr>
                <w:b/>
                <w:bCs/>
                <w:sz w:val="24"/>
                <w:szCs w:val="24"/>
              </w:rPr>
            </w:pPr>
          </w:p>
        </w:tc>
        <w:tc>
          <w:tcPr>
            <w:tcW w:w="4500" w:type="dxa"/>
            <w:shd w:val="clear" w:color="auto" w:fill="auto"/>
            <w:tcMar>
              <w:top w:w="100" w:type="dxa"/>
              <w:left w:w="100" w:type="dxa"/>
              <w:bottom w:w="100" w:type="dxa"/>
              <w:right w:w="100" w:type="dxa"/>
            </w:tcMar>
          </w:tcPr>
          <w:p w14:paraId="44170F04" w14:textId="77777777" w:rsidR="009B30EF" w:rsidRDefault="00A8077D">
            <w:pPr>
              <w:widowControl w:val="0"/>
              <w:spacing w:line="240" w:lineRule="auto"/>
              <w:rPr>
                <w:b/>
                <w:bCs/>
                <w:sz w:val="24"/>
                <w:szCs w:val="24"/>
              </w:rPr>
            </w:pPr>
            <w:r>
              <w:rPr>
                <w:b/>
                <w:bCs/>
                <w:sz w:val="24"/>
                <w:szCs w:val="24"/>
              </w:rPr>
              <w:t>Dip. Rosana Díaz Reyes</w:t>
            </w:r>
          </w:p>
          <w:p w14:paraId="43A7EB03" w14:textId="77777777" w:rsidR="009B30EF" w:rsidRDefault="009B30EF">
            <w:pPr>
              <w:widowControl w:val="0"/>
              <w:spacing w:line="240" w:lineRule="auto"/>
              <w:rPr>
                <w:b/>
                <w:bCs/>
                <w:sz w:val="24"/>
                <w:szCs w:val="24"/>
              </w:rPr>
            </w:pPr>
          </w:p>
        </w:tc>
      </w:tr>
      <w:tr w:rsidR="009B30EF" w14:paraId="52EC878F" w14:textId="77777777">
        <w:trPr>
          <w:trHeight w:val="1320"/>
          <w:jc w:val="center"/>
        </w:trPr>
        <w:tc>
          <w:tcPr>
            <w:tcW w:w="4530" w:type="dxa"/>
            <w:shd w:val="clear" w:color="auto" w:fill="auto"/>
            <w:tcMar>
              <w:top w:w="100" w:type="dxa"/>
              <w:left w:w="100" w:type="dxa"/>
              <w:bottom w:w="100" w:type="dxa"/>
              <w:right w:w="100" w:type="dxa"/>
            </w:tcMar>
          </w:tcPr>
          <w:p w14:paraId="55F6CBDF" w14:textId="77777777" w:rsidR="009B30EF" w:rsidRDefault="00A8077D">
            <w:pPr>
              <w:widowControl w:val="0"/>
              <w:spacing w:line="240" w:lineRule="auto"/>
              <w:rPr>
                <w:b/>
                <w:bCs/>
                <w:sz w:val="24"/>
                <w:szCs w:val="24"/>
              </w:rPr>
            </w:pPr>
            <w:r>
              <w:rPr>
                <w:b/>
                <w:bCs/>
                <w:sz w:val="24"/>
                <w:szCs w:val="24"/>
              </w:rPr>
              <w:t>Dip. María Antonieta Pérez Reyes</w:t>
            </w:r>
          </w:p>
          <w:p w14:paraId="77F80FD6" w14:textId="77777777" w:rsidR="009B30EF" w:rsidRDefault="009B30EF">
            <w:pPr>
              <w:widowControl w:val="0"/>
              <w:spacing w:line="240" w:lineRule="auto"/>
              <w:rPr>
                <w:b/>
                <w:bCs/>
                <w:sz w:val="24"/>
                <w:szCs w:val="24"/>
              </w:rPr>
            </w:pPr>
          </w:p>
          <w:p w14:paraId="02847F2E" w14:textId="77777777" w:rsidR="009B30EF" w:rsidRDefault="009B30EF">
            <w:pPr>
              <w:widowControl w:val="0"/>
              <w:spacing w:line="240" w:lineRule="auto"/>
              <w:rPr>
                <w:b/>
                <w:bCs/>
                <w:sz w:val="24"/>
                <w:szCs w:val="24"/>
              </w:rPr>
            </w:pPr>
          </w:p>
          <w:p w14:paraId="300FB3B2" w14:textId="77777777" w:rsidR="009B30EF" w:rsidRDefault="009B30EF">
            <w:pPr>
              <w:widowControl w:val="0"/>
              <w:spacing w:line="240" w:lineRule="auto"/>
              <w:rPr>
                <w:b/>
                <w:bCs/>
                <w:sz w:val="24"/>
                <w:szCs w:val="24"/>
              </w:rPr>
            </w:pPr>
          </w:p>
          <w:p w14:paraId="656D7F0B" w14:textId="77777777" w:rsidR="009B30EF" w:rsidRDefault="009B30EF">
            <w:pPr>
              <w:widowControl w:val="0"/>
              <w:spacing w:line="240" w:lineRule="auto"/>
              <w:rPr>
                <w:b/>
                <w:bCs/>
                <w:sz w:val="24"/>
                <w:szCs w:val="24"/>
              </w:rPr>
            </w:pPr>
          </w:p>
        </w:tc>
        <w:tc>
          <w:tcPr>
            <w:tcW w:w="4500" w:type="dxa"/>
            <w:shd w:val="clear" w:color="auto" w:fill="auto"/>
            <w:tcMar>
              <w:top w:w="100" w:type="dxa"/>
              <w:left w:w="100" w:type="dxa"/>
              <w:bottom w:w="100" w:type="dxa"/>
              <w:right w:w="100" w:type="dxa"/>
            </w:tcMar>
          </w:tcPr>
          <w:p w14:paraId="34AFAF80" w14:textId="77777777" w:rsidR="009B30EF" w:rsidRDefault="00A8077D">
            <w:pPr>
              <w:widowControl w:val="0"/>
              <w:spacing w:line="240" w:lineRule="auto"/>
              <w:rPr>
                <w:b/>
                <w:bCs/>
                <w:sz w:val="24"/>
                <w:szCs w:val="24"/>
              </w:rPr>
            </w:pPr>
            <w:r>
              <w:rPr>
                <w:b/>
                <w:bCs/>
                <w:sz w:val="24"/>
                <w:szCs w:val="24"/>
              </w:rPr>
              <w:t>Dip. Brenda Francisca Ríos Prieto</w:t>
            </w:r>
          </w:p>
        </w:tc>
      </w:tr>
      <w:tr w:rsidR="009B30EF" w14:paraId="16DF36B8" w14:textId="77777777">
        <w:trPr>
          <w:jc w:val="center"/>
        </w:trPr>
        <w:tc>
          <w:tcPr>
            <w:tcW w:w="4530" w:type="dxa"/>
            <w:shd w:val="clear" w:color="auto" w:fill="auto"/>
            <w:tcMar>
              <w:top w:w="100" w:type="dxa"/>
              <w:left w:w="100" w:type="dxa"/>
              <w:bottom w:w="100" w:type="dxa"/>
              <w:right w:w="100" w:type="dxa"/>
            </w:tcMar>
          </w:tcPr>
          <w:p w14:paraId="57194C6B" w14:textId="77777777" w:rsidR="009B30EF" w:rsidRDefault="00A8077D">
            <w:pPr>
              <w:widowControl w:val="0"/>
              <w:spacing w:line="240" w:lineRule="auto"/>
              <w:rPr>
                <w:b/>
                <w:bCs/>
                <w:sz w:val="24"/>
                <w:szCs w:val="24"/>
              </w:rPr>
            </w:pPr>
            <w:r>
              <w:rPr>
                <w:b/>
                <w:bCs/>
                <w:sz w:val="24"/>
                <w:szCs w:val="24"/>
              </w:rPr>
              <w:t xml:space="preserve">Dip. </w:t>
            </w:r>
            <w:r>
              <w:rPr>
                <w:sz w:val="24"/>
                <w:szCs w:val="24"/>
              </w:rPr>
              <w:t xml:space="preserve"> </w:t>
            </w:r>
            <w:r>
              <w:rPr>
                <w:b/>
                <w:bCs/>
                <w:sz w:val="24"/>
                <w:szCs w:val="24"/>
              </w:rPr>
              <w:t>Edith Palma Ontiveros</w:t>
            </w:r>
          </w:p>
          <w:p w14:paraId="00958C0D" w14:textId="77777777" w:rsidR="009B30EF" w:rsidRDefault="009B30EF">
            <w:pPr>
              <w:widowControl w:val="0"/>
              <w:spacing w:line="240" w:lineRule="auto"/>
              <w:rPr>
                <w:b/>
                <w:bCs/>
                <w:sz w:val="24"/>
                <w:szCs w:val="24"/>
              </w:rPr>
            </w:pPr>
          </w:p>
          <w:p w14:paraId="042A86C6" w14:textId="77777777" w:rsidR="009B30EF" w:rsidRDefault="009B30EF">
            <w:pPr>
              <w:widowControl w:val="0"/>
              <w:spacing w:line="240" w:lineRule="auto"/>
              <w:rPr>
                <w:b/>
                <w:bCs/>
                <w:sz w:val="24"/>
                <w:szCs w:val="24"/>
              </w:rPr>
            </w:pPr>
          </w:p>
          <w:p w14:paraId="6E81084F" w14:textId="77777777" w:rsidR="009B30EF" w:rsidRDefault="009B30EF">
            <w:pPr>
              <w:widowControl w:val="0"/>
              <w:spacing w:line="240" w:lineRule="auto"/>
              <w:rPr>
                <w:b/>
                <w:bCs/>
                <w:sz w:val="24"/>
                <w:szCs w:val="24"/>
              </w:rPr>
            </w:pPr>
          </w:p>
        </w:tc>
        <w:tc>
          <w:tcPr>
            <w:tcW w:w="4500" w:type="dxa"/>
            <w:shd w:val="clear" w:color="auto" w:fill="auto"/>
            <w:tcMar>
              <w:top w:w="100" w:type="dxa"/>
              <w:left w:w="100" w:type="dxa"/>
              <w:bottom w:w="100" w:type="dxa"/>
              <w:right w:w="100" w:type="dxa"/>
            </w:tcMar>
          </w:tcPr>
          <w:p w14:paraId="6728B4BE" w14:textId="77777777" w:rsidR="009B30EF" w:rsidRDefault="00A8077D">
            <w:pPr>
              <w:widowControl w:val="0"/>
              <w:spacing w:line="240" w:lineRule="auto"/>
              <w:rPr>
                <w:b/>
                <w:bCs/>
                <w:sz w:val="24"/>
                <w:szCs w:val="24"/>
              </w:rPr>
            </w:pPr>
            <w:r>
              <w:rPr>
                <w:b/>
                <w:bCs/>
                <w:sz w:val="24"/>
                <w:szCs w:val="24"/>
              </w:rPr>
              <w:t>Dip. Herminia Gómez Carrasco</w:t>
            </w:r>
          </w:p>
          <w:p w14:paraId="1FAAC926" w14:textId="77777777" w:rsidR="009B30EF" w:rsidRDefault="009B30EF">
            <w:pPr>
              <w:widowControl w:val="0"/>
              <w:spacing w:line="240" w:lineRule="auto"/>
              <w:rPr>
                <w:b/>
                <w:bCs/>
                <w:sz w:val="24"/>
                <w:szCs w:val="24"/>
              </w:rPr>
            </w:pPr>
          </w:p>
          <w:p w14:paraId="75F36E66" w14:textId="77777777" w:rsidR="009B30EF" w:rsidRDefault="009B30EF">
            <w:pPr>
              <w:widowControl w:val="0"/>
              <w:spacing w:line="240" w:lineRule="auto"/>
              <w:rPr>
                <w:b/>
                <w:bCs/>
                <w:sz w:val="24"/>
                <w:szCs w:val="24"/>
              </w:rPr>
            </w:pPr>
          </w:p>
        </w:tc>
      </w:tr>
      <w:tr w:rsidR="009B30EF" w14:paraId="67F6E9CA" w14:textId="77777777">
        <w:trPr>
          <w:jc w:val="center"/>
        </w:trPr>
        <w:tc>
          <w:tcPr>
            <w:tcW w:w="4530" w:type="dxa"/>
            <w:shd w:val="clear" w:color="auto" w:fill="auto"/>
            <w:tcMar>
              <w:top w:w="100" w:type="dxa"/>
              <w:left w:w="100" w:type="dxa"/>
              <w:bottom w:w="100" w:type="dxa"/>
              <w:right w:w="100" w:type="dxa"/>
            </w:tcMar>
          </w:tcPr>
          <w:p w14:paraId="0C42E778" w14:textId="77777777" w:rsidR="009B30EF" w:rsidRDefault="00A8077D">
            <w:pPr>
              <w:spacing w:after="160" w:line="480" w:lineRule="auto"/>
              <w:jc w:val="both"/>
              <w:rPr>
                <w:b/>
                <w:bCs/>
                <w:sz w:val="24"/>
                <w:szCs w:val="24"/>
              </w:rPr>
            </w:pPr>
            <w:r>
              <w:rPr>
                <w:b/>
                <w:bCs/>
                <w:sz w:val="24"/>
                <w:szCs w:val="24"/>
              </w:rPr>
              <w:t>Dip. Jael Argüelles Díaz</w:t>
            </w:r>
          </w:p>
        </w:tc>
        <w:tc>
          <w:tcPr>
            <w:tcW w:w="4500" w:type="dxa"/>
            <w:shd w:val="clear" w:color="auto" w:fill="auto"/>
            <w:tcMar>
              <w:top w:w="100" w:type="dxa"/>
              <w:left w:w="100" w:type="dxa"/>
              <w:bottom w:w="100" w:type="dxa"/>
              <w:right w:w="100" w:type="dxa"/>
            </w:tcMar>
          </w:tcPr>
          <w:p w14:paraId="7DB6AA07" w14:textId="77777777" w:rsidR="009B30EF" w:rsidRDefault="00A8077D">
            <w:pPr>
              <w:spacing w:after="160" w:line="480" w:lineRule="auto"/>
              <w:jc w:val="both"/>
              <w:rPr>
                <w:b/>
                <w:bCs/>
                <w:sz w:val="24"/>
                <w:szCs w:val="24"/>
              </w:rPr>
            </w:pPr>
            <w:r>
              <w:rPr>
                <w:b/>
                <w:bCs/>
                <w:sz w:val="24"/>
                <w:szCs w:val="24"/>
              </w:rPr>
              <w:t>Dip. Pedro Torres Estrada</w:t>
            </w:r>
          </w:p>
          <w:p w14:paraId="63A5BAAA" w14:textId="77777777" w:rsidR="009B30EF" w:rsidRDefault="009B30EF">
            <w:pPr>
              <w:widowControl w:val="0"/>
              <w:spacing w:line="240" w:lineRule="auto"/>
              <w:rPr>
                <w:b/>
                <w:bCs/>
                <w:sz w:val="24"/>
                <w:szCs w:val="24"/>
              </w:rPr>
            </w:pPr>
          </w:p>
        </w:tc>
      </w:tr>
      <w:tr w:rsidR="009B30EF" w14:paraId="27BEF0E2" w14:textId="77777777">
        <w:trPr>
          <w:trHeight w:val="440"/>
          <w:jc w:val="center"/>
        </w:trPr>
        <w:tc>
          <w:tcPr>
            <w:tcW w:w="9030" w:type="dxa"/>
            <w:gridSpan w:val="2"/>
            <w:shd w:val="clear" w:color="auto" w:fill="auto"/>
            <w:tcMar>
              <w:top w:w="100" w:type="dxa"/>
              <w:left w:w="100" w:type="dxa"/>
              <w:bottom w:w="100" w:type="dxa"/>
              <w:right w:w="100" w:type="dxa"/>
            </w:tcMar>
          </w:tcPr>
          <w:p w14:paraId="0673E904" w14:textId="7232FF9B" w:rsidR="009B30EF" w:rsidRDefault="00A8077D">
            <w:pPr>
              <w:spacing w:after="160" w:line="240" w:lineRule="auto"/>
              <w:jc w:val="both"/>
              <w:rPr>
                <w:b/>
                <w:bCs/>
                <w:sz w:val="24"/>
                <w:szCs w:val="24"/>
                <w:highlight w:val="yellow"/>
              </w:rPr>
            </w:pPr>
            <w:r>
              <w:rPr>
                <w:sz w:val="24"/>
                <w:szCs w:val="24"/>
              </w:rPr>
              <w:t>Hoja de firmas de la iniciativa con carácter de decreto,</w:t>
            </w:r>
            <w:r>
              <w:rPr>
                <w:b/>
                <w:bCs/>
                <w:sz w:val="24"/>
                <w:szCs w:val="24"/>
              </w:rPr>
              <w:t xml:space="preserve"> a fin de reformar, adicionar y derogar diversas disposiciones de la </w:t>
            </w:r>
            <w:r w:rsidRPr="00A8077D">
              <w:rPr>
                <w:sz w:val="24"/>
                <w:szCs w:val="24"/>
              </w:rPr>
              <w:t>Ley de Derechos de las Personas Mayores en el Estado de Chihuahua</w:t>
            </w:r>
          </w:p>
        </w:tc>
      </w:tr>
    </w:tbl>
    <w:p w14:paraId="632BCAF1" w14:textId="77777777" w:rsidR="009B30EF" w:rsidRDefault="009B30EF">
      <w:pPr>
        <w:rPr>
          <w:sz w:val="24"/>
          <w:szCs w:val="24"/>
        </w:rPr>
      </w:pPr>
    </w:p>
    <w:p w14:paraId="22156C46" w14:textId="77777777" w:rsidR="009B30EF" w:rsidRDefault="009B30EF"/>
    <w:sectPr w:rsidR="009B30E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FF42E79-408F-402D-91EA-641A90ACEF33}"/>
  </w:font>
  <w:font w:name="Cambria">
    <w:panose1 w:val="02040503050406030204"/>
    <w:charset w:val="00"/>
    <w:family w:val="roman"/>
    <w:pitch w:val="variable"/>
    <w:sig w:usb0="E00006FF" w:usb1="420024FF" w:usb2="02000000" w:usb3="00000000" w:csb0="0000019F" w:csb1="00000000"/>
    <w:embedRegular r:id="rId2" w:fontKey="{5D8C069D-2CF1-401A-B7B1-01A4DEEC3A2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0EF"/>
    <w:rsid w:val="009B30EF"/>
    <w:rsid w:val="00A8077D"/>
    <w:rsid w:val="00B13F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2CCD7"/>
  <w15:docId w15:val="{F46BFAFE-B3D5-4288-A0BA-DBFCDE57C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B4103-7446-47C4-98AB-B1F3EF56D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829</Words>
  <Characters>4565</Characters>
  <Application>Microsoft Office Word</Application>
  <DocSecurity>0</DocSecurity>
  <Lines>38</Lines>
  <Paragraphs>10</Paragraphs>
  <ScaleCrop>false</ScaleCrop>
  <Company/>
  <LinksUpToDate>false</LinksUpToDate>
  <CharactersWithSpaces>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Sarmiento Martinez</dc:creator>
  <cp:lastModifiedBy>Andrea Paulina Acosta Lucio</cp:lastModifiedBy>
  <cp:revision>3</cp:revision>
  <dcterms:created xsi:type="dcterms:W3CDTF">2026-01-15T18:50:00Z</dcterms:created>
  <dcterms:modified xsi:type="dcterms:W3CDTF">2026-01-15T19:09:00Z</dcterms:modified>
</cp:coreProperties>
</file>