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ED02F" w14:textId="77777777" w:rsidR="00353EEF" w:rsidRDefault="00192313">
      <w:pPr>
        <w:spacing w:before="240" w:after="240"/>
        <w:jc w:val="both"/>
        <w:rPr>
          <w:rFonts w:ascii="Century Gothic" w:eastAsia="Century Gothic" w:hAnsi="Century Gothic" w:cs="Century Gothic"/>
          <w:b/>
          <w:sz w:val="24"/>
          <w:szCs w:val="24"/>
        </w:rPr>
      </w:pPr>
      <w:bookmarkStart w:id="0" w:name="_Hlk219369436"/>
      <w:r>
        <w:rPr>
          <w:rFonts w:ascii="Century Gothic" w:eastAsia="Century Gothic" w:hAnsi="Century Gothic" w:cs="Century Gothic"/>
          <w:b/>
          <w:sz w:val="24"/>
          <w:szCs w:val="24"/>
        </w:rPr>
        <w:t>H. CONGRESO DEL ESTADO DE CHIHUAHUA</w:t>
      </w:r>
    </w:p>
    <w:p w14:paraId="1B357105" w14:textId="77777777" w:rsidR="00353EEF" w:rsidRDefault="00192313">
      <w:pPr>
        <w:spacing w:before="240" w:after="24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 R E S E N T E. </w:t>
      </w:r>
    </w:p>
    <w:p w14:paraId="6C3D8D67" w14:textId="363F11AB" w:rsidR="00353EEF" w:rsidRDefault="00192313">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Quienes </w:t>
      </w:r>
      <w:r w:rsidR="004A4563">
        <w:rPr>
          <w:rFonts w:ascii="Century Gothic" w:eastAsia="Century Gothic" w:hAnsi="Century Gothic" w:cs="Century Gothic"/>
          <w:sz w:val="24"/>
          <w:szCs w:val="24"/>
        </w:rPr>
        <w:t>suscribimos,</w:t>
      </w:r>
      <w:r w:rsidR="004A4563">
        <w:rPr>
          <w:rFonts w:ascii="Century Gothic" w:eastAsia="Century Gothic" w:hAnsi="Century Gothic" w:cs="Century Gothic"/>
          <w:b/>
          <w:sz w:val="24"/>
          <w:szCs w:val="24"/>
        </w:rPr>
        <w:t xml:space="preserve"> </w:t>
      </w:r>
      <w:r w:rsidR="00F14D53">
        <w:rPr>
          <w:rFonts w:ascii="Century Gothic" w:eastAsia="Century Gothic" w:hAnsi="Century Gothic" w:cs="Century Gothic"/>
          <w:b/>
          <w:sz w:val="24"/>
          <w:szCs w:val="24"/>
          <w:shd w:val="clear" w:color="auto" w:fill="FEFFFF"/>
        </w:rPr>
        <w:t>Edith Palma Ontiveros y</w:t>
      </w:r>
      <w:r w:rsidR="00F14D53">
        <w:rPr>
          <w:rFonts w:ascii="Century Gothic" w:eastAsia="Century Gothic" w:hAnsi="Century Gothic" w:cs="Century Gothic"/>
          <w:b/>
          <w:sz w:val="24"/>
          <w:szCs w:val="24"/>
        </w:rPr>
        <w:t xml:space="preserve"> </w:t>
      </w:r>
      <w:r w:rsidR="004A4563">
        <w:rPr>
          <w:rFonts w:ascii="Century Gothic" w:eastAsia="Century Gothic" w:hAnsi="Century Gothic" w:cs="Century Gothic"/>
          <w:b/>
          <w:sz w:val="24"/>
          <w:szCs w:val="24"/>
        </w:rPr>
        <w:t>Oscar</w:t>
      </w:r>
      <w:r>
        <w:rPr>
          <w:rFonts w:ascii="Century Gothic" w:eastAsia="Century Gothic" w:hAnsi="Century Gothic" w:cs="Century Gothic"/>
          <w:b/>
          <w:sz w:val="24"/>
          <w:szCs w:val="24"/>
        </w:rPr>
        <w:t xml:space="preserve"> Daniel Avitia Arellanes</w:t>
      </w:r>
      <w:r w:rsidR="00F14D53">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Diputados de la Sexagésima Octava Legislatura del Honorable Congreso del Estado de Chihuahua, en uso de las atribuciones conferidas </w:t>
      </w:r>
      <w:bookmarkEnd w:id="0"/>
      <w:r>
        <w:rPr>
          <w:rFonts w:ascii="Century Gothic" w:eastAsia="Century Gothic" w:hAnsi="Century Gothic" w:cs="Century Gothic"/>
          <w:sz w:val="24"/>
          <w:szCs w:val="24"/>
        </w:rPr>
        <w:t xml:space="preserve">por los artículos 64 fracciones I y II, 68 fracción I, de la Constitución Política del Estado de Chihuahua; 66 fracción IV, 167, fracción I y 172 de la Ley Orgánica del Poder Legislativo; así como 75 y 76 del Reglamento Interior y de Prácticas Parlamentarias del Poder Legislativo; todos ordenamientos del Estado de Chihuahua, </w:t>
      </w:r>
      <w:bookmarkStart w:id="1" w:name="_Hlk219369608"/>
      <w:r>
        <w:rPr>
          <w:rFonts w:ascii="Century Gothic" w:eastAsia="Century Gothic" w:hAnsi="Century Gothic" w:cs="Century Gothic"/>
          <w:sz w:val="24"/>
          <w:szCs w:val="24"/>
        </w:rPr>
        <w:t xml:space="preserve">acudimos ante esta Honorable Asamblea Legislativa, a fin de someter a consideración del Pleno, el siguiente proyecto con carácter de </w:t>
      </w:r>
      <w:r>
        <w:rPr>
          <w:rFonts w:ascii="Century Gothic" w:eastAsia="Century Gothic" w:hAnsi="Century Gothic" w:cs="Century Gothic"/>
          <w:b/>
          <w:sz w:val="24"/>
          <w:szCs w:val="24"/>
        </w:rPr>
        <w:t xml:space="preserve">DECRETO. </w:t>
      </w:r>
      <w:r>
        <w:rPr>
          <w:rFonts w:ascii="Century Gothic" w:eastAsia="Century Gothic" w:hAnsi="Century Gothic" w:cs="Century Gothic"/>
          <w:sz w:val="24"/>
          <w:szCs w:val="24"/>
        </w:rPr>
        <w:t>Lo anterior, de conformidad con la siguiente</w:t>
      </w:r>
      <w:bookmarkEnd w:id="1"/>
      <w:r>
        <w:rPr>
          <w:rFonts w:ascii="Century Gothic" w:eastAsia="Century Gothic" w:hAnsi="Century Gothic" w:cs="Century Gothic"/>
          <w:sz w:val="24"/>
          <w:szCs w:val="24"/>
        </w:rPr>
        <w:t>:</w:t>
      </w:r>
    </w:p>
    <w:p w14:paraId="1066984A" w14:textId="7379B9F9" w:rsidR="004A4563" w:rsidRDefault="00192313" w:rsidP="004A4563">
      <w:pPr>
        <w:spacing w:before="240" w:after="240"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EXPOSICIÓN DE MOTIVOS.</w:t>
      </w:r>
    </w:p>
    <w:p w14:paraId="384A8EC8" w14:textId="77777777" w:rsidR="00866EF0" w:rsidRPr="005615F6" w:rsidRDefault="005734A2"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El sindicalismo a escala mundial tiene sus antecedentes más acabados en la Revolución Industrial, a finales del siglo XVIII, época en la que las relaciones entre obreros y patrones tuvo un punto de inflexión derivado de las extremas condiciones de trabajo y abusos a la clase trabajadora, circunstancias que marcaron el rumbo para una regulación jurídica en materia laboral.</w:t>
      </w:r>
    </w:p>
    <w:p w14:paraId="0519D7BA" w14:textId="77777777" w:rsidR="00866EF0" w:rsidRPr="005615F6" w:rsidRDefault="00866EF0" w:rsidP="005615F6">
      <w:pPr>
        <w:shd w:val="clear" w:color="auto" w:fill="FFFFFF"/>
        <w:spacing w:line="360" w:lineRule="auto"/>
        <w:jc w:val="both"/>
        <w:rPr>
          <w:rFonts w:ascii="Century Gothic" w:hAnsi="Century Gothic"/>
          <w:sz w:val="24"/>
          <w:szCs w:val="24"/>
        </w:rPr>
      </w:pPr>
    </w:p>
    <w:p w14:paraId="6E966B9C" w14:textId="1F546E58" w:rsidR="005734A2" w:rsidRPr="005615F6" w:rsidRDefault="005734A2"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 xml:space="preserve"> Es así que, a mediados del siglo XIX, el derecho laboral comenzó a desarrollarse de manera específica en distintos países del mundo.</w:t>
      </w:r>
    </w:p>
    <w:p w14:paraId="4B23E17A" w14:textId="3A8DDC63" w:rsidR="00737CD9" w:rsidRPr="005615F6" w:rsidRDefault="00737CD9" w:rsidP="005615F6">
      <w:pPr>
        <w:shd w:val="clear" w:color="auto" w:fill="FFFFFF"/>
        <w:spacing w:line="360" w:lineRule="auto"/>
        <w:jc w:val="both"/>
        <w:rPr>
          <w:rFonts w:ascii="Century Gothic" w:hAnsi="Century Gothic"/>
          <w:sz w:val="24"/>
          <w:szCs w:val="24"/>
        </w:rPr>
      </w:pPr>
    </w:p>
    <w:p w14:paraId="6F4C9E59" w14:textId="4575DB53" w:rsidR="00737CD9" w:rsidRPr="005615F6" w:rsidRDefault="00866EF0"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 xml:space="preserve"> </w:t>
      </w:r>
    </w:p>
    <w:p w14:paraId="1BAB42A6" w14:textId="77777777" w:rsidR="005734A2" w:rsidRPr="005615F6" w:rsidRDefault="005734A2" w:rsidP="005615F6">
      <w:pPr>
        <w:pStyle w:val="Prrafodelista"/>
        <w:shd w:val="clear" w:color="auto" w:fill="FFFFFF"/>
        <w:spacing w:after="0" w:line="360" w:lineRule="auto"/>
        <w:jc w:val="both"/>
        <w:rPr>
          <w:rFonts w:ascii="Century Gothic" w:eastAsia="Arial" w:hAnsi="Century Gothic" w:cs="Arial"/>
          <w:sz w:val="28"/>
          <w:szCs w:val="28"/>
        </w:rPr>
      </w:pPr>
    </w:p>
    <w:p w14:paraId="1428A144" w14:textId="232B0E87" w:rsidR="005734A2" w:rsidRPr="005615F6" w:rsidRDefault="005734A2"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lastRenderedPageBreak/>
        <w:t>E</w:t>
      </w:r>
      <w:r w:rsidR="00866EF0" w:rsidRPr="005615F6">
        <w:rPr>
          <w:rFonts w:ascii="Century Gothic" w:hAnsi="Century Gothic"/>
          <w:sz w:val="24"/>
          <w:szCs w:val="24"/>
        </w:rPr>
        <w:t xml:space="preserve">n el caso de </w:t>
      </w:r>
      <w:r w:rsidRPr="005615F6">
        <w:rPr>
          <w:rFonts w:ascii="Century Gothic" w:hAnsi="Century Gothic"/>
          <w:sz w:val="24"/>
          <w:szCs w:val="24"/>
        </w:rPr>
        <w:t>México</w:t>
      </w:r>
      <w:r w:rsidR="00866EF0" w:rsidRPr="005615F6">
        <w:rPr>
          <w:rFonts w:ascii="Century Gothic" w:hAnsi="Century Gothic"/>
          <w:sz w:val="24"/>
          <w:szCs w:val="24"/>
        </w:rPr>
        <w:t>, el sindicato</w:t>
      </w:r>
      <w:r w:rsidRPr="005615F6">
        <w:rPr>
          <w:rFonts w:ascii="Century Gothic" w:hAnsi="Century Gothic"/>
          <w:sz w:val="24"/>
          <w:szCs w:val="24"/>
        </w:rPr>
        <w:t xml:space="preserve"> es una de las conquistas laborales más importantes</w:t>
      </w:r>
      <w:r w:rsidR="00866EF0" w:rsidRPr="005615F6">
        <w:rPr>
          <w:rFonts w:ascii="Century Gothic" w:hAnsi="Century Gothic"/>
          <w:sz w:val="24"/>
          <w:szCs w:val="24"/>
        </w:rPr>
        <w:t xml:space="preserve">: </w:t>
      </w:r>
      <w:r w:rsidRPr="005615F6">
        <w:rPr>
          <w:rFonts w:ascii="Century Gothic" w:hAnsi="Century Gothic"/>
          <w:sz w:val="24"/>
          <w:szCs w:val="24"/>
        </w:rPr>
        <w:t>gracias a la lucha constante de trabajadores inconformes por las pésimas condiciones que existían en los centros de trabajo que de manera unilateral y arbitraria fijaban los patrones</w:t>
      </w:r>
      <w:r w:rsidR="00866EF0" w:rsidRPr="005615F6">
        <w:rPr>
          <w:rFonts w:ascii="Century Gothic" w:hAnsi="Century Gothic"/>
          <w:sz w:val="24"/>
          <w:szCs w:val="24"/>
        </w:rPr>
        <w:t xml:space="preserve">, </w:t>
      </w:r>
      <w:r w:rsidRPr="005615F6">
        <w:rPr>
          <w:rFonts w:ascii="Century Gothic" w:hAnsi="Century Gothic"/>
          <w:sz w:val="24"/>
          <w:szCs w:val="24"/>
        </w:rPr>
        <w:t>se consagró en la Constitución de 1917.</w:t>
      </w:r>
    </w:p>
    <w:p w14:paraId="45D9125D" w14:textId="77777777" w:rsidR="00866EF0" w:rsidRPr="005615F6" w:rsidRDefault="00866EF0" w:rsidP="005615F6">
      <w:pPr>
        <w:shd w:val="clear" w:color="auto" w:fill="FFFFFF"/>
        <w:spacing w:line="360" w:lineRule="auto"/>
        <w:jc w:val="both"/>
        <w:rPr>
          <w:rFonts w:ascii="Century Gothic" w:hAnsi="Century Gothic"/>
          <w:sz w:val="24"/>
          <w:szCs w:val="24"/>
        </w:rPr>
      </w:pPr>
    </w:p>
    <w:p w14:paraId="4A14127A" w14:textId="2C18E539" w:rsidR="005734A2" w:rsidRPr="005615F6" w:rsidRDefault="00866EF0"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En ese orden de ideas, l</w:t>
      </w:r>
      <w:r w:rsidR="005734A2" w:rsidRPr="005615F6">
        <w:rPr>
          <w:rFonts w:ascii="Century Gothic" w:hAnsi="Century Gothic"/>
          <w:sz w:val="24"/>
          <w:szCs w:val="24"/>
        </w:rPr>
        <w:t xml:space="preserve">a actual Ley Federal del Trabajo establece, entre otros aspectos, que las normas del trabajo tienden a conseguir el equilibrio entre los factores de la producción y la justicia social, así como propiciar el trabajo digno o decente en todas las relaciones laborales, </w:t>
      </w:r>
      <w:r w:rsidRPr="005615F6">
        <w:rPr>
          <w:rFonts w:ascii="Century Gothic" w:hAnsi="Century Gothic"/>
          <w:sz w:val="24"/>
          <w:szCs w:val="24"/>
        </w:rPr>
        <w:t>lo que</w:t>
      </w:r>
      <w:r w:rsidR="005734A2" w:rsidRPr="005615F6">
        <w:rPr>
          <w:rFonts w:ascii="Century Gothic" w:hAnsi="Century Gothic"/>
          <w:sz w:val="24"/>
          <w:szCs w:val="24"/>
        </w:rPr>
        <w:t xml:space="preserve"> incluye el respeto irrestricto a los derechos colectivos de los trabajadores, tales como la libertad de asociación, la autonomía, el derecho de huelga y la negociación colectiva.</w:t>
      </w:r>
    </w:p>
    <w:p w14:paraId="7F15B54C" w14:textId="77777777" w:rsidR="005734A2" w:rsidRPr="005615F6" w:rsidRDefault="005734A2" w:rsidP="005615F6">
      <w:pPr>
        <w:pStyle w:val="Prrafodelista"/>
        <w:spacing w:after="0" w:line="360" w:lineRule="auto"/>
        <w:rPr>
          <w:rFonts w:ascii="Century Gothic" w:eastAsia="Arial" w:hAnsi="Century Gothic" w:cs="Arial"/>
          <w:sz w:val="28"/>
          <w:szCs w:val="28"/>
        </w:rPr>
      </w:pPr>
    </w:p>
    <w:p w14:paraId="7ED922C9" w14:textId="4EA9A69B" w:rsidR="005734A2" w:rsidRPr="005615F6" w:rsidRDefault="00866EF0"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Ahora bien, e</w:t>
      </w:r>
      <w:r w:rsidR="005734A2" w:rsidRPr="005615F6">
        <w:rPr>
          <w:rFonts w:ascii="Century Gothic" w:hAnsi="Century Gothic"/>
          <w:sz w:val="24"/>
          <w:szCs w:val="24"/>
        </w:rPr>
        <w:t>n la esfera del derecho laboral, el sindicato representa una de las figuras más importantes, ya que otorga a la persona trabajadora seguridad en la defensa de sus derechos</w:t>
      </w:r>
      <w:r w:rsidR="00F154BE" w:rsidRPr="005615F6">
        <w:rPr>
          <w:rFonts w:ascii="Century Gothic" w:hAnsi="Century Gothic"/>
          <w:sz w:val="24"/>
          <w:szCs w:val="24"/>
        </w:rPr>
        <w:t>,</w:t>
      </w:r>
      <w:r w:rsidR="005734A2" w:rsidRPr="005615F6">
        <w:rPr>
          <w:rFonts w:ascii="Century Gothic" w:hAnsi="Century Gothic"/>
          <w:sz w:val="24"/>
          <w:szCs w:val="24"/>
        </w:rPr>
        <w:t xml:space="preserve"> la obtención de mejores condiciones de trabajo en la relación obrero patronal</w:t>
      </w:r>
      <w:r w:rsidR="00F154BE" w:rsidRPr="005615F6">
        <w:rPr>
          <w:rFonts w:ascii="Century Gothic" w:hAnsi="Century Gothic"/>
          <w:sz w:val="24"/>
          <w:szCs w:val="24"/>
        </w:rPr>
        <w:t>,</w:t>
      </w:r>
      <w:r w:rsidR="005734A2" w:rsidRPr="005615F6">
        <w:rPr>
          <w:rFonts w:ascii="Century Gothic" w:hAnsi="Century Gothic"/>
          <w:sz w:val="24"/>
          <w:szCs w:val="24"/>
        </w:rPr>
        <w:t xml:space="preserve"> la garantía de libre asociación y la posibilidad de formalizar en un documento sus derechos derivados de la relación de trabajo que la parte patronal está obligada a respetar.</w:t>
      </w:r>
    </w:p>
    <w:p w14:paraId="5D695F60" w14:textId="77777777" w:rsidR="00F154BE" w:rsidRPr="005615F6" w:rsidRDefault="00F154BE" w:rsidP="005615F6">
      <w:pPr>
        <w:shd w:val="clear" w:color="auto" w:fill="FFFFFF"/>
        <w:spacing w:line="360" w:lineRule="auto"/>
        <w:jc w:val="both"/>
        <w:rPr>
          <w:rFonts w:ascii="Century Gothic" w:hAnsi="Century Gothic"/>
          <w:sz w:val="24"/>
          <w:szCs w:val="24"/>
        </w:rPr>
      </w:pPr>
    </w:p>
    <w:p w14:paraId="2442D937" w14:textId="22AF612D" w:rsidR="005734A2" w:rsidRPr="005615F6" w:rsidRDefault="005734A2"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 xml:space="preserve">Es sabido que la figura sindical en México ha tenido </w:t>
      </w:r>
      <w:r w:rsidR="00F154BE" w:rsidRPr="005615F6">
        <w:rPr>
          <w:rFonts w:ascii="Century Gothic" w:hAnsi="Century Gothic"/>
          <w:sz w:val="24"/>
          <w:szCs w:val="24"/>
        </w:rPr>
        <w:t>altibajos</w:t>
      </w:r>
      <w:r w:rsidRPr="005615F6">
        <w:rPr>
          <w:rFonts w:ascii="Century Gothic" w:hAnsi="Century Gothic"/>
          <w:sz w:val="24"/>
          <w:szCs w:val="24"/>
        </w:rPr>
        <w:t xml:space="preserve"> en la historia, asociados con el modelo neoliberal que recrudeció durante casi cuarenta años, sobre todo por las reformas emprendidas a mediados de la década de 1980 para liberalizar el mercado, mismas que socavaron las bases </w:t>
      </w:r>
      <w:r w:rsidRPr="005615F6">
        <w:rPr>
          <w:rFonts w:ascii="Century Gothic" w:hAnsi="Century Gothic"/>
          <w:sz w:val="24"/>
          <w:szCs w:val="24"/>
        </w:rPr>
        <w:lastRenderedPageBreak/>
        <w:t>económicas de la alianza entre el movimiento obrero organizado y la política gobernante.</w:t>
      </w:r>
    </w:p>
    <w:p w14:paraId="3393DE22" w14:textId="77777777" w:rsidR="005734A2" w:rsidRPr="005615F6" w:rsidRDefault="005734A2" w:rsidP="005615F6">
      <w:pPr>
        <w:pStyle w:val="Prrafodelista"/>
        <w:spacing w:after="0" w:line="360" w:lineRule="auto"/>
        <w:rPr>
          <w:rFonts w:ascii="Century Gothic" w:eastAsia="Arial" w:hAnsi="Century Gothic" w:cs="Arial"/>
          <w:sz w:val="28"/>
          <w:szCs w:val="28"/>
        </w:rPr>
      </w:pPr>
    </w:p>
    <w:p w14:paraId="4ABD9F4F" w14:textId="261DE222" w:rsidR="005734A2" w:rsidRPr="005615F6" w:rsidRDefault="005734A2"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 xml:space="preserve">La injerencia del Estado en la organización y funcionamiento de los sindicatos a fin de tener a la clase trabajadora bajo </w:t>
      </w:r>
      <w:r w:rsidR="00F154BE" w:rsidRPr="005615F6">
        <w:rPr>
          <w:rFonts w:ascii="Century Gothic" w:hAnsi="Century Gothic"/>
          <w:sz w:val="24"/>
          <w:szCs w:val="24"/>
        </w:rPr>
        <w:t>condiciones cuestionables,</w:t>
      </w:r>
      <w:r w:rsidRPr="005615F6">
        <w:rPr>
          <w:rFonts w:ascii="Century Gothic" w:hAnsi="Century Gothic"/>
          <w:sz w:val="24"/>
          <w:szCs w:val="24"/>
        </w:rPr>
        <w:t xml:space="preserve"> dio paso a dirigentes sindicales a modo y, por lo tanto, intocables, que estaban al servicio de </w:t>
      </w:r>
      <w:r w:rsidR="00F154BE" w:rsidRPr="005615F6">
        <w:rPr>
          <w:rFonts w:ascii="Century Gothic" w:hAnsi="Century Gothic"/>
          <w:sz w:val="24"/>
          <w:szCs w:val="24"/>
        </w:rPr>
        <w:t>intereses que no siempre correspondían a los de sus</w:t>
      </w:r>
      <w:r w:rsidRPr="005615F6">
        <w:rPr>
          <w:rFonts w:ascii="Century Gothic" w:hAnsi="Century Gothic"/>
          <w:sz w:val="24"/>
          <w:szCs w:val="24"/>
        </w:rPr>
        <w:t xml:space="preserve"> agremiados.</w:t>
      </w:r>
    </w:p>
    <w:p w14:paraId="358AC8D6" w14:textId="77777777" w:rsidR="00F154BE" w:rsidRPr="005615F6" w:rsidRDefault="00F154BE" w:rsidP="005615F6">
      <w:pPr>
        <w:shd w:val="clear" w:color="auto" w:fill="FFFFFF"/>
        <w:spacing w:line="360" w:lineRule="auto"/>
        <w:jc w:val="both"/>
        <w:rPr>
          <w:rFonts w:ascii="Century Gothic" w:hAnsi="Century Gothic"/>
          <w:sz w:val="28"/>
          <w:szCs w:val="28"/>
        </w:rPr>
      </w:pPr>
    </w:p>
    <w:p w14:paraId="6BBD83F5" w14:textId="01ADE867" w:rsidR="005734A2" w:rsidRPr="005615F6" w:rsidRDefault="005734A2"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Prueba de</w:t>
      </w:r>
      <w:r w:rsidR="00F154BE" w:rsidRPr="005615F6">
        <w:rPr>
          <w:rFonts w:ascii="Century Gothic" w:hAnsi="Century Gothic"/>
          <w:sz w:val="24"/>
          <w:szCs w:val="24"/>
        </w:rPr>
        <w:t xml:space="preserve"> lo anterior</w:t>
      </w:r>
      <w:r w:rsidRPr="005615F6">
        <w:rPr>
          <w:rFonts w:ascii="Century Gothic" w:hAnsi="Century Gothic"/>
          <w:sz w:val="24"/>
          <w:szCs w:val="24"/>
        </w:rPr>
        <w:t xml:space="preserve"> es el salario mínimo insuficiente y precarizado, justificado por el mito de que, si aumentaba, como consecuencia aumentaría la inflación, lo que traería repercusiones negativas a la economía nacional.</w:t>
      </w:r>
    </w:p>
    <w:p w14:paraId="07B977DC" w14:textId="7137EE7D" w:rsidR="00F154BE" w:rsidRPr="005615F6" w:rsidRDefault="00F154BE" w:rsidP="005615F6">
      <w:pPr>
        <w:shd w:val="clear" w:color="auto" w:fill="FFFFFF"/>
        <w:spacing w:line="360" w:lineRule="auto"/>
        <w:jc w:val="both"/>
        <w:rPr>
          <w:rFonts w:ascii="Century Gothic" w:hAnsi="Century Gothic"/>
          <w:sz w:val="24"/>
          <w:szCs w:val="24"/>
        </w:rPr>
      </w:pPr>
    </w:p>
    <w:p w14:paraId="09C531C2" w14:textId="3BFC9A9B" w:rsidR="00F154BE" w:rsidRPr="005615F6" w:rsidRDefault="00F154BE"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 xml:space="preserve">Sin embargo, la política de transformación nacional ha desmentido esto a través de una política laboral que comprendió </w:t>
      </w:r>
      <w:r w:rsidR="005075D3" w:rsidRPr="005615F6">
        <w:rPr>
          <w:rFonts w:ascii="Century Gothic" w:hAnsi="Century Gothic"/>
          <w:sz w:val="24"/>
          <w:szCs w:val="24"/>
        </w:rPr>
        <w:t xml:space="preserve">tres aspectos fundamentales: </w:t>
      </w:r>
    </w:p>
    <w:p w14:paraId="0AE98A5B" w14:textId="77777777" w:rsidR="005734A2" w:rsidRPr="005615F6" w:rsidRDefault="005734A2" w:rsidP="005615F6">
      <w:pPr>
        <w:shd w:val="clear" w:color="auto" w:fill="FFFFFF"/>
        <w:spacing w:line="360" w:lineRule="auto"/>
        <w:jc w:val="both"/>
        <w:rPr>
          <w:rFonts w:ascii="Century Gothic" w:hAnsi="Century Gothic"/>
          <w:sz w:val="28"/>
          <w:szCs w:val="28"/>
        </w:rPr>
      </w:pPr>
      <w:bookmarkStart w:id="2" w:name="_Hlk176632269"/>
    </w:p>
    <w:p w14:paraId="3C6D6D98" w14:textId="77777777" w:rsidR="005734A2" w:rsidRPr="005615F6" w:rsidRDefault="005734A2" w:rsidP="005615F6">
      <w:pPr>
        <w:pStyle w:val="Prrafodelista"/>
        <w:numPr>
          <w:ilvl w:val="0"/>
          <w:numId w:val="2"/>
        </w:numPr>
        <w:shd w:val="clear" w:color="auto" w:fill="FFFFFF"/>
        <w:spacing w:after="0" w:line="360" w:lineRule="auto"/>
        <w:jc w:val="both"/>
        <w:rPr>
          <w:rFonts w:ascii="Century Gothic" w:eastAsia="Arial" w:hAnsi="Century Gothic" w:cs="Arial"/>
          <w:sz w:val="24"/>
          <w:szCs w:val="24"/>
        </w:rPr>
      </w:pPr>
      <w:r w:rsidRPr="005615F6">
        <w:rPr>
          <w:rFonts w:ascii="Century Gothic" w:eastAsia="Arial" w:hAnsi="Century Gothic" w:cs="Arial"/>
          <w:sz w:val="24"/>
          <w:szCs w:val="24"/>
        </w:rPr>
        <w:t>Aumento del salario mínimo, a fin de que la fijación anual de los salarios mínimos, o la revisión de estos, nunca estará por debajo de la inflación observada durante el periodo de su vigencia transcurrido.</w:t>
      </w:r>
      <w:bookmarkEnd w:id="2"/>
    </w:p>
    <w:p w14:paraId="4D124453" w14:textId="77777777" w:rsidR="005734A2" w:rsidRPr="005615F6" w:rsidRDefault="005734A2" w:rsidP="005615F6">
      <w:pPr>
        <w:pStyle w:val="Prrafodelista"/>
        <w:shd w:val="clear" w:color="auto" w:fill="FFFFFF"/>
        <w:spacing w:after="0" w:line="360" w:lineRule="auto"/>
        <w:ind w:left="1068"/>
        <w:jc w:val="both"/>
        <w:rPr>
          <w:rFonts w:ascii="Century Gothic" w:eastAsia="Arial" w:hAnsi="Century Gothic" w:cs="Arial"/>
          <w:sz w:val="24"/>
          <w:szCs w:val="24"/>
        </w:rPr>
      </w:pPr>
    </w:p>
    <w:p w14:paraId="50D3F167" w14:textId="77777777" w:rsidR="005734A2" w:rsidRPr="005615F6" w:rsidRDefault="005734A2" w:rsidP="005615F6">
      <w:pPr>
        <w:pStyle w:val="Prrafodelista"/>
        <w:numPr>
          <w:ilvl w:val="0"/>
          <w:numId w:val="2"/>
        </w:numPr>
        <w:shd w:val="clear" w:color="auto" w:fill="FFFFFF"/>
        <w:spacing w:after="0" w:line="360" w:lineRule="auto"/>
        <w:jc w:val="both"/>
        <w:rPr>
          <w:rFonts w:ascii="Century Gothic" w:eastAsia="Arial" w:hAnsi="Century Gothic" w:cs="Arial"/>
          <w:sz w:val="24"/>
          <w:szCs w:val="24"/>
        </w:rPr>
      </w:pPr>
      <w:r w:rsidRPr="005615F6">
        <w:rPr>
          <w:rFonts w:ascii="Century Gothic" w:eastAsia="Arial" w:hAnsi="Century Gothic" w:cs="Arial"/>
          <w:sz w:val="24"/>
          <w:szCs w:val="24"/>
        </w:rPr>
        <w:t>Prohibición del Outsourcing (subcontratación), a fin de salvaguardar los derechos laborales y a la seguridad social de las y los trabajadores.</w:t>
      </w:r>
    </w:p>
    <w:p w14:paraId="6DE0E0AB" w14:textId="77777777" w:rsidR="005734A2" w:rsidRPr="005615F6" w:rsidRDefault="005734A2" w:rsidP="005615F6">
      <w:pPr>
        <w:pStyle w:val="Prrafodelista"/>
        <w:shd w:val="clear" w:color="auto" w:fill="FFFFFF"/>
        <w:spacing w:after="0" w:line="360" w:lineRule="auto"/>
        <w:ind w:left="1068"/>
        <w:jc w:val="both"/>
        <w:rPr>
          <w:rFonts w:ascii="Century Gothic" w:eastAsia="Arial" w:hAnsi="Century Gothic" w:cs="Arial"/>
          <w:sz w:val="24"/>
          <w:szCs w:val="24"/>
        </w:rPr>
      </w:pPr>
    </w:p>
    <w:p w14:paraId="671801AC" w14:textId="77777777" w:rsidR="005734A2" w:rsidRPr="005615F6" w:rsidRDefault="005734A2" w:rsidP="005615F6">
      <w:pPr>
        <w:pStyle w:val="Prrafodelista"/>
        <w:numPr>
          <w:ilvl w:val="0"/>
          <w:numId w:val="2"/>
        </w:numPr>
        <w:shd w:val="clear" w:color="auto" w:fill="FFFFFF"/>
        <w:spacing w:after="0" w:line="360" w:lineRule="auto"/>
        <w:jc w:val="both"/>
        <w:rPr>
          <w:rFonts w:ascii="Century Gothic" w:eastAsia="Arial" w:hAnsi="Century Gothic" w:cs="Arial"/>
          <w:sz w:val="24"/>
          <w:szCs w:val="24"/>
        </w:rPr>
      </w:pPr>
      <w:r w:rsidRPr="005615F6">
        <w:rPr>
          <w:rFonts w:ascii="Century Gothic" w:eastAsia="Arial" w:hAnsi="Century Gothic" w:cs="Arial"/>
          <w:sz w:val="24"/>
          <w:szCs w:val="24"/>
        </w:rPr>
        <w:t>Democratización y libertad sindical, a efecto de garantizar el derecho a la libre sindicación.</w:t>
      </w:r>
    </w:p>
    <w:p w14:paraId="1F04FF93" w14:textId="77777777" w:rsidR="005734A2" w:rsidRPr="005615F6" w:rsidRDefault="005734A2" w:rsidP="005615F6">
      <w:pPr>
        <w:pStyle w:val="Prrafodelista"/>
        <w:shd w:val="clear" w:color="auto" w:fill="FFFFFF"/>
        <w:spacing w:after="0" w:line="360" w:lineRule="auto"/>
        <w:jc w:val="both"/>
        <w:rPr>
          <w:rFonts w:ascii="Century Gothic" w:eastAsia="Arial" w:hAnsi="Century Gothic" w:cs="Arial"/>
          <w:sz w:val="28"/>
          <w:szCs w:val="28"/>
        </w:rPr>
      </w:pPr>
    </w:p>
    <w:p w14:paraId="1DCD66F2" w14:textId="6A9C8AB0" w:rsidR="005734A2" w:rsidRPr="005615F6" w:rsidRDefault="005734A2"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E</w:t>
      </w:r>
      <w:r w:rsidR="005075D3" w:rsidRPr="005615F6">
        <w:rPr>
          <w:rFonts w:ascii="Century Gothic" w:hAnsi="Century Gothic"/>
          <w:sz w:val="24"/>
          <w:szCs w:val="24"/>
        </w:rPr>
        <w:t>s así que, desde la payasada administración a la fecha, l</w:t>
      </w:r>
      <w:r w:rsidRPr="005615F6">
        <w:rPr>
          <w:rFonts w:ascii="Century Gothic" w:hAnsi="Century Gothic"/>
          <w:sz w:val="24"/>
          <w:szCs w:val="24"/>
        </w:rPr>
        <w:t>a Cuarta Transformación aumentó el salario mínimo, lo que rompió varios mitos y dogmas económicos, convirtiéndose en el centro de la política laboral, cuyo fin no fue únicamente ganar un salario digno, sino asegurar el acceso al bienestar individual y colectivo.</w:t>
      </w:r>
    </w:p>
    <w:p w14:paraId="6BF322C2" w14:textId="77777777" w:rsidR="005734A2" w:rsidRPr="005615F6" w:rsidRDefault="005734A2" w:rsidP="005615F6">
      <w:pPr>
        <w:pStyle w:val="Prrafodelista"/>
        <w:shd w:val="clear" w:color="auto" w:fill="FFFFFF"/>
        <w:spacing w:after="0" w:line="360" w:lineRule="auto"/>
        <w:jc w:val="both"/>
        <w:rPr>
          <w:rFonts w:ascii="Century Gothic" w:eastAsia="Arial" w:hAnsi="Century Gothic" w:cs="Arial"/>
          <w:sz w:val="28"/>
          <w:szCs w:val="28"/>
        </w:rPr>
      </w:pPr>
    </w:p>
    <w:p w14:paraId="69896C4D" w14:textId="684F813A" w:rsidR="005734A2" w:rsidRPr="005615F6" w:rsidRDefault="005734A2"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E</w:t>
      </w:r>
      <w:r w:rsidR="005075D3" w:rsidRPr="005615F6">
        <w:rPr>
          <w:rFonts w:ascii="Century Gothic" w:hAnsi="Century Gothic"/>
          <w:sz w:val="24"/>
          <w:szCs w:val="24"/>
        </w:rPr>
        <w:t>n ese orden de ideas, el</w:t>
      </w:r>
      <w:r w:rsidRPr="005615F6">
        <w:rPr>
          <w:rFonts w:ascii="Century Gothic" w:hAnsi="Century Gothic"/>
          <w:sz w:val="24"/>
          <w:szCs w:val="24"/>
        </w:rPr>
        <w:t xml:space="preserve"> salario mínimo es una de las políticas más exitosas de la Cuarta Transformación</w:t>
      </w:r>
      <w:r w:rsidR="005075D3" w:rsidRPr="005615F6">
        <w:rPr>
          <w:rFonts w:ascii="Century Gothic" w:hAnsi="Century Gothic"/>
          <w:sz w:val="24"/>
          <w:szCs w:val="24"/>
        </w:rPr>
        <w:t xml:space="preserve">: </w:t>
      </w:r>
      <w:r w:rsidRPr="005615F6">
        <w:rPr>
          <w:rFonts w:ascii="Century Gothic" w:hAnsi="Century Gothic"/>
          <w:sz w:val="24"/>
          <w:szCs w:val="24"/>
        </w:rPr>
        <w:t>los aumentos representan un incremento de 154% en el poder adquisitivo de 2018 a 2026</w:t>
      </w:r>
      <w:r w:rsidR="005075D3" w:rsidRPr="005615F6">
        <w:rPr>
          <w:rFonts w:ascii="Century Gothic" w:hAnsi="Century Gothic"/>
          <w:sz w:val="24"/>
          <w:szCs w:val="24"/>
        </w:rPr>
        <w:t>, y d</w:t>
      </w:r>
      <w:r w:rsidRPr="005615F6">
        <w:rPr>
          <w:rFonts w:ascii="Century Gothic" w:hAnsi="Century Gothic"/>
          <w:sz w:val="24"/>
          <w:szCs w:val="24"/>
        </w:rPr>
        <w:t>e acuerdo con el Banco Mundial, la mejora en el ingreso de los trabajadores y el aumento en el universo de personas que tienen empleo impulsó a 9.5 millones de mexicanos y mexicanas a salir de la pobreza entre 2018 y 2024, una cifra que no tiene precedente para un periodo de seis años.</w:t>
      </w:r>
    </w:p>
    <w:p w14:paraId="580CC1AE" w14:textId="77777777" w:rsidR="005734A2" w:rsidRPr="005615F6" w:rsidRDefault="005734A2" w:rsidP="005615F6">
      <w:pPr>
        <w:pStyle w:val="Prrafodelista"/>
        <w:spacing w:line="360" w:lineRule="auto"/>
        <w:rPr>
          <w:rFonts w:ascii="Century Gothic" w:eastAsia="Arial" w:hAnsi="Century Gothic" w:cs="Arial"/>
          <w:sz w:val="28"/>
          <w:szCs w:val="28"/>
        </w:rPr>
      </w:pPr>
    </w:p>
    <w:p w14:paraId="7C6F05C7" w14:textId="103500C0" w:rsidR="005734A2" w:rsidRPr="005615F6" w:rsidRDefault="005734A2"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Es de resaltar que el Banco Mundial sostuvo que los cambios en el mercado laboral impulsaron la reducción de la pobreza</w:t>
      </w:r>
      <w:r w:rsidR="005075D3" w:rsidRPr="005615F6">
        <w:rPr>
          <w:rFonts w:ascii="Century Gothic" w:hAnsi="Century Gothic"/>
          <w:sz w:val="24"/>
          <w:szCs w:val="24"/>
        </w:rPr>
        <w:t>;</w:t>
      </w:r>
      <w:r w:rsidRPr="005615F6">
        <w:rPr>
          <w:rFonts w:ascii="Century Gothic" w:hAnsi="Century Gothic"/>
          <w:sz w:val="24"/>
          <w:szCs w:val="24"/>
        </w:rPr>
        <w:t xml:space="preserve"> Por una parte, el ingreso real per cápita, ajustado por el costo de la canasta alimentaria, creció 8.2% entre el cuarto trimestre de 2022 y el mismo periodo de 2023, avance al que se sumó la reducción de la tasa de desempleo de 3.7 a 2.7% en el periodo analizado, al tiempo que la tasa de informalidad bajó de 55.8 a 54.8% y la de participación subió de 59.7 a 60.5%.</w:t>
      </w:r>
    </w:p>
    <w:p w14:paraId="4A3D8DC4" w14:textId="77777777" w:rsidR="005734A2" w:rsidRPr="005615F6" w:rsidRDefault="005734A2" w:rsidP="005615F6">
      <w:pPr>
        <w:spacing w:line="360" w:lineRule="auto"/>
        <w:jc w:val="both"/>
        <w:rPr>
          <w:rFonts w:ascii="Century Gothic" w:hAnsi="Century Gothic"/>
          <w:sz w:val="28"/>
          <w:szCs w:val="28"/>
        </w:rPr>
      </w:pPr>
      <w:r w:rsidRPr="005615F6">
        <w:rPr>
          <w:rFonts w:ascii="Century Gothic" w:hAnsi="Century Gothic"/>
          <w:sz w:val="28"/>
          <w:szCs w:val="28"/>
        </w:rPr>
        <w:br w:type="page"/>
      </w:r>
    </w:p>
    <w:p w14:paraId="36747664" w14:textId="0E9E59D0" w:rsidR="005734A2" w:rsidRPr="005615F6" w:rsidRDefault="005734A2"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lastRenderedPageBreak/>
        <w:t xml:space="preserve">Es de precisar que </w:t>
      </w:r>
      <w:r w:rsidR="005075D3" w:rsidRPr="005615F6">
        <w:rPr>
          <w:rFonts w:ascii="Century Gothic" w:hAnsi="Century Gothic"/>
          <w:sz w:val="24"/>
          <w:szCs w:val="24"/>
        </w:rPr>
        <w:t>e</w:t>
      </w:r>
      <w:r w:rsidRPr="005615F6">
        <w:rPr>
          <w:rFonts w:ascii="Century Gothic" w:hAnsi="Century Gothic"/>
          <w:sz w:val="24"/>
          <w:szCs w:val="24"/>
        </w:rPr>
        <w:t>n 2023 se observaron mínimos históricos en la tasa de desempleo, informalidad y pobreza laboral</w:t>
      </w:r>
      <w:r w:rsidR="005075D3" w:rsidRPr="005615F6">
        <w:rPr>
          <w:rFonts w:ascii="Century Gothic" w:hAnsi="Century Gothic"/>
          <w:sz w:val="24"/>
          <w:szCs w:val="24"/>
        </w:rPr>
        <w:t xml:space="preserve">, sin dejar de lado que </w:t>
      </w:r>
      <w:r w:rsidRPr="005615F6">
        <w:rPr>
          <w:rFonts w:ascii="Century Gothic" w:hAnsi="Century Gothic"/>
          <w:sz w:val="24"/>
          <w:szCs w:val="24"/>
        </w:rPr>
        <w:t>no debemos soslayar que se redujo la brecha de género por ingreso en 25% y el salario promedio del sector formal del país ha crecido al menos 24.8%.</w:t>
      </w:r>
    </w:p>
    <w:p w14:paraId="6BE82CFE" w14:textId="45130176" w:rsidR="005075D3" w:rsidRPr="005615F6" w:rsidRDefault="005075D3" w:rsidP="005615F6">
      <w:pPr>
        <w:shd w:val="clear" w:color="auto" w:fill="FFFFFF"/>
        <w:spacing w:line="360" w:lineRule="auto"/>
        <w:jc w:val="both"/>
        <w:rPr>
          <w:rFonts w:ascii="Century Gothic" w:hAnsi="Century Gothic"/>
          <w:sz w:val="24"/>
          <w:szCs w:val="24"/>
        </w:rPr>
      </w:pPr>
    </w:p>
    <w:p w14:paraId="589D342B" w14:textId="21808B58" w:rsidR="005734A2" w:rsidRPr="005615F6" w:rsidRDefault="005075D3"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 xml:space="preserve">Ahora bien, </w:t>
      </w:r>
      <w:r w:rsidR="005734A2" w:rsidRPr="005615F6">
        <w:rPr>
          <w:rFonts w:ascii="Century Gothic" w:hAnsi="Century Gothic"/>
          <w:sz w:val="24"/>
          <w:szCs w:val="24"/>
        </w:rPr>
        <w:t>la primera presidenta de México se ha comprometido a que</w:t>
      </w:r>
      <w:r w:rsidRPr="005615F6">
        <w:rPr>
          <w:rFonts w:ascii="Century Gothic" w:hAnsi="Century Gothic"/>
          <w:sz w:val="24"/>
          <w:szCs w:val="24"/>
        </w:rPr>
        <w:t>,</w:t>
      </w:r>
      <w:r w:rsidR="005734A2" w:rsidRPr="005615F6">
        <w:rPr>
          <w:rFonts w:ascii="Century Gothic" w:hAnsi="Century Gothic"/>
          <w:sz w:val="24"/>
          <w:szCs w:val="24"/>
        </w:rPr>
        <w:t xml:space="preserve"> en 2026 el salario mínimo a nivel nacional sea suficiente para satisfacer las necesidades más básicas de una familia mexicana </w:t>
      </w:r>
      <w:r w:rsidRPr="005615F6">
        <w:rPr>
          <w:rFonts w:ascii="Century Gothic" w:hAnsi="Century Gothic"/>
          <w:sz w:val="24"/>
          <w:szCs w:val="24"/>
        </w:rPr>
        <w:t>y</w:t>
      </w:r>
      <w:r w:rsidR="005734A2" w:rsidRPr="005615F6">
        <w:rPr>
          <w:rFonts w:ascii="Century Gothic" w:hAnsi="Century Gothic"/>
          <w:sz w:val="24"/>
          <w:szCs w:val="24"/>
        </w:rPr>
        <w:t xml:space="preserve"> fijó como meta para 2030</w:t>
      </w:r>
      <w:r w:rsidRPr="005615F6">
        <w:rPr>
          <w:rFonts w:ascii="Century Gothic" w:hAnsi="Century Gothic"/>
          <w:sz w:val="24"/>
          <w:szCs w:val="24"/>
        </w:rPr>
        <w:t>,</w:t>
      </w:r>
      <w:r w:rsidR="005734A2" w:rsidRPr="005615F6">
        <w:rPr>
          <w:rFonts w:ascii="Century Gothic" w:hAnsi="Century Gothic"/>
          <w:sz w:val="24"/>
          <w:szCs w:val="24"/>
        </w:rPr>
        <w:t xml:space="preserve"> que el salario mínimo alcance el máximo histórico desde 1976, recuperando así todo el poder adquisitivo que se perdió durante el periodo neoliberal, siendo el más alto en la historia de México, ya que representará alrededor de 2.5 canastas básicas.</w:t>
      </w:r>
    </w:p>
    <w:p w14:paraId="21E73994" w14:textId="77777777" w:rsidR="005734A2" w:rsidRPr="005615F6" w:rsidRDefault="005734A2" w:rsidP="005615F6">
      <w:pPr>
        <w:pStyle w:val="Prrafodelista"/>
        <w:spacing w:line="360" w:lineRule="auto"/>
        <w:rPr>
          <w:rFonts w:ascii="Century Gothic" w:eastAsia="Arial" w:hAnsi="Century Gothic" w:cs="Arial"/>
          <w:sz w:val="28"/>
          <w:szCs w:val="28"/>
        </w:rPr>
      </w:pPr>
    </w:p>
    <w:p w14:paraId="3E98A215" w14:textId="01B230B9" w:rsidR="005734A2" w:rsidRPr="005615F6" w:rsidRDefault="005075D3"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Por otra parte, e</w:t>
      </w:r>
      <w:r w:rsidR="005734A2" w:rsidRPr="005615F6">
        <w:rPr>
          <w:rFonts w:ascii="Century Gothic" w:hAnsi="Century Gothic"/>
          <w:sz w:val="24"/>
          <w:szCs w:val="24"/>
        </w:rPr>
        <w:t>l principal objetivo de la reforma para prohibir la subcontratación (</w:t>
      </w:r>
      <w:r w:rsidR="005734A2" w:rsidRPr="005615F6">
        <w:rPr>
          <w:rFonts w:ascii="Century Gothic" w:hAnsi="Century Gothic"/>
          <w:i/>
          <w:iCs/>
          <w:sz w:val="24"/>
          <w:szCs w:val="24"/>
        </w:rPr>
        <w:t>outsourcing</w:t>
      </w:r>
      <w:r w:rsidR="005734A2" w:rsidRPr="005615F6">
        <w:rPr>
          <w:rFonts w:ascii="Century Gothic" w:hAnsi="Century Gothic"/>
          <w:sz w:val="24"/>
          <w:szCs w:val="24"/>
        </w:rPr>
        <w:t>) fue poner fin a los esquemas abusivos que utilizaron algunas empresas en detrimento de los derechos laborales de las y los trabajadores, que afectaban, entre otros aspectos, sus pensiones, estabilidad laboral, pago de utilidades e indemnizaciones, así como la posibilidad de obtener créditos para adquirir una vivienda.</w:t>
      </w:r>
    </w:p>
    <w:p w14:paraId="33894863" w14:textId="77777777" w:rsidR="00617A54" w:rsidRDefault="00617A54" w:rsidP="00617A54">
      <w:pPr>
        <w:spacing w:line="360" w:lineRule="auto"/>
        <w:jc w:val="both"/>
        <w:rPr>
          <w:rFonts w:ascii="Century Gothic" w:hAnsi="Century Gothic"/>
          <w:sz w:val="28"/>
          <w:szCs w:val="28"/>
        </w:rPr>
      </w:pPr>
    </w:p>
    <w:p w14:paraId="0045A448" w14:textId="661E4D53" w:rsidR="005734A2" w:rsidRPr="00617A54" w:rsidRDefault="005734A2" w:rsidP="00617A54">
      <w:pPr>
        <w:spacing w:line="360" w:lineRule="auto"/>
        <w:jc w:val="both"/>
        <w:rPr>
          <w:rFonts w:ascii="Century Gothic" w:hAnsi="Century Gothic"/>
          <w:sz w:val="28"/>
          <w:szCs w:val="28"/>
        </w:rPr>
      </w:pPr>
      <w:r w:rsidRPr="005615F6">
        <w:rPr>
          <w:rFonts w:ascii="Century Gothic" w:hAnsi="Century Gothic"/>
          <w:sz w:val="24"/>
          <w:szCs w:val="24"/>
        </w:rPr>
        <w:t xml:space="preserve">Esta injusta práctica también impactó negativamente a las empresas que sí cumplían con todas y cada una de sus obligaciones, tanto laborales como fiscales, ocasionando una competencia desleal por parte de las que no cumplían o evadían impuestos, lo que derivó en otras prácticas ilícitas, como el lavado de dinero, ya que a través de dichas empresas se creaban las </w:t>
      </w:r>
      <w:proofErr w:type="spellStart"/>
      <w:r w:rsidRPr="005615F6">
        <w:rPr>
          <w:rFonts w:ascii="Century Gothic" w:hAnsi="Century Gothic"/>
          <w:i/>
          <w:iCs/>
          <w:sz w:val="24"/>
          <w:szCs w:val="24"/>
        </w:rPr>
        <w:lastRenderedPageBreak/>
        <w:t>factureras</w:t>
      </w:r>
      <w:proofErr w:type="spellEnd"/>
      <w:r w:rsidRPr="005615F6">
        <w:rPr>
          <w:rFonts w:ascii="Century Gothic" w:hAnsi="Century Gothic"/>
          <w:sz w:val="24"/>
          <w:szCs w:val="24"/>
        </w:rPr>
        <w:t xml:space="preserve"> que evaden el pago de contribuciones y cuotas de seguridad social.</w:t>
      </w:r>
    </w:p>
    <w:p w14:paraId="0ABC1ADA" w14:textId="77777777" w:rsidR="005734A2" w:rsidRPr="005615F6" w:rsidRDefault="005734A2" w:rsidP="005615F6">
      <w:pPr>
        <w:pStyle w:val="Prrafodelista"/>
        <w:shd w:val="clear" w:color="auto" w:fill="FFFFFF"/>
        <w:spacing w:after="0" w:line="360" w:lineRule="auto"/>
        <w:jc w:val="both"/>
        <w:rPr>
          <w:rFonts w:ascii="Century Gothic" w:eastAsia="Arial" w:hAnsi="Century Gothic" w:cs="Arial"/>
          <w:sz w:val="28"/>
          <w:szCs w:val="28"/>
        </w:rPr>
      </w:pPr>
    </w:p>
    <w:p w14:paraId="6D5EE11D" w14:textId="77777777" w:rsidR="005734A2" w:rsidRPr="005615F6" w:rsidRDefault="005734A2"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Debido a lo anterior, se fortalecieron otras acciones de las autoridades con el propósito de desalentar las prácticas ilegales, lo que permitió establecer un piso parejo para que las empresas cumplieran con sus obligaciones.</w:t>
      </w:r>
    </w:p>
    <w:p w14:paraId="6BEF07A6" w14:textId="77777777" w:rsidR="005734A2" w:rsidRPr="005615F6" w:rsidRDefault="005734A2" w:rsidP="005615F6">
      <w:pPr>
        <w:shd w:val="clear" w:color="auto" w:fill="FFFFFF"/>
        <w:spacing w:line="360" w:lineRule="auto"/>
        <w:ind w:left="708"/>
        <w:jc w:val="both"/>
        <w:rPr>
          <w:rFonts w:ascii="Century Gothic" w:hAnsi="Century Gothic"/>
          <w:sz w:val="24"/>
          <w:szCs w:val="24"/>
        </w:rPr>
      </w:pPr>
    </w:p>
    <w:p w14:paraId="4C055DB8" w14:textId="77777777" w:rsidR="005734A2" w:rsidRPr="005615F6" w:rsidRDefault="005734A2"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Es de recordar que el 1° de mayo de 2019 se publicó en el Diario Oficial de la Federación el Decreto por el que se reforman, adicionan y derogan diversas disposiciones de la Ley Federal del Trabajo en materia sindical, una reforma amplia, histórica y profunda, centrada en cuatro grandes tópicos:</w:t>
      </w:r>
    </w:p>
    <w:p w14:paraId="04E943C6" w14:textId="77777777" w:rsidR="005734A2" w:rsidRPr="005615F6" w:rsidRDefault="005734A2" w:rsidP="005615F6">
      <w:pPr>
        <w:pStyle w:val="Prrafodelista"/>
        <w:shd w:val="clear" w:color="auto" w:fill="FFFFFF"/>
        <w:spacing w:after="0" w:line="360" w:lineRule="auto"/>
        <w:jc w:val="both"/>
        <w:rPr>
          <w:rFonts w:ascii="Century Gothic" w:eastAsia="Arial" w:hAnsi="Century Gothic" w:cs="Arial"/>
          <w:sz w:val="24"/>
          <w:szCs w:val="24"/>
        </w:rPr>
      </w:pPr>
    </w:p>
    <w:p w14:paraId="03D9B3F0" w14:textId="77777777" w:rsidR="005734A2" w:rsidRPr="005615F6" w:rsidRDefault="005734A2" w:rsidP="005615F6">
      <w:pPr>
        <w:pStyle w:val="Prrafodelista"/>
        <w:numPr>
          <w:ilvl w:val="0"/>
          <w:numId w:val="4"/>
        </w:numPr>
        <w:shd w:val="clear" w:color="auto" w:fill="FFFFFF"/>
        <w:spacing w:after="0" w:line="360" w:lineRule="auto"/>
        <w:jc w:val="both"/>
        <w:rPr>
          <w:rFonts w:ascii="Century Gothic" w:eastAsia="Arial" w:hAnsi="Century Gothic" w:cs="Arial"/>
          <w:sz w:val="24"/>
          <w:szCs w:val="24"/>
        </w:rPr>
      </w:pPr>
      <w:r w:rsidRPr="005615F6">
        <w:rPr>
          <w:rFonts w:ascii="Century Gothic" w:eastAsia="Arial" w:hAnsi="Century Gothic" w:cs="Arial"/>
          <w:sz w:val="24"/>
          <w:szCs w:val="24"/>
        </w:rPr>
        <w:t>Libertad y democracia sindical, para garantizar el derecho de libre afiliación, la autonomía de los sindicatos y la prohibición de todo acto de injerencia en su vida interna, así como establecer procedimientos democráticos para garantizar la representatividad sindical y la negociación colectiva auténtica.</w:t>
      </w:r>
    </w:p>
    <w:p w14:paraId="51D8A9B8" w14:textId="77777777" w:rsidR="005734A2" w:rsidRPr="005615F6" w:rsidRDefault="005734A2" w:rsidP="005615F6">
      <w:pPr>
        <w:pStyle w:val="Prrafodelista"/>
        <w:shd w:val="clear" w:color="auto" w:fill="FFFFFF"/>
        <w:spacing w:after="0" w:line="360" w:lineRule="auto"/>
        <w:ind w:left="1068"/>
        <w:jc w:val="both"/>
        <w:rPr>
          <w:rFonts w:ascii="Century Gothic" w:eastAsia="Arial" w:hAnsi="Century Gothic" w:cs="Arial"/>
          <w:sz w:val="24"/>
          <w:szCs w:val="24"/>
        </w:rPr>
      </w:pPr>
    </w:p>
    <w:p w14:paraId="29F3ED57" w14:textId="6064F37D" w:rsidR="00AB5FC7" w:rsidRPr="005615F6" w:rsidRDefault="005734A2" w:rsidP="005615F6">
      <w:pPr>
        <w:pStyle w:val="Prrafodelista"/>
        <w:numPr>
          <w:ilvl w:val="0"/>
          <w:numId w:val="4"/>
        </w:numPr>
        <w:shd w:val="clear" w:color="auto" w:fill="FFFFFF"/>
        <w:spacing w:after="0" w:line="360" w:lineRule="auto"/>
        <w:jc w:val="both"/>
        <w:rPr>
          <w:rFonts w:ascii="Century Gothic" w:eastAsia="Arial" w:hAnsi="Century Gothic" w:cs="Arial"/>
          <w:sz w:val="24"/>
          <w:szCs w:val="24"/>
        </w:rPr>
      </w:pPr>
      <w:r w:rsidRPr="005615F6">
        <w:rPr>
          <w:rFonts w:ascii="Century Gothic" w:eastAsia="Arial" w:hAnsi="Century Gothic" w:cs="Arial"/>
          <w:sz w:val="24"/>
          <w:szCs w:val="24"/>
        </w:rPr>
        <w:t xml:space="preserve">Justicia laboral expedita, a fin de crear una etapa de conciliación obligatoria, para lo cual se establecieron juicios laborales más ágiles, en presencia de un juez, privilegiando los principios procesales de </w:t>
      </w:r>
      <w:r w:rsidR="00AB5FC7" w:rsidRPr="005615F6">
        <w:rPr>
          <w:rFonts w:ascii="Century Gothic" w:eastAsia="Arial" w:hAnsi="Century Gothic" w:cs="Arial"/>
          <w:sz w:val="24"/>
          <w:szCs w:val="24"/>
        </w:rPr>
        <w:t>oralidad</w:t>
      </w:r>
      <w:r w:rsidRPr="005615F6">
        <w:rPr>
          <w:rFonts w:ascii="Century Gothic" w:eastAsia="Arial" w:hAnsi="Century Gothic" w:cs="Arial"/>
          <w:sz w:val="24"/>
          <w:szCs w:val="24"/>
        </w:rPr>
        <w:t>, inmediación, continuidad, concentración y publicidad.</w:t>
      </w:r>
    </w:p>
    <w:p w14:paraId="0DE4FC73" w14:textId="77777777" w:rsidR="00AB5FC7" w:rsidRPr="005615F6" w:rsidRDefault="00AB5FC7" w:rsidP="005615F6">
      <w:pPr>
        <w:pStyle w:val="Prrafodelista"/>
        <w:spacing w:line="360" w:lineRule="auto"/>
        <w:rPr>
          <w:rFonts w:ascii="Century Gothic" w:hAnsi="Century Gothic"/>
          <w:sz w:val="24"/>
          <w:szCs w:val="24"/>
        </w:rPr>
      </w:pPr>
    </w:p>
    <w:p w14:paraId="2102892A" w14:textId="77777777" w:rsidR="00617A54" w:rsidRPr="00617A54" w:rsidRDefault="005734A2" w:rsidP="005615F6">
      <w:pPr>
        <w:pStyle w:val="Prrafodelista"/>
        <w:numPr>
          <w:ilvl w:val="0"/>
          <w:numId w:val="4"/>
        </w:numPr>
        <w:shd w:val="clear" w:color="auto" w:fill="FFFFFF"/>
        <w:spacing w:after="0" w:line="360" w:lineRule="auto"/>
        <w:jc w:val="both"/>
        <w:rPr>
          <w:rFonts w:ascii="Century Gothic" w:eastAsia="Arial" w:hAnsi="Century Gothic" w:cs="Arial"/>
          <w:sz w:val="24"/>
          <w:szCs w:val="24"/>
        </w:rPr>
      </w:pPr>
      <w:r w:rsidRPr="005615F6">
        <w:rPr>
          <w:rFonts w:ascii="Century Gothic" w:hAnsi="Century Gothic"/>
          <w:sz w:val="24"/>
          <w:szCs w:val="24"/>
        </w:rPr>
        <w:t>Transparencia sindical, en aras de que las y los trabajadores conozcan el uso y destino de sus cuotas sindicales, al tiempo que se fortalecieron los procesos de negociación colectiva y se fomentó el</w:t>
      </w:r>
    </w:p>
    <w:p w14:paraId="7954C4A1" w14:textId="77777777" w:rsidR="00617A54" w:rsidRPr="00617A54" w:rsidRDefault="00617A54" w:rsidP="00617A54">
      <w:pPr>
        <w:pStyle w:val="Prrafodelista"/>
        <w:rPr>
          <w:rFonts w:ascii="Century Gothic" w:hAnsi="Century Gothic"/>
          <w:sz w:val="24"/>
          <w:szCs w:val="24"/>
        </w:rPr>
      </w:pPr>
    </w:p>
    <w:p w14:paraId="43BA4E81" w14:textId="185F746F" w:rsidR="005734A2" w:rsidRPr="005615F6" w:rsidRDefault="005734A2" w:rsidP="00617A54">
      <w:pPr>
        <w:pStyle w:val="Prrafodelista"/>
        <w:shd w:val="clear" w:color="auto" w:fill="FFFFFF"/>
        <w:spacing w:after="0" w:line="360" w:lineRule="auto"/>
        <w:ind w:left="1068"/>
        <w:jc w:val="both"/>
        <w:rPr>
          <w:rFonts w:ascii="Century Gothic" w:eastAsia="Arial" w:hAnsi="Century Gothic" w:cs="Arial"/>
          <w:sz w:val="24"/>
          <w:szCs w:val="24"/>
        </w:rPr>
      </w:pPr>
      <w:r w:rsidRPr="005615F6">
        <w:rPr>
          <w:rFonts w:ascii="Century Gothic" w:hAnsi="Century Gothic"/>
          <w:sz w:val="24"/>
          <w:szCs w:val="24"/>
        </w:rPr>
        <w:t>desvanecimiento de los contratos de protección patronal, con la finalidad de incrementar el bienestar de las y los trabajadores.</w:t>
      </w:r>
    </w:p>
    <w:p w14:paraId="5D62733E" w14:textId="77777777" w:rsidR="005734A2" w:rsidRPr="005615F6" w:rsidRDefault="005734A2" w:rsidP="005615F6">
      <w:pPr>
        <w:pStyle w:val="Prrafodelista"/>
        <w:shd w:val="clear" w:color="auto" w:fill="FFFFFF"/>
        <w:spacing w:after="0" w:line="360" w:lineRule="auto"/>
        <w:ind w:left="1068"/>
        <w:jc w:val="both"/>
        <w:rPr>
          <w:rFonts w:ascii="Century Gothic" w:eastAsia="Arial" w:hAnsi="Century Gothic" w:cs="Arial"/>
          <w:sz w:val="24"/>
          <w:szCs w:val="24"/>
        </w:rPr>
      </w:pPr>
    </w:p>
    <w:p w14:paraId="24EBFD33" w14:textId="77777777" w:rsidR="005734A2" w:rsidRPr="005615F6" w:rsidRDefault="005734A2" w:rsidP="005615F6">
      <w:pPr>
        <w:pStyle w:val="Prrafodelista"/>
        <w:numPr>
          <w:ilvl w:val="0"/>
          <w:numId w:val="4"/>
        </w:numPr>
        <w:shd w:val="clear" w:color="auto" w:fill="FFFFFF"/>
        <w:spacing w:after="0" w:line="360" w:lineRule="auto"/>
        <w:jc w:val="both"/>
        <w:rPr>
          <w:rFonts w:ascii="Century Gothic" w:eastAsia="Arial" w:hAnsi="Century Gothic" w:cs="Arial"/>
          <w:sz w:val="24"/>
          <w:szCs w:val="24"/>
        </w:rPr>
      </w:pPr>
      <w:r w:rsidRPr="005615F6">
        <w:rPr>
          <w:rFonts w:ascii="Century Gothic" w:eastAsia="Arial" w:hAnsi="Century Gothic" w:cs="Arial"/>
          <w:sz w:val="24"/>
          <w:szCs w:val="24"/>
        </w:rPr>
        <w:t>Inclusión con perspectiva de género, estableciendo a los sindicatos un nuevo enfoque en la participación, representación, diálogo y negociación entre sus integrantes, dando paso a una renovación de valores y prácticas en las relaciones entre las y los agremiados y dirigencias para hacer efectiva la igualdad sustantiva entre mujeres y hombres.</w:t>
      </w:r>
    </w:p>
    <w:p w14:paraId="0C5D41AE" w14:textId="77777777" w:rsidR="005734A2" w:rsidRPr="005615F6" w:rsidRDefault="005734A2" w:rsidP="005615F6">
      <w:pPr>
        <w:shd w:val="clear" w:color="auto" w:fill="FFFFFF"/>
        <w:spacing w:line="360" w:lineRule="auto"/>
        <w:ind w:left="708"/>
        <w:jc w:val="both"/>
        <w:rPr>
          <w:rFonts w:ascii="Century Gothic" w:hAnsi="Century Gothic"/>
          <w:sz w:val="28"/>
          <w:szCs w:val="28"/>
        </w:rPr>
      </w:pPr>
    </w:p>
    <w:p w14:paraId="70AD73DE" w14:textId="31E1DB72" w:rsidR="005734A2" w:rsidRPr="005615F6" w:rsidRDefault="00AB5FC7"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En ese sentido, e</w:t>
      </w:r>
      <w:r w:rsidR="005734A2" w:rsidRPr="005615F6">
        <w:rPr>
          <w:rFonts w:ascii="Century Gothic" w:hAnsi="Century Gothic"/>
          <w:sz w:val="24"/>
          <w:szCs w:val="24"/>
        </w:rPr>
        <w:t>l nuevo modelo laboral y sindical desmanteló un viejo modelo, dejando atrás las malas prácticas que afectaban el libre desarrollo de los derechos laborales de las y los trabajadores, y modernizó el sistema de justicia en la materia, ya que sentó las bases para una verdadera transformación en el ámbito sindical y de negociación colectiva, bajo los principios de democracia y autonomía. Este cambio sustancial en la norma limitó la discrecionalidad gubernamental, fortaleció el Estado de derecho y restituyó las garantías colectivas de las y los trabajadores de México.</w:t>
      </w:r>
    </w:p>
    <w:p w14:paraId="78371076" w14:textId="77777777" w:rsidR="00AB5FC7" w:rsidRPr="005615F6" w:rsidRDefault="00AB5FC7" w:rsidP="005615F6">
      <w:pPr>
        <w:shd w:val="clear" w:color="auto" w:fill="FFFFFF"/>
        <w:spacing w:line="360" w:lineRule="auto"/>
        <w:jc w:val="both"/>
        <w:rPr>
          <w:rFonts w:ascii="Century Gothic" w:hAnsi="Century Gothic"/>
          <w:sz w:val="24"/>
          <w:szCs w:val="24"/>
        </w:rPr>
      </w:pPr>
    </w:p>
    <w:p w14:paraId="7EF49488" w14:textId="1AEC59A0" w:rsidR="005734A2" w:rsidRPr="005615F6" w:rsidRDefault="005734A2"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La democracia y libertad sindical son los pilares del nuevo modelo laboral, son derechos consagrados en la Constitución Política de los Estados Unidos Mexicanos, leyes federales y Tratados Internacionales y son una garantía de las y los trabajadores tutelada por el Estado mexicano</w:t>
      </w:r>
      <w:r w:rsidR="00AB5FC7" w:rsidRPr="005615F6">
        <w:rPr>
          <w:rFonts w:ascii="Century Gothic" w:hAnsi="Century Gothic"/>
          <w:sz w:val="24"/>
          <w:szCs w:val="24"/>
        </w:rPr>
        <w:t xml:space="preserve">; </w:t>
      </w:r>
      <w:r w:rsidRPr="005615F6">
        <w:rPr>
          <w:rFonts w:ascii="Century Gothic" w:hAnsi="Century Gothic"/>
          <w:sz w:val="24"/>
          <w:szCs w:val="24"/>
        </w:rPr>
        <w:t xml:space="preserve">Connotados tratadistas </w:t>
      </w:r>
      <w:r w:rsidRPr="005615F6">
        <w:rPr>
          <w:rFonts w:ascii="Century Gothic" w:hAnsi="Century Gothic"/>
          <w:sz w:val="24"/>
          <w:szCs w:val="24"/>
        </w:rPr>
        <w:lastRenderedPageBreak/>
        <w:t>se han pronunciado sobre el derecho de sindicación y negociación colectiva, tal es el caso de</w:t>
      </w:r>
      <w:r w:rsidRPr="005615F6">
        <w:rPr>
          <w:rFonts w:ascii="Century Gothic" w:hAnsi="Century Gothic"/>
          <w:sz w:val="24"/>
          <w:szCs w:val="24"/>
          <w:vertAlign w:val="superscript"/>
        </w:rPr>
        <w:footnoteReference w:id="1"/>
      </w:r>
      <w:r w:rsidRPr="005615F6">
        <w:rPr>
          <w:rFonts w:ascii="Century Gothic" w:hAnsi="Century Gothic"/>
          <w:sz w:val="24"/>
          <w:szCs w:val="24"/>
        </w:rPr>
        <w:t>:</w:t>
      </w:r>
    </w:p>
    <w:p w14:paraId="07F3180D" w14:textId="77777777" w:rsidR="005734A2" w:rsidRPr="005615F6" w:rsidRDefault="005734A2" w:rsidP="005615F6">
      <w:pPr>
        <w:pStyle w:val="Prrafodelista"/>
        <w:shd w:val="clear" w:color="auto" w:fill="FFFFFF"/>
        <w:spacing w:after="0" w:line="360" w:lineRule="auto"/>
        <w:ind w:right="280"/>
        <w:jc w:val="both"/>
        <w:rPr>
          <w:rFonts w:ascii="Century Gothic" w:eastAsia="Arial" w:hAnsi="Century Gothic" w:cs="Arial"/>
          <w:sz w:val="24"/>
          <w:szCs w:val="24"/>
        </w:rPr>
      </w:pPr>
    </w:p>
    <w:p w14:paraId="13EE5AE8" w14:textId="77777777" w:rsidR="005734A2" w:rsidRPr="005615F6" w:rsidRDefault="005734A2" w:rsidP="005615F6">
      <w:pPr>
        <w:pStyle w:val="Prrafodelista"/>
        <w:numPr>
          <w:ilvl w:val="0"/>
          <w:numId w:val="6"/>
        </w:numPr>
        <w:shd w:val="clear" w:color="auto" w:fill="FFFFFF"/>
        <w:spacing w:after="0" w:line="360" w:lineRule="auto"/>
        <w:jc w:val="both"/>
        <w:rPr>
          <w:rFonts w:ascii="Century Gothic" w:eastAsia="Arial" w:hAnsi="Century Gothic" w:cs="Arial"/>
          <w:sz w:val="24"/>
          <w:szCs w:val="24"/>
        </w:rPr>
      </w:pPr>
      <w:proofErr w:type="spellStart"/>
      <w:r w:rsidRPr="005615F6">
        <w:rPr>
          <w:rFonts w:ascii="Century Gothic" w:eastAsia="Arial" w:hAnsi="Century Gothic" w:cs="Arial"/>
          <w:sz w:val="24"/>
          <w:szCs w:val="24"/>
        </w:rPr>
        <w:t>Von</w:t>
      </w:r>
      <w:proofErr w:type="spellEnd"/>
      <w:r w:rsidRPr="005615F6">
        <w:rPr>
          <w:rFonts w:ascii="Century Gothic" w:eastAsia="Arial" w:hAnsi="Century Gothic" w:cs="Arial"/>
          <w:sz w:val="24"/>
          <w:szCs w:val="24"/>
        </w:rPr>
        <w:t xml:space="preserve"> </w:t>
      </w:r>
      <w:proofErr w:type="spellStart"/>
      <w:r w:rsidRPr="005615F6">
        <w:rPr>
          <w:rFonts w:ascii="Century Gothic" w:eastAsia="Arial" w:hAnsi="Century Gothic" w:cs="Arial"/>
          <w:sz w:val="24"/>
          <w:szCs w:val="24"/>
        </w:rPr>
        <w:t>Potobsky</w:t>
      </w:r>
      <w:proofErr w:type="spellEnd"/>
      <w:r w:rsidRPr="005615F6">
        <w:rPr>
          <w:rFonts w:ascii="Century Gothic" w:eastAsia="Arial" w:hAnsi="Century Gothic" w:cs="Arial"/>
          <w:sz w:val="24"/>
          <w:szCs w:val="24"/>
        </w:rPr>
        <w:t xml:space="preserve"> y </w:t>
      </w:r>
      <w:proofErr w:type="spellStart"/>
      <w:r w:rsidRPr="005615F6">
        <w:rPr>
          <w:rFonts w:ascii="Century Gothic" w:eastAsia="Arial" w:hAnsi="Century Gothic" w:cs="Arial"/>
          <w:sz w:val="24"/>
          <w:szCs w:val="24"/>
        </w:rPr>
        <w:t>Bartolomei</w:t>
      </w:r>
      <w:proofErr w:type="spellEnd"/>
      <w:r w:rsidRPr="005615F6">
        <w:rPr>
          <w:rFonts w:ascii="Century Gothic" w:eastAsia="Arial" w:hAnsi="Century Gothic" w:cs="Arial"/>
          <w:sz w:val="24"/>
          <w:szCs w:val="24"/>
        </w:rPr>
        <w:t>, quien señala que el reconocimiento del derecho de sindicación, como uno de los derechos fundamentales, se inscribe con toda naturalidad en el contexto de una organización tripartita, cuya representación del sector empleador y trabajador se realiza a través de las respectivas organizaciones profesionales.</w:t>
      </w:r>
    </w:p>
    <w:p w14:paraId="3A2221E4" w14:textId="77777777" w:rsidR="005734A2" w:rsidRPr="005615F6" w:rsidRDefault="005734A2" w:rsidP="005615F6">
      <w:pPr>
        <w:pStyle w:val="Prrafodelista"/>
        <w:shd w:val="clear" w:color="auto" w:fill="FFFFFF"/>
        <w:spacing w:after="0" w:line="360" w:lineRule="auto"/>
        <w:ind w:left="1068"/>
        <w:jc w:val="both"/>
        <w:rPr>
          <w:rFonts w:ascii="Century Gothic" w:eastAsia="Arial" w:hAnsi="Century Gothic" w:cs="Arial"/>
          <w:sz w:val="24"/>
          <w:szCs w:val="24"/>
        </w:rPr>
      </w:pPr>
    </w:p>
    <w:p w14:paraId="4A7AF6BA" w14:textId="77777777" w:rsidR="005734A2" w:rsidRPr="005615F6" w:rsidRDefault="005734A2" w:rsidP="005615F6">
      <w:pPr>
        <w:pStyle w:val="Prrafodelista"/>
        <w:numPr>
          <w:ilvl w:val="0"/>
          <w:numId w:val="6"/>
        </w:numPr>
        <w:shd w:val="clear" w:color="auto" w:fill="FFFFFF"/>
        <w:spacing w:after="0" w:line="360" w:lineRule="auto"/>
        <w:jc w:val="both"/>
        <w:rPr>
          <w:rFonts w:ascii="Century Gothic" w:eastAsia="Arial" w:hAnsi="Century Gothic" w:cs="Arial"/>
          <w:sz w:val="24"/>
          <w:szCs w:val="24"/>
        </w:rPr>
      </w:pPr>
      <w:r w:rsidRPr="005615F6">
        <w:rPr>
          <w:rFonts w:ascii="Century Gothic" w:eastAsia="Arial" w:hAnsi="Century Gothic" w:cs="Arial"/>
          <w:sz w:val="24"/>
          <w:szCs w:val="24"/>
        </w:rPr>
        <w:t>Emilio Morgado, cuya tesis reconoce que el principio de libertad sindical y los derechos de asociación y de negociación colectiva, así como la cooperación, la colaboración y la participación, están expresamente incorporados a la Constitución de la Organización Internacional del Trabajo</w:t>
      </w:r>
      <w:r w:rsidRPr="005615F6">
        <w:rPr>
          <w:rFonts w:ascii="Century Gothic" w:eastAsia="Arial" w:hAnsi="Century Gothic" w:cs="Arial"/>
          <w:color w:val="474747"/>
          <w:sz w:val="24"/>
          <w:szCs w:val="24"/>
        </w:rPr>
        <w:t xml:space="preserve"> (</w:t>
      </w:r>
      <w:r w:rsidRPr="005615F6">
        <w:rPr>
          <w:rFonts w:ascii="Century Gothic" w:eastAsia="Arial" w:hAnsi="Century Gothic" w:cs="Arial"/>
          <w:sz w:val="24"/>
          <w:szCs w:val="24"/>
        </w:rPr>
        <w:t>OIT), forman parte de los fines y objetivos de la Organización y constituyen principios fundamentales que deben inspirar la política de sus Estados miembros.</w:t>
      </w:r>
    </w:p>
    <w:p w14:paraId="6A5821AC" w14:textId="77777777" w:rsidR="005734A2" w:rsidRPr="005615F6" w:rsidRDefault="005734A2" w:rsidP="005615F6">
      <w:pPr>
        <w:shd w:val="clear" w:color="auto" w:fill="FFFFFF"/>
        <w:spacing w:line="360" w:lineRule="auto"/>
        <w:jc w:val="both"/>
        <w:rPr>
          <w:rFonts w:ascii="Century Gothic" w:hAnsi="Century Gothic"/>
          <w:sz w:val="24"/>
          <w:szCs w:val="24"/>
        </w:rPr>
      </w:pPr>
    </w:p>
    <w:p w14:paraId="664D1E56" w14:textId="37099633" w:rsidR="005734A2" w:rsidRPr="005615F6" w:rsidRDefault="005734A2" w:rsidP="00617A54">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El Convenio sobre la libertad sindical y la protección del derecho de sindicación, 1948 (</w:t>
      </w:r>
      <w:proofErr w:type="spellStart"/>
      <w:r w:rsidRPr="005615F6">
        <w:rPr>
          <w:rFonts w:ascii="Century Gothic" w:hAnsi="Century Gothic"/>
          <w:sz w:val="24"/>
          <w:szCs w:val="24"/>
        </w:rPr>
        <w:t>n°</w:t>
      </w:r>
      <w:proofErr w:type="spellEnd"/>
      <w:r w:rsidRPr="005615F6">
        <w:rPr>
          <w:rFonts w:ascii="Century Gothic" w:hAnsi="Century Gothic"/>
          <w:sz w:val="24"/>
          <w:szCs w:val="24"/>
        </w:rPr>
        <w:t xml:space="preserve"> 87)</w:t>
      </w:r>
      <w:r w:rsidRPr="005615F6">
        <w:rPr>
          <w:rFonts w:ascii="Century Gothic" w:hAnsi="Century Gothic"/>
          <w:sz w:val="24"/>
          <w:szCs w:val="24"/>
          <w:vertAlign w:val="superscript"/>
        </w:rPr>
        <w:footnoteReference w:id="2"/>
      </w:r>
      <w:r w:rsidRPr="005615F6">
        <w:rPr>
          <w:rFonts w:ascii="Century Gothic" w:hAnsi="Century Gothic"/>
          <w:sz w:val="24"/>
          <w:szCs w:val="24"/>
        </w:rPr>
        <w:t xml:space="preserve"> establece en lo referente a la autonomía sindical y a la no intervención por parte de las autoridades</w:t>
      </w:r>
      <w:r w:rsidR="00AB5FC7" w:rsidRPr="005615F6">
        <w:rPr>
          <w:rFonts w:ascii="Century Gothic" w:hAnsi="Century Gothic"/>
          <w:sz w:val="24"/>
          <w:szCs w:val="24"/>
        </w:rPr>
        <w:t>,</w:t>
      </w:r>
      <w:r w:rsidRPr="005615F6">
        <w:rPr>
          <w:rFonts w:ascii="Century Gothic" w:hAnsi="Century Gothic"/>
          <w:sz w:val="24"/>
          <w:szCs w:val="24"/>
        </w:rPr>
        <w:t xml:space="preserve"> en su artículo 3, que:</w:t>
      </w:r>
      <w:r w:rsidRPr="005615F6">
        <w:rPr>
          <w:rFonts w:ascii="Century Gothic" w:hAnsi="Century Gothic"/>
          <w:sz w:val="24"/>
          <w:szCs w:val="24"/>
        </w:rPr>
        <w:br w:type="page"/>
      </w:r>
    </w:p>
    <w:p w14:paraId="3791A46E" w14:textId="77777777" w:rsidR="005734A2" w:rsidRPr="005615F6" w:rsidRDefault="005734A2" w:rsidP="005615F6">
      <w:pPr>
        <w:spacing w:line="360" w:lineRule="auto"/>
        <w:jc w:val="both"/>
        <w:rPr>
          <w:rFonts w:ascii="Century Gothic" w:hAnsi="Century Gothic"/>
          <w:sz w:val="24"/>
          <w:szCs w:val="24"/>
        </w:rPr>
      </w:pPr>
    </w:p>
    <w:p w14:paraId="695DEBF8" w14:textId="77777777" w:rsidR="005734A2" w:rsidRPr="005615F6" w:rsidRDefault="005734A2" w:rsidP="005615F6">
      <w:pPr>
        <w:shd w:val="clear" w:color="auto" w:fill="FFFFFF"/>
        <w:spacing w:line="360" w:lineRule="auto"/>
        <w:ind w:left="850" w:right="619"/>
        <w:jc w:val="both"/>
        <w:rPr>
          <w:rFonts w:ascii="Century Gothic" w:hAnsi="Century Gothic"/>
          <w:sz w:val="24"/>
          <w:szCs w:val="24"/>
        </w:rPr>
      </w:pPr>
      <w:bookmarkStart w:id="3" w:name="_77qnxcwhph01" w:colFirst="0" w:colLast="0"/>
      <w:bookmarkEnd w:id="3"/>
      <w:r w:rsidRPr="005615F6">
        <w:rPr>
          <w:rFonts w:ascii="Century Gothic" w:hAnsi="Century Gothic"/>
          <w:sz w:val="24"/>
          <w:szCs w:val="24"/>
        </w:rPr>
        <w:t>“1. Las organizaciones de trabajadores y de empleadores tienen el derecho de redactar sus estatutos y reglamentos administrativos, el de elegir libremente sus representantes, el de organizar su administración y sus actividades y el de formular su programa de acción.</w:t>
      </w:r>
    </w:p>
    <w:p w14:paraId="53328B65" w14:textId="77777777" w:rsidR="005734A2" w:rsidRPr="005615F6" w:rsidRDefault="005734A2" w:rsidP="005615F6">
      <w:pPr>
        <w:shd w:val="clear" w:color="auto" w:fill="FFFFFF"/>
        <w:spacing w:line="360" w:lineRule="auto"/>
        <w:ind w:left="850" w:right="619"/>
        <w:jc w:val="both"/>
        <w:rPr>
          <w:rFonts w:ascii="Century Gothic" w:hAnsi="Century Gothic"/>
          <w:sz w:val="24"/>
          <w:szCs w:val="24"/>
        </w:rPr>
      </w:pPr>
    </w:p>
    <w:p w14:paraId="551A76A9" w14:textId="77777777" w:rsidR="005734A2" w:rsidRPr="005615F6" w:rsidRDefault="005734A2" w:rsidP="005615F6">
      <w:pPr>
        <w:shd w:val="clear" w:color="auto" w:fill="FFFFFF"/>
        <w:spacing w:line="360" w:lineRule="auto"/>
        <w:ind w:left="850" w:right="619"/>
        <w:jc w:val="both"/>
        <w:rPr>
          <w:rFonts w:ascii="Century Gothic" w:hAnsi="Century Gothic"/>
          <w:sz w:val="24"/>
          <w:szCs w:val="24"/>
        </w:rPr>
      </w:pPr>
      <w:r w:rsidRPr="005615F6">
        <w:rPr>
          <w:rFonts w:ascii="Century Gothic" w:hAnsi="Century Gothic"/>
          <w:sz w:val="24"/>
          <w:szCs w:val="24"/>
        </w:rPr>
        <w:t>2. Las autoridades públicas deberán abstenerse de toda intervención que tienda a limitar este derecho o a entorpecer su ejercicio legal”.</w:t>
      </w:r>
    </w:p>
    <w:p w14:paraId="73470A7B" w14:textId="77777777" w:rsidR="005734A2" w:rsidRPr="005615F6" w:rsidRDefault="005734A2" w:rsidP="005615F6">
      <w:pPr>
        <w:pStyle w:val="Prrafodelista"/>
        <w:shd w:val="clear" w:color="auto" w:fill="FFFFFF"/>
        <w:spacing w:after="0" w:line="360" w:lineRule="auto"/>
        <w:jc w:val="both"/>
        <w:rPr>
          <w:rFonts w:ascii="Century Gothic" w:eastAsia="Arial" w:hAnsi="Century Gothic" w:cs="Arial"/>
          <w:sz w:val="28"/>
          <w:szCs w:val="28"/>
        </w:rPr>
      </w:pPr>
    </w:p>
    <w:p w14:paraId="076A0FC4" w14:textId="77777777" w:rsidR="005734A2" w:rsidRPr="005615F6" w:rsidRDefault="005734A2"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La autonomía sindical constituye a todas luces un componente básico e imprescindible de la libertad sindical, toda vez que permite que el derecho fundamental de asociación (consagrado en múltiples instrumentos jurídicos, universales y regionales, así como en nuestra Constitución y en la Ley Federal del Trabajo) pueda ejercerse y funcionar libremente para la plena consecución de los respectivos objetivos de las organizaciones de trabajadores y empleadores, sin obstáculos ni intromisión por parte del Estado.</w:t>
      </w:r>
    </w:p>
    <w:p w14:paraId="0AEB8815" w14:textId="77777777" w:rsidR="005734A2" w:rsidRPr="005615F6" w:rsidRDefault="005734A2" w:rsidP="005615F6">
      <w:pPr>
        <w:pStyle w:val="Prrafodelista"/>
        <w:spacing w:line="360" w:lineRule="auto"/>
        <w:rPr>
          <w:rFonts w:ascii="Century Gothic" w:eastAsia="Arial" w:hAnsi="Century Gothic" w:cs="Arial"/>
          <w:sz w:val="28"/>
          <w:szCs w:val="28"/>
        </w:rPr>
      </w:pPr>
    </w:p>
    <w:p w14:paraId="08D031BF" w14:textId="77777777" w:rsidR="005734A2" w:rsidRPr="005615F6" w:rsidRDefault="005734A2" w:rsidP="005615F6">
      <w:pPr>
        <w:shd w:val="clear" w:color="auto" w:fill="FFFFFF"/>
        <w:spacing w:line="360" w:lineRule="auto"/>
        <w:jc w:val="both"/>
        <w:rPr>
          <w:rFonts w:ascii="Century Gothic" w:hAnsi="Century Gothic"/>
          <w:sz w:val="24"/>
          <w:szCs w:val="24"/>
        </w:rPr>
      </w:pPr>
      <w:r w:rsidRPr="005615F6">
        <w:rPr>
          <w:rFonts w:ascii="Century Gothic" w:hAnsi="Century Gothic"/>
          <w:sz w:val="24"/>
          <w:szCs w:val="24"/>
        </w:rPr>
        <w:t>De acuerdo con la Tesis Aislada 817000</w:t>
      </w:r>
      <w:r w:rsidRPr="005615F6">
        <w:rPr>
          <w:rFonts w:ascii="Century Gothic" w:hAnsi="Century Gothic"/>
          <w:sz w:val="24"/>
          <w:szCs w:val="24"/>
          <w:vertAlign w:val="superscript"/>
        </w:rPr>
        <w:footnoteReference w:id="3"/>
      </w:r>
      <w:r w:rsidRPr="005615F6">
        <w:rPr>
          <w:rFonts w:ascii="Century Gothic" w:hAnsi="Century Gothic"/>
          <w:sz w:val="24"/>
          <w:szCs w:val="24"/>
        </w:rPr>
        <w:t xml:space="preserve"> de la Suprema Corte de Justicia de la Nación (SCJN), una de las formas de protección a la clase trabajadora, requiere la más amplia libertad para su autodeterminación, pudiéndose estimar que todo acto del poder público que signifique una intromisión en la </w:t>
      </w:r>
      <w:r w:rsidRPr="005615F6">
        <w:rPr>
          <w:rFonts w:ascii="Century Gothic" w:hAnsi="Century Gothic"/>
          <w:sz w:val="24"/>
          <w:szCs w:val="24"/>
        </w:rPr>
        <w:lastRenderedPageBreak/>
        <w:t>actuación y en el mecanismo interno de las agrupaciones sindicales se traduce en una merma de esa libertad.</w:t>
      </w:r>
    </w:p>
    <w:p w14:paraId="5B897746" w14:textId="77777777" w:rsidR="00AB5FC7" w:rsidRPr="005615F6" w:rsidRDefault="00AB5FC7" w:rsidP="005615F6">
      <w:pPr>
        <w:shd w:val="clear" w:color="auto" w:fill="FFFFFF"/>
        <w:spacing w:line="360" w:lineRule="auto"/>
        <w:ind w:left="1416" w:right="629"/>
        <w:jc w:val="both"/>
        <w:rPr>
          <w:rFonts w:ascii="Century Gothic" w:hAnsi="Century Gothic"/>
          <w:sz w:val="28"/>
          <w:szCs w:val="28"/>
        </w:rPr>
      </w:pPr>
    </w:p>
    <w:p w14:paraId="4D2ACE7D" w14:textId="34DA030A" w:rsidR="005734A2" w:rsidRPr="005615F6" w:rsidRDefault="005734A2" w:rsidP="005615F6">
      <w:pPr>
        <w:shd w:val="clear" w:color="auto" w:fill="FFFFFF"/>
        <w:spacing w:line="360" w:lineRule="auto"/>
        <w:ind w:left="1416" w:right="629"/>
        <w:jc w:val="both"/>
        <w:rPr>
          <w:rFonts w:ascii="Century Gothic" w:hAnsi="Century Gothic"/>
        </w:rPr>
      </w:pPr>
      <w:r w:rsidRPr="005615F6">
        <w:rPr>
          <w:rFonts w:ascii="Century Gothic" w:hAnsi="Century Gothic"/>
          <w:i/>
        </w:rPr>
        <w:t xml:space="preserve">Es indudable que el legislador ha establecido claramente el principio de que el Estado proteja a la clase obrera del país, así como que la organización sindical sea fomentada y respetada por los órganos del poder público; pero evidentemente el desarrollo del sindicalismo, que constituye una de las formas de protección a la clase trabajadora, requiere la más amplia libertad para su autodeterminación, pudiéndose estimar en todo acto del poder público que signifique una intromisión del mismo en la actuación y en el mecanismo interno de las agrupaciones sindicales se traduce en una merma de esa libertad. </w:t>
      </w:r>
      <w:r w:rsidRPr="005615F6">
        <w:rPr>
          <w:rFonts w:ascii="Century Gothic" w:hAnsi="Century Gothic"/>
          <w:b/>
          <w:bCs/>
          <w:i/>
        </w:rPr>
        <w:t>Tanto el artículo 123 constitucional como la Ley Federal del Trabajo establecen la participación del Estado en cuanto al fomento y a la protección de la organización sindical;</w:t>
      </w:r>
      <w:r w:rsidRPr="005615F6">
        <w:rPr>
          <w:rFonts w:ascii="Century Gothic" w:hAnsi="Century Gothic"/>
          <w:i/>
        </w:rPr>
        <w:t xml:space="preserve"> </w:t>
      </w:r>
      <w:r w:rsidRPr="005615F6">
        <w:rPr>
          <w:rFonts w:ascii="Century Gothic" w:hAnsi="Century Gothic"/>
          <w:b/>
          <w:bCs/>
          <w:i/>
        </w:rPr>
        <w:t>pero en ninguna forma facultan al poder público para intervenir en la vida interna de los sindicatos</w:t>
      </w:r>
      <w:r w:rsidRPr="005615F6">
        <w:rPr>
          <w:rFonts w:ascii="Century Gothic" w:hAnsi="Century Gothic"/>
          <w:i/>
        </w:rPr>
        <w:t>. Más aún, la</w:t>
      </w:r>
      <w:r w:rsidR="00617A54">
        <w:rPr>
          <w:rFonts w:ascii="Century Gothic" w:hAnsi="Century Gothic"/>
          <w:i/>
        </w:rPr>
        <w:t>s</w:t>
      </w:r>
      <w:r w:rsidRPr="005615F6">
        <w:rPr>
          <w:rFonts w:ascii="Century Gothic" w:hAnsi="Century Gothic"/>
          <w:i/>
        </w:rPr>
        <w:t xml:space="preserve"> Ley</w:t>
      </w:r>
      <w:r w:rsidR="00617A54">
        <w:rPr>
          <w:rFonts w:ascii="Century Gothic" w:hAnsi="Century Gothic"/>
          <w:i/>
        </w:rPr>
        <w:t>es</w:t>
      </w:r>
      <w:r w:rsidRPr="005615F6">
        <w:rPr>
          <w:rFonts w:ascii="Century Gothic" w:hAnsi="Century Gothic"/>
          <w:i/>
        </w:rPr>
        <w:t xml:space="preserve"> Reglamentaria</w:t>
      </w:r>
      <w:r w:rsidR="00617A54">
        <w:rPr>
          <w:rFonts w:ascii="Century Gothic" w:hAnsi="Century Gothic"/>
          <w:i/>
        </w:rPr>
        <w:t>s</w:t>
      </w:r>
      <w:r w:rsidRPr="005615F6">
        <w:rPr>
          <w:rFonts w:ascii="Century Gothic" w:hAnsi="Century Gothic"/>
          <w:i/>
        </w:rPr>
        <w:t xml:space="preserve"> del Artículo 123 </w:t>
      </w:r>
      <w:r w:rsidR="00617A54" w:rsidRPr="005615F6">
        <w:rPr>
          <w:rFonts w:ascii="Century Gothic" w:hAnsi="Century Gothic"/>
          <w:i/>
        </w:rPr>
        <w:t>Constitucional</w:t>
      </w:r>
      <w:r w:rsidR="00617A54">
        <w:rPr>
          <w:rFonts w:ascii="Century Gothic" w:hAnsi="Century Gothic"/>
          <w:i/>
        </w:rPr>
        <w:t xml:space="preserve"> derivadas del Apartado A y B de nuestra Carta Magna</w:t>
      </w:r>
      <w:r w:rsidRPr="005615F6">
        <w:rPr>
          <w:rFonts w:ascii="Century Gothic" w:hAnsi="Century Gothic"/>
          <w:i/>
        </w:rPr>
        <w:t xml:space="preserve"> garantiz</w:t>
      </w:r>
      <w:r w:rsidR="0093555A">
        <w:rPr>
          <w:rFonts w:ascii="Century Gothic" w:hAnsi="Century Gothic"/>
          <w:i/>
        </w:rPr>
        <w:t>an</w:t>
      </w:r>
      <w:r w:rsidRPr="005615F6">
        <w:rPr>
          <w:rFonts w:ascii="Century Gothic" w:hAnsi="Century Gothic"/>
          <w:i/>
        </w:rPr>
        <w:t xml:space="preserve"> el funcionamiento democrático de las organizaciones sindicales.</w:t>
      </w:r>
    </w:p>
    <w:p w14:paraId="7E405F8F" w14:textId="77777777" w:rsidR="005734A2" w:rsidRPr="005615F6" w:rsidRDefault="005734A2" w:rsidP="005615F6">
      <w:pPr>
        <w:spacing w:line="360" w:lineRule="auto"/>
        <w:jc w:val="both"/>
        <w:rPr>
          <w:rFonts w:ascii="Century Gothic" w:hAnsi="Century Gothic"/>
          <w:bCs/>
          <w:sz w:val="24"/>
          <w:szCs w:val="24"/>
        </w:rPr>
      </w:pPr>
    </w:p>
    <w:p w14:paraId="5160EFC4" w14:textId="77777777" w:rsidR="00AB5FC7" w:rsidRPr="005615F6" w:rsidRDefault="005734A2" w:rsidP="005615F6">
      <w:pPr>
        <w:spacing w:line="360" w:lineRule="auto"/>
        <w:jc w:val="both"/>
        <w:rPr>
          <w:rFonts w:ascii="Century Gothic" w:hAnsi="Century Gothic"/>
          <w:sz w:val="24"/>
          <w:szCs w:val="24"/>
        </w:rPr>
      </w:pPr>
      <w:r w:rsidRPr="005615F6">
        <w:rPr>
          <w:rFonts w:ascii="Century Gothic" w:hAnsi="Century Gothic"/>
          <w:sz w:val="24"/>
          <w:szCs w:val="24"/>
        </w:rPr>
        <w:t>Desde el inicio de la Cuarta Transformación se han fortalecido y salvaguardado todos los derechos de las y los mexicanos, en específico, en materia laboral, por lo que debe</w:t>
      </w:r>
      <w:r w:rsidR="00AB5FC7" w:rsidRPr="005615F6">
        <w:rPr>
          <w:rFonts w:ascii="Century Gothic" w:hAnsi="Century Gothic"/>
          <w:sz w:val="24"/>
          <w:szCs w:val="24"/>
        </w:rPr>
        <w:t>mos pugnar por</w:t>
      </w:r>
      <w:r w:rsidRPr="005615F6">
        <w:rPr>
          <w:rFonts w:ascii="Century Gothic" w:hAnsi="Century Gothic"/>
          <w:sz w:val="24"/>
          <w:szCs w:val="24"/>
        </w:rPr>
        <w:t xml:space="preserve"> continuar por la misma ruta</w:t>
      </w:r>
      <w:r w:rsidR="00AB5FC7" w:rsidRPr="005615F6">
        <w:rPr>
          <w:rFonts w:ascii="Century Gothic" w:hAnsi="Century Gothic"/>
          <w:sz w:val="24"/>
          <w:szCs w:val="24"/>
        </w:rPr>
        <w:t xml:space="preserve">, sobre todo debido a que, el </w:t>
      </w:r>
      <w:r w:rsidRPr="005615F6">
        <w:rPr>
          <w:rFonts w:ascii="Century Gothic" w:hAnsi="Century Gothic"/>
          <w:sz w:val="24"/>
          <w:szCs w:val="24"/>
        </w:rPr>
        <w:t xml:space="preserve">actual modelo laboral limita la discrecionalidad </w:t>
      </w:r>
      <w:r w:rsidRPr="005615F6">
        <w:rPr>
          <w:rFonts w:ascii="Century Gothic" w:hAnsi="Century Gothic"/>
          <w:sz w:val="24"/>
          <w:szCs w:val="24"/>
        </w:rPr>
        <w:lastRenderedPageBreak/>
        <w:t>de las autoridades y garantiza los derechos colectivos a las y los trabajadores, quienes por fin están en posibilidad de ejercerlos libremente</w:t>
      </w:r>
      <w:r w:rsidR="00AB5FC7" w:rsidRPr="005615F6">
        <w:rPr>
          <w:rFonts w:ascii="Century Gothic" w:hAnsi="Century Gothic"/>
          <w:sz w:val="24"/>
          <w:szCs w:val="24"/>
        </w:rPr>
        <w:t>.</w:t>
      </w:r>
    </w:p>
    <w:p w14:paraId="06891B3B" w14:textId="77777777" w:rsidR="00AB5FC7" w:rsidRPr="005615F6" w:rsidRDefault="00AB5FC7" w:rsidP="005615F6">
      <w:pPr>
        <w:spacing w:line="360" w:lineRule="auto"/>
        <w:jc w:val="both"/>
        <w:rPr>
          <w:rFonts w:ascii="Century Gothic" w:hAnsi="Century Gothic"/>
          <w:sz w:val="24"/>
          <w:szCs w:val="24"/>
        </w:rPr>
      </w:pPr>
    </w:p>
    <w:p w14:paraId="047E33F7" w14:textId="5EDC3449" w:rsidR="005734A2" w:rsidRPr="005615F6" w:rsidRDefault="00AB5FC7" w:rsidP="005615F6">
      <w:pPr>
        <w:spacing w:line="360" w:lineRule="auto"/>
        <w:jc w:val="both"/>
        <w:rPr>
          <w:rFonts w:ascii="Century Gothic" w:hAnsi="Century Gothic"/>
          <w:sz w:val="24"/>
          <w:szCs w:val="24"/>
        </w:rPr>
      </w:pPr>
      <w:r w:rsidRPr="005615F6">
        <w:rPr>
          <w:rFonts w:ascii="Century Gothic" w:hAnsi="Century Gothic"/>
          <w:sz w:val="24"/>
          <w:szCs w:val="24"/>
        </w:rPr>
        <w:t>En este punto hemos de decir que, a pesar de los avances alcanzados en la materia, deben</w:t>
      </w:r>
      <w:r w:rsidR="005734A2" w:rsidRPr="005615F6">
        <w:rPr>
          <w:rFonts w:ascii="Century Gothic" w:hAnsi="Century Gothic"/>
          <w:sz w:val="24"/>
          <w:szCs w:val="24"/>
        </w:rPr>
        <w:t xml:space="preserve"> realizar</w:t>
      </w:r>
      <w:r w:rsidRPr="005615F6">
        <w:rPr>
          <w:rFonts w:ascii="Century Gothic" w:hAnsi="Century Gothic"/>
          <w:sz w:val="24"/>
          <w:szCs w:val="24"/>
        </w:rPr>
        <w:t>se</w:t>
      </w:r>
      <w:r w:rsidR="005734A2" w:rsidRPr="005615F6">
        <w:rPr>
          <w:rFonts w:ascii="Century Gothic" w:hAnsi="Century Gothic"/>
          <w:sz w:val="24"/>
          <w:szCs w:val="24"/>
        </w:rPr>
        <w:t xml:space="preserve"> adecuaciones legales, particularmente para salvaguardar los derechos de las trabajadoras y trabajadores del apartado B de la Constitución, con la finalidad de tener normas que respondan a los retos actuales en materia de transparencia y lucha contra la corrupción, en aras de hacer prevalecer el Estado de derecho.</w:t>
      </w:r>
    </w:p>
    <w:p w14:paraId="789C342A" w14:textId="77777777" w:rsidR="005734A2" w:rsidRPr="005615F6" w:rsidRDefault="005734A2" w:rsidP="005615F6">
      <w:pPr>
        <w:pStyle w:val="Prrafodelista"/>
        <w:spacing w:line="360" w:lineRule="auto"/>
        <w:rPr>
          <w:rFonts w:ascii="Century Gothic" w:eastAsia="Arial" w:hAnsi="Century Gothic" w:cs="Arial"/>
          <w:sz w:val="28"/>
          <w:szCs w:val="28"/>
        </w:rPr>
      </w:pPr>
    </w:p>
    <w:p w14:paraId="4E9E8751" w14:textId="77777777" w:rsidR="00AB5FC7" w:rsidRPr="005615F6" w:rsidRDefault="005734A2" w:rsidP="005615F6">
      <w:pPr>
        <w:spacing w:line="360" w:lineRule="auto"/>
        <w:jc w:val="both"/>
        <w:rPr>
          <w:rFonts w:ascii="Century Gothic" w:hAnsi="Century Gothic"/>
          <w:sz w:val="24"/>
          <w:szCs w:val="24"/>
        </w:rPr>
      </w:pPr>
      <w:r w:rsidRPr="005615F6">
        <w:rPr>
          <w:rFonts w:ascii="Century Gothic" w:hAnsi="Century Gothic"/>
          <w:sz w:val="24"/>
          <w:szCs w:val="24"/>
        </w:rPr>
        <w:t>Se debe</w:t>
      </w:r>
      <w:r w:rsidR="00AB5FC7" w:rsidRPr="005615F6">
        <w:rPr>
          <w:rFonts w:ascii="Century Gothic" w:hAnsi="Century Gothic"/>
          <w:sz w:val="24"/>
          <w:szCs w:val="24"/>
        </w:rPr>
        <w:t xml:space="preserve"> </w:t>
      </w:r>
      <w:r w:rsidRPr="005615F6">
        <w:rPr>
          <w:rFonts w:ascii="Century Gothic" w:hAnsi="Century Gothic"/>
          <w:sz w:val="24"/>
          <w:szCs w:val="24"/>
        </w:rPr>
        <w:t xml:space="preserve">perfeccionar el marco jurídico en beneficio de la clase trabajadora y del fortalecimiento de la autonomía del sindicalismo mexicano, con el objetivo de incorporar herramientas a la ley que pongan un freno contundente a la corrupción y destierren para siempre los vicios del pasado. </w:t>
      </w:r>
    </w:p>
    <w:p w14:paraId="25D06AE5" w14:textId="77777777" w:rsidR="00AB5FC7" w:rsidRPr="005615F6" w:rsidRDefault="00AB5FC7" w:rsidP="005615F6">
      <w:pPr>
        <w:spacing w:line="360" w:lineRule="auto"/>
        <w:jc w:val="both"/>
        <w:rPr>
          <w:rFonts w:ascii="Century Gothic" w:hAnsi="Century Gothic"/>
          <w:sz w:val="24"/>
          <w:szCs w:val="24"/>
        </w:rPr>
      </w:pPr>
    </w:p>
    <w:p w14:paraId="1B8A1A42" w14:textId="47A196B4" w:rsidR="005734A2" w:rsidRPr="005615F6" w:rsidRDefault="005734A2" w:rsidP="005615F6">
      <w:pPr>
        <w:spacing w:line="360" w:lineRule="auto"/>
        <w:jc w:val="both"/>
        <w:rPr>
          <w:rFonts w:ascii="Century Gothic" w:hAnsi="Century Gothic"/>
          <w:sz w:val="24"/>
          <w:szCs w:val="24"/>
        </w:rPr>
      </w:pPr>
      <w:r w:rsidRPr="005615F6">
        <w:rPr>
          <w:rFonts w:ascii="Century Gothic" w:hAnsi="Century Gothic"/>
          <w:sz w:val="24"/>
          <w:szCs w:val="24"/>
        </w:rPr>
        <w:t>De ahí que la Iniciativa que se somete a consideración apuntala el esfuerzo realizado en materia laboral y continúa por la misma senda, con el firme propósito de alcanzar la justicia social y el bienestar de las personas trabajadoras de México.</w:t>
      </w:r>
    </w:p>
    <w:p w14:paraId="1C1E1824" w14:textId="77777777" w:rsidR="005734A2" w:rsidRPr="005615F6" w:rsidRDefault="005734A2" w:rsidP="005615F6">
      <w:pPr>
        <w:spacing w:line="360" w:lineRule="auto"/>
        <w:rPr>
          <w:rFonts w:ascii="Century Gothic" w:hAnsi="Century Gothic"/>
          <w:bCs/>
          <w:sz w:val="28"/>
          <w:szCs w:val="28"/>
        </w:rPr>
      </w:pPr>
    </w:p>
    <w:p w14:paraId="4990DF77" w14:textId="005B5489" w:rsidR="005734A2" w:rsidRPr="005615F6" w:rsidRDefault="00AB5FC7" w:rsidP="005615F6">
      <w:pPr>
        <w:spacing w:line="360" w:lineRule="auto"/>
        <w:jc w:val="both"/>
        <w:rPr>
          <w:rFonts w:ascii="Century Gothic" w:hAnsi="Century Gothic"/>
          <w:bCs/>
          <w:sz w:val="24"/>
          <w:szCs w:val="24"/>
        </w:rPr>
      </w:pPr>
      <w:r w:rsidRPr="005615F6">
        <w:rPr>
          <w:rFonts w:ascii="Century Gothic" w:hAnsi="Century Gothic"/>
          <w:bCs/>
          <w:sz w:val="24"/>
          <w:szCs w:val="24"/>
        </w:rPr>
        <w:t xml:space="preserve">De manera particular, las adecuaciones a </w:t>
      </w:r>
      <w:r w:rsidR="005734A2" w:rsidRPr="005615F6">
        <w:rPr>
          <w:rFonts w:ascii="Century Gothic" w:hAnsi="Century Gothic"/>
          <w:bCs/>
          <w:sz w:val="24"/>
          <w:szCs w:val="24"/>
        </w:rPr>
        <w:t xml:space="preserve">la Ley Federal de los Trabajadores al Servicio del Estado y la Ley General de Responsabilidades Administrativas </w:t>
      </w:r>
      <w:r w:rsidRPr="005615F6">
        <w:rPr>
          <w:rFonts w:ascii="Century Gothic" w:hAnsi="Century Gothic"/>
          <w:bCs/>
          <w:sz w:val="24"/>
          <w:szCs w:val="24"/>
        </w:rPr>
        <w:t>deben preservar como</w:t>
      </w:r>
      <w:r w:rsidR="005734A2" w:rsidRPr="005615F6">
        <w:rPr>
          <w:rFonts w:ascii="Century Gothic" w:hAnsi="Century Gothic"/>
          <w:bCs/>
          <w:sz w:val="24"/>
          <w:szCs w:val="24"/>
        </w:rPr>
        <w:t xml:space="preserve"> </w:t>
      </w:r>
      <w:r w:rsidRPr="005615F6">
        <w:rPr>
          <w:rFonts w:ascii="Century Gothic" w:hAnsi="Century Gothic"/>
          <w:bCs/>
          <w:sz w:val="24"/>
          <w:szCs w:val="24"/>
        </w:rPr>
        <w:t>objeto, prevenir</w:t>
      </w:r>
      <w:r w:rsidR="005734A2" w:rsidRPr="005615F6">
        <w:rPr>
          <w:rFonts w:ascii="Century Gothic" w:hAnsi="Century Gothic"/>
          <w:bCs/>
          <w:sz w:val="24"/>
          <w:szCs w:val="24"/>
        </w:rPr>
        <w:t xml:space="preserve"> y sancionar cualquier injerencia perniciosa que atente contra la libertad y la autonomía sindical y los derechos </w:t>
      </w:r>
      <w:r w:rsidR="005734A2" w:rsidRPr="005615F6">
        <w:rPr>
          <w:rFonts w:ascii="Century Gothic" w:hAnsi="Century Gothic"/>
          <w:bCs/>
          <w:sz w:val="24"/>
          <w:szCs w:val="24"/>
        </w:rPr>
        <w:lastRenderedPageBreak/>
        <w:t>de los sindicatos, a efecto de contribuir al combate de la corrupción y defender los derechos de las y los trabajadores al servicio del Estado.</w:t>
      </w:r>
    </w:p>
    <w:p w14:paraId="4AC6C8D6" w14:textId="47139502" w:rsidR="00AB5FC7" w:rsidRPr="005615F6" w:rsidRDefault="00AB5FC7" w:rsidP="005615F6">
      <w:pPr>
        <w:spacing w:line="360" w:lineRule="auto"/>
        <w:jc w:val="both"/>
        <w:rPr>
          <w:rFonts w:ascii="Century Gothic" w:hAnsi="Century Gothic"/>
          <w:bCs/>
          <w:sz w:val="24"/>
          <w:szCs w:val="24"/>
        </w:rPr>
      </w:pPr>
    </w:p>
    <w:p w14:paraId="6F4C4A7C" w14:textId="77777777" w:rsidR="00B30423" w:rsidRDefault="00AB5FC7" w:rsidP="005615F6">
      <w:pPr>
        <w:spacing w:line="360" w:lineRule="auto"/>
        <w:jc w:val="both"/>
        <w:rPr>
          <w:rFonts w:ascii="Century Gothic" w:hAnsi="Century Gothic"/>
          <w:sz w:val="24"/>
          <w:szCs w:val="24"/>
        </w:rPr>
      </w:pPr>
      <w:bookmarkStart w:id="4" w:name="_Hlk219370364"/>
      <w:r w:rsidRPr="005615F6">
        <w:rPr>
          <w:rFonts w:ascii="Century Gothic" w:hAnsi="Century Gothic"/>
          <w:bCs/>
          <w:sz w:val="24"/>
          <w:szCs w:val="24"/>
        </w:rPr>
        <w:t>En el caso particular, es necesaria una reforma al Código Administrativo del Estado</w:t>
      </w:r>
      <w:r w:rsidR="00051B8E" w:rsidRPr="005615F6">
        <w:rPr>
          <w:rFonts w:ascii="Century Gothic" w:hAnsi="Century Gothic"/>
          <w:bCs/>
          <w:sz w:val="24"/>
          <w:szCs w:val="24"/>
        </w:rPr>
        <w:t xml:space="preserve">, a fin de avanzar de manera coordinada con la Federación en materia de </w:t>
      </w:r>
      <w:r w:rsidR="00051B8E" w:rsidRPr="005615F6">
        <w:rPr>
          <w:rFonts w:ascii="Century Gothic" w:hAnsi="Century Gothic"/>
          <w:sz w:val="24"/>
          <w:szCs w:val="24"/>
        </w:rPr>
        <w:t>defensa y fortalecimiento de la libertad y autonomía sindicales de las personas trabajadoras al servicio del Estado, lo que constituye un acto de justicia y un avance democrático inconmensurable.</w:t>
      </w:r>
    </w:p>
    <w:p w14:paraId="0DCEAB1C" w14:textId="77777777" w:rsidR="00B30423" w:rsidRDefault="00B30423" w:rsidP="005615F6">
      <w:pPr>
        <w:spacing w:line="360" w:lineRule="auto"/>
        <w:jc w:val="both"/>
        <w:rPr>
          <w:rFonts w:ascii="Century Gothic" w:hAnsi="Century Gothic"/>
          <w:sz w:val="24"/>
          <w:szCs w:val="24"/>
        </w:rPr>
      </w:pPr>
    </w:p>
    <w:p w14:paraId="4D45300D" w14:textId="5CD2608B" w:rsidR="004A4563" w:rsidRPr="00B30423" w:rsidRDefault="00051B8E" w:rsidP="005615F6">
      <w:pPr>
        <w:spacing w:line="360" w:lineRule="auto"/>
        <w:jc w:val="both"/>
        <w:rPr>
          <w:rFonts w:ascii="Century Gothic" w:hAnsi="Century Gothic"/>
          <w:sz w:val="24"/>
          <w:szCs w:val="24"/>
        </w:rPr>
      </w:pPr>
      <w:r w:rsidRPr="005615F6">
        <w:rPr>
          <w:rFonts w:ascii="Century Gothic" w:hAnsi="Century Gothic"/>
          <w:sz w:val="24"/>
          <w:szCs w:val="24"/>
        </w:rPr>
        <w:t xml:space="preserve">En ese sentido, la reforma planteada subsana el vacío normativo existente en materia de autonomía sindical y establece en la norma un precepto claro, contundente y apegado a las mejores prácticas, </w:t>
      </w:r>
      <w:r w:rsidRPr="005615F6">
        <w:rPr>
          <w:rFonts w:ascii="Century Gothic" w:hAnsi="Century Gothic"/>
          <w:bCs/>
          <w:sz w:val="24"/>
          <w:szCs w:val="24"/>
        </w:rPr>
        <w:t xml:space="preserve">legislando en favor de sus derechos, del fortalecimiento de la libertad, democracia y autonomía sindicales, así como garantizando que las personas servidoras públicas se conduzcan con probidad, rectitud y honestidad, evitando actos de injerencia que entorpezca la creación, funcionamiento, administración y el cabal y libre desarrollo </w:t>
      </w:r>
      <w:r w:rsidR="00174F1E" w:rsidRPr="005615F6">
        <w:rPr>
          <w:rFonts w:ascii="Century Gothic" w:hAnsi="Century Gothic"/>
          <w:bCs/>
          <w:sz w:val="24"/>
          <w:szCs w:val="24"/>
        </w:rPr>
        <w:t>de la actividad sindical.</w:t>
      </w:r>
    </w:p>
    <w:p w14:paraId="3D51E973" w14:textId="0A75BC6B" w:rsidR="00174F1E" w:rsidRPr="005615F6" w:rsidRDefault="00174F1E" w:rsidP="005615F6">
      <w:pPr>
        <w:spacing w:line="360" w:lineRule="auto"/>
        <w:jc w:val="both"/>
        <w:rPr>
          <w:rFonts w:ascii="Century Gothic" w:hAnsi="Century Gothic"/>
          <w:bCs/>
          <w:sz w:val="24"/>
          <w:szCs w:val="24"/>
        </w:rPr>
      </w:pPr>
    </w:p>
    <w:p w14:paraId="61CA0DF7" w14:textId="745C03D8" w:rsidR="00174F1E" w:rsidRPr="005615F6" w:rsidRDefault="00174F1E" w:rsidP="005615F6">
      <w:pPr>
        <w:spacing w:line="360" w:lineRule="auto"/>
        <w:jc w:val="both"/>
        <w:rPr>
          <w:rFonts w:ascii="Century Gothic" w:hAnsi="Century Gothic"/>
          <w:sz w:val="24"/>
          <w:szCs w:val="24"/>
        </w:rPr>
      </w:pPr>
      <w:r w:rsidRPr="005615F6">
        <w:rPr>
          <w:rFonts w:ascii="Century Gothic" w:hAnsi="Century Gothic"/>
          <w:sz w:val="24"/>
          <w:szCs w:val="24"/>
        </w:rPr>
        <w:t>La autonomía sindical es garantía de libertad, justicia y dignidad para las trabajadoras y trabajadores al servicio del Estado, por lo que, en la medida en que los sindicatos sean libres, se fortalecen los derechos laborales, se consolida el servicio público y se asegura que las dirigencias emanen de la voluntad de las bases y no del control político.</w:t>
      </w:r>
    </w:p>
    <w:p w14:paraId="739BA552" w14:textId="77777777" w:rsidR="00174F1E" w:rsidRPr="005615F6" w:rsidRDefault="00174F1E" w:rsidP="005615F6">
      <w:pPr>
        <w:spacing w:line="360" w:lineRule="auto"/>
        <w:jc w:val="both"/>
        <w:rPr>
          <w:rFonts w:ascii="Century Gothic" w:hAnsi="Century Gothic"/>
          <w:sz w:val="24"/>
          <w:szCs w:val="24"/>
        </w:rPr>
      </w:pPr>
    </w:p>
    <w:p w14:paraId="725131B2" w14:textId="641FBC5B" w:rsidR="00353EEF" w:rsidRPr="005615F6" w:rsidRDefault="00051B8E" w:rsidP="005615F6">
      <w:pPr>
        <w:spacing w:line="360" w:lineRule="auto"/>
        <w:jc w:val="both"/>
        <w:rPr>
          <w:rFonts w:ascii="Century Gothic" w:eastAsia="Times New Roman" w:hAnsi="Century Gothic" w:cs="Times New Roman"/>
          <w:color w:val="000000"/>
          <w:sz w:val="24"/>
          <w:szCs w:val="24"/>
          <w:lang w:val="es-MX"/>
        </w:rPr>
      </w:pPr>
      <w:r w:rsidRPr="005615F6">
        <w:rPr>
          <w:rFonts w:ascii="Century Gothic" w:eastAsia="Century Gothic" w:hAnsi="Century Gothic" w:cs="Century Gothic"/>
          <w:color w:val="000000"/>
          <w:sz w:val="24"/>
          <w:szCs w:val="24"/>
        </w:rPr>
        <w:t>P</w:t>
      </w:r>
      <w:r w:rsidR="00256708" w:rsidRPr="005615F6">
        <w:rPr>
          <w:rFonts w:ascii="Century Gothic" w:eastAsia="Century Gothic" w:hAnsi="Century Gothic" w:cs="Century Gothic"/>
          <w:color w:val="000000"/>
          <w:sz w:val="24"/>
          <w:szCs w:val="24"/>
        </w:rPr>
        <w:t>or lo</w:t>
      </w:r>
      <w:r w:rsidRPr="005615F6">
        <w:rPr>
          <w:rFonts w:ascii="Century Gothic" w:eastAsia="Century Gothic" w:hAnsi="Century Gothic" w:cs="Century Gothic"/>
          <w:color w:val="000000"/>
          <w:sz w:val="24"/>
          <w:szCs w:val="24"/>
        </w:rPr>
        <w:t xml:space="preserve"> anteriormente expuesto, nos </w:t>
      </w:r>
      <w:r w:rsidR="004A4563" w:rsidRPr="005615F6">
        <w:rPr>
          <w:rFonts w:ascii="Century Gothic" w:eastAsia="Century Gothic" w:hAnsi="Century Gothic" w:cs="Century Gothic"/>
          <w:color w:val="000000"/>
          <w:sz w:val="24"/>
          <w:szCs w:val="24"/>
        </w:rPr>
        <w:t>permit</w:t>
      </w:r>
      <w:r w:rsidRPr="005615F6">
        <w:rPr>
          <w:rFonts w:ascii="Century Gothic" w:eastAsia="Century Gothic" w:hAnsi="Century Gothic" w:cs="Century Gothic"/>
          <w:color w:val="000000"/>
          <w:sz w:val="24"/>
          <w:szCs w:val="24"/>
        </w:rPr>
        <w:t>imos</w:t>
      </w:r>
      <w:r w:rsidR="004A4563" w:rsidRPr="005615F6">
        <w:rPr>
          <w:rFonts w:ascii="Century Gothic" w:eastAsia="Century Gothic" w:hAnsi="Century Gothic" w:cs="Century Gothic"/>
          <w:color w:val="000000"/>
          <w:sz w:val="24"/>
          <w:szCs w:val="24"/>
        </w:rPr>
        <w:t xml:space="preserve"> someter a consideración del Pleno, el siguiente proyecto con carácter de:</w:t>
      </w:r>
    </w:p>
    <w:p w14:paraId="166106E9" w14:textId="77086A3B" w:rsidR="00051B8E" w:rsidRPr="00051B8E" w:rsidRDefault="00192313" w:rsidP="00051B8E">
      <w:pPr>
        <w:spacing w:before="240" w:after="240"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D E C R E T O:</w:t>
      </w:r>
    </w:p>
    <w:p w14:paraId="29268C2A" w14:textId="77777777" w:rsidR="00051B8E" w:rsidRPr="00051B8E" w:rsidRDefault="00051B8E" w:rsidP="00051B8E">
      <w:pPr>
        <w:spacing w:line="360" w:lineRule="auto"/>
        <w:jc w:val="both"/>
        <w:rPr>
          <w:rFonts w:ascii="Century Gothic" w:eastAsia="Times New Roman" w:hAnsi="Century Gothic" w:cs="Times New Roman"/>
          <w:color w:val="000000"/>
          <w:sz w:val="24"/>
          <w:szCs w:val="24"/>
          <w:lang w:val="es-MX"/>
        </w:rPr>
      </w:pPr>
      <w:r w:rsidRPr="00051B8E">
        <w:rPr>
          <w:rFonts w:ascii="Century Gothic" w:eastAsia="Times New Roman" w:hAnsi="Century Gothic" w:cs="Times New Roman"/>
          <w:b/>
          <w:bCs/>
          <w:color w:val="000000"/>
          <w:sz w:val="24"/>
          <w:szCs w:val="24"/>
          <w:lang w:val="es-MX"/>
        </w:rPr>
        <w:t>ARTÍCULO ÚNICO.</w:t>
      </w:r>
      <w:r w:rsidRPr="00051B8E">
        <w:rPr>
          <w:rFonts w:ascii="Century Gothic" w:eastAsia="Times New Roman" w:hAnsi="Century Gothic" w:cs="Times New Roman"/>
          <w:color w:val="000000"/>
          <w:sz w:val="24"/>
          <w:szCs w:val="24"/>
          <w:lang w:val="es-MX"/>
        </w:rPr>
        <w:t xml:space="preserve"> Se adiciona un artículo 110 BIS al Código Administrativo del Estado de Chihuahua, para quedar redactado de la siguiente manera:</w:t>
      </w:r>
    </w:p>
    <w:p w14:paraId="46DBF1E3" w14:textId="77777777" w:rsidR="00051B8E" w:rsidRPr="00051B8E" w:rsidRDefault="00051B8E" w:rsidP="00051B8E">
      <w:pPr>
        <w:spacing w:line="360" w:lineRule="auto"/>
        <w:jc w:val="both"/>
        <w:rPr>
          <w:rFonts w:ascii="Century Gothic" w:eastAsia="Times New Roman" w:hAnsi="Century Gothic" w:cs="Times New Roman"/>
          <w:color w:val="000000"/>
          <w:sz w:val="24"/>
          <w:szCs w:val="24"/>
          <w:lang w:val="es-MX"/>
        </w:rPr>
      </w:pPr>
    </w:p>
    <w:p w14:paraId="7EDB6801"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Artículo 110 BIS. Los sindicatos deberán gozar de adecuada protección contra todo acto de injerencia por parte de las personas servidoras públicas en su constitución, funcionamiento, administración y libre desarrollo de las elecciones sindicales, las condiciones de elegibilidad, la reelección y/o la destitución de las directivas de los sindicatos. Cualquier contravención a estas disposiciones será considerada falta administrativa grave y sancionada en los términos de la Ley General de Responsabilidades Administrativas.</w:t>
      </w:r>
    </w:p>
    <w:p w14:paraId="4231E6B3" w14:textId="77777777" w:rsidR="00051B8E" w:rsidRPr="00051B8E" w:rsidRDefault="00051B8E" w:rsidP="00051B8E">
      <w:pPr>
        <w:spacing w:line="360" w:lineRule="auto"/>
        <w:jc w:val="both"/>
        <w:rPr>
          <w:rFonts w:ascii="Century Gothic" w:eastAsia="Times New Roman" w:hAnsi="Century Gothic" w:cs="Times New Roman"/>
          <w:b/>
          <w:bCs/>
          <w:color w:val="000000"/>
          <w:sz w:val="24"/>
          <w:szCs w:val="24"/>
          <w:lang w:val="es-MX"/>
        </w:rPr>
      </w:pPr>
    </w:p>
    <w:p w14:paraId="0F6C3014"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Se entenderán como actos de injerencia sindical, entre otras, las siguientes conductas:</w:t>
      </w:r>
    </w:p>
    <w:p w14:paraId="447D3AF1" w14:textId="77777777" w:rsidR="00051B8E" w:rsidRPr="00051B8E" w:rsidRDefault="00051B8E" w:rsidP="00051B8E">
      <w:pPr>
        <w:spacing w:line="360" w:lineRule="auto"/>
        <w:jc w:val="both"/>
        <w:rPr>
          <w:rFonts w:ascii="Century Gothic" w:eastAsia="Times New Roman" w:hAnsi="Century Gothic" w:cs="Times New Roman"/>
          <w:b/>
          <w:bCs/>
          <w:color w:val="000000"/>
          <w:sz w:val="24"/>
          <w:szCs w:val="24"/>
          <w:lang w:val="es-MX"/>
        </w:rPr>
      </w:pPr>
    </w:p>
    <w:p w14:paraId="134B1AED"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I. Coaccionar, inducir o amenazar a personas trabajadoras o agremiadas para participar o abstenerse de participar en eventos de campaña sindical, o para votar por una planilla, dirigente o sindicato determinado.</w:t>
      </w:r>
    </w:p>
    <w:p w14:paraId="4354B4BD" w14:textId="77777777" w:rsidR="00051B8E" w:rsidRPr="00051B8E" w:rsidRDefault="00051B8E" w:rsidP="00051B8E">
      <w:pPr>
        <w:spacing w:line="360" w:lineRule="auto"/>
        <w:jc w:val="both"/>
        <w:rPr>
          <w:rFonts w:ascii="Century Gothic" w:eastAsia="Times New Roman" w:hAnsi="Century Gothic" w:cs="Times New Roman"/>
          <w:b/>
          <w:bCs/>
          <w:color w:val="000000"/>
          <w:sz w:val="24"/>
          <w:szCs w:val="24"/>
          <w:lang w:val="es-MX"/>
        </w:rPr>
      </w:pPr>
    </w:p>
    <w:p w14:paraId="23A68ACF"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II. Ejercer presión o intimidación jerárquica sobre subordinados para que expresen públicamente su apoyo o rechazo a determinada candidatura sindical.</w:t>
      </w:r>
    </w:p>
    <w:p w14:paraId="4727DA00"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5EE311AF"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lastRenderedPageBreak/>
        <w:t>III. Obligar o condicionar la asistencia a actos, mítines o reuniones sindicales con fines de proselitismo.</w:t>
      </w:r>
    </w:p>
    <w:p w14:paraId="482A3EB1"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17B3D728"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IV. Condicionar la prestación de servicios institucionales, apoyos, licencias o permisos laborales a la emisión del voto o apoyo hacia una planilla sindical.</w:t>
      </w:r>
    </w:p>
    <w:p w14:paraId="6951DE9D"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04D61903"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V. Ofrecer beneficios laborales, ascensos, estímulos o promociones a cambio de apoyo o voto sindical.</w:t>
      </w:r>
    </w:p>
    <w:p w14:paraId="248A31C1"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64A36C4A"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VI. Negar, suspender o limitar derechos o programas internos, capacitaciones, bonos o reconocimientos como represalia por no apoyar determinada opción sindical.</w:t>
      </w:r>
    </w:p>
    <w:p w14:paraId="6C7E2F0B"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3FDFA2DF"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VII. Utilizar programas institucionales o apoyos sociales para inducir o coaccionar el voto sindical.</w:t>
      </w:r>
    </w:p>
    <w:p w14:paraId="017811D1"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7650395E"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VIII. Destinar, utilizar o permitir el uso de fondos, bienes, servicios o personal institucional para favorecer o perjudicar a determinada planilla, corriente o dirigencia sindical.</w:t>
      </w:r>
    </w:p>
    <w:p w14:paraId="7EB5BF0F"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1D6FAE31"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IX. Difundir propaganda, mensajes o material institucional que promueva o desacredite a una candidatura o grupo sindical.</w:t>
      </w:r>
    </w:p>
    <w:p w14:paraId="607A5E7F"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51882007"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X. Permitir el uso de instalaciones, vehículos, redes o infraestructura pública para actos de campaña o propaganda sindical.</w:t>
      </w:r>
    </w:p>
    <w:p w14:paraId="6E4189FA"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63572910"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XI. Proporcionar apoyo o servicios institucionales para actividades de campaña sindical.</w:t>
      </w:r>
    </w:p>
    <w:p w14:paraId="21CF44B9"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278C34FD"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XII. Realizar aportaciones o solicitar contribuciones a subordinados para financiar campañas o actividades sindicales.</w:t>
      </w:r>
    </w:p>
    <w:p w14:paraId="48D9A833"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611681A5"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XIII. Usar recursos o programas institucionales con la finalidad de posicionar o promover ante la base trabajadora a una persona servidora pública o dirigente sindical.</w:t>
      </w:r>
    </w:p>
    <w:p w14:paraId="37787DF8"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24856392"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XIV. Negarse sin causa justificada a entregar información solicitada por la autoridad sindical o laboral competente, relacionada con el desarrollo de elecciones o procesos democráticos sindicales.</w:t>
      </w:r>
    </w:p>
    <w:p w14:paraId="2C498EAA"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1CF2D332"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XV. Omitir colaborar o prestar auxilio en los procesos de verificación, vigilancia o supervisión sindical cuando la autoridad lo requiera.</w:t>
      </w:r>
    </w:p>
    <w:p w14:paraId="2A9CEAED"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60ED3DB1"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XVI. Omitir actuar con imparcialidad durante los procesos electorales sindicales, afectando la equidad entre candidaturas.</w:t>
      </w:r>
    </w:p>
    <w:p w14:paraId="0864A6F7"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18660848"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XVII. Actuar con parcialidad o favorecer públicamente a determinada candidatura.</w:t>
      </w:r>
    </w:p>
    <w:p w14:paraId="1D586EA0"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6498BA01"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XVIII. Intervenir indebidamente en la equidad del proceso sindical, alterando la neutralidad institucional.</w:t>
      </w:r>
    </w:p>
    <w:p w14:paraId="522495F3" w14:textId="77777777" w:rsidR="00051B8E"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p>
    <w:p w14:paraId="2B311DA6" w14:textId="18E060C2" w:rsidR="004A4563" w:rsidRPr="00051B8E" w:rsidRDefault="00051B8E" w:rsidP="00051B8E">
      <w:pPr>
        <w:spacing w:line="360" w:lineRule="auto"/>
        <w:ind w:left="720"/>
        <w:jc w:val="both"/>
        <w:rPr>
          <w:rFonts w:ascii="Century Gothic" w:eastAsia="Times New Roman" w:hAnsi="Century Gothic" w:cs="Times New Roman"/>
          <w:b/>
          <w:bCs/>
          <w:color w:val="000000"/>
          <w:sz w:val="24"/>
          <w:szCs w:val="24"/>
          <w:lang w:val="es-MX"/>
        </w:rPr>
      </w:pPr>
      <w:r w:rsidRPr="00051B8E">
        <w:rPr>
          <w:rFonts w:ascii="Century Gothic" w:eastAsia="Times New Roman" w:hAnsi="Century Gothic" w:cs="Times New Roman"/>
          <w:b/>
          <w:bCs/>
          <w:color w:val="000000"/>
          <w:sz w:val="24"/>
          <w:szCs w:val="24"/>
          <w:lang w:val="es-MX"/>
        </w:rPr>
        <w:t>XIX. Utilizar su cargo para influir en la opinión de las personas trabajadoras, afectando la libertad del voto sindical.</w:t>
      </w:r>
    </w:p>
    <w:p w14:paraId="164B3117" w14:textId="3089D3C4" w:rsidR="00353EEF" w:rsidRDefault="00192313">
      <w:pPr>
        <w:spacing w:before="240" w:after="240" w:line="360" w:lineRule="auto"/>
        <w:jc w:val="center"/>
        <w:rPr>
          <w:rFonts w:ascii="Century Gothic" w:eastAsia="Century Gothic" w:hAnsi="Century Gothic" w:cs="Century Gothic"/>
          <w:b/>
          <w:sz w:val="24"/>
          <w:szCs w:val="24"/>
          <w:lang w:val="en-US"/>
        </w:rPr>
      </w:pPr>
      <w:r w:rsidRPr="004A4563">
        <w:rPr>
          <w:rFonts w:ascii="Century Gothic" w:eastAsia="Century Gothic" w:hAnsi="Century Gothic" w:cs="Century Gothic"/>
          <w:b/>
          <w:sz w:val="24"/>
          <w:szCs w:val="24"/>
          <w:lang w:val="en-US"/>
        </w:rPr>
        <w:t>T R A N S I T O R I O S.</w:t>
      </w:r>
    </w:p>
    <w:p w14:paraId="328DD57A" w14:textId="77777777" w:rsidR="00051B8E" w:rsidRPr="004A4563" w:rsidRDefault="00051B8E">
      <w:pPr>
        <w:spacing w:before="240" w:after="240" w:line="360" w:lineRule="auto"/>
        <w:jc w:val="center"/>
        <w:rPr>
          <w:rFonts w:ascii="Century Gothic" w:eastAsia="Century Gothic" w:hAnsi="Century Gothic" w:cs="Century Gothic"/>
          <w:b/>
          <w:sz w:val="24"/>
          <w:szCs w:val="24"/>
          <w:lang w:val="en-US"/>
        </w:rPr>
      </w:pPr>
    </w:p>
    <w:p w14:paraId="5DA6F347" w14:textId="6DE7E573" w:rsidR="00353EEF" w:rsidRDefault="004A4563">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PRIMERO. - </w:t>
      </w:r>
      <w:r>
        <w:rPr>
          <w:rFonts w:ascii="Century Gothic" w:eastAsia="Century Gothic" w:hAnsi="Century Gothic" w:cs="Century Gothic"/>
          <w:sz w:val="24"/>
          <w:szCs w:val="24"/>
        </w:rPr>
        <w:t>El presente Decreto entrará en vigor al día siguiente de su publicación en el Periódico Oficial del Estado.</w:t>
      </w:r>
    </w:p>
    <w:p w14:paraId="745A61BD" w14:textId="703E0E38" w:rsidR="00174F1E" w:rsidRDefault="00174F1E" w:rsidP="00174F1E">
      <w:pPr>
        <w:jc w:val="both"/>
        <w:rPr>
          <w:rFonts w:ascii="Century Gothic" w:hAnsi="Century Gothic"/>
          <w:bCs/>
          <w:sz w:val="24"/>
          <w:szCs w:val="24"/>
        </w:rPr>
      </w:pPr>
      <w:r w:rsidRPr="00174F1E">
        <w:rPr>
          <w:rFonts w:ascii="Century Gothic" w:hAnsi="Century Gothic"/>
          <w:b/>
          <w:sz w:val="24"/>
          <w:szCs w:val="24"/>
        </w:rPr>
        <w:t xml:space="preserve">SEGUNDO. </w:t>
      </w:r>
      <w:r w:rsidRPr="00174F1E">
        <w:rPr>
          <w:rFonts w:ascii="Century Gothic" w:hAnsi="Century Gothic"/>
          <w:bCs/>
          <w:sz w:val="24"/>
          <w:szCs w:val="24"/>
        </w:rPr>
        <w:t>Se derogan todas las disposiciones que se opongan al presente Decreto.</w:t>
      </w:r>
    </w:p>
    <w:p w14:paraId="17B47F6B" w14:textId="77777777" w:rsidR="00174F1E" w:rsidRPr="00174F1E" w:rsidRDefault="00174F1E" w:rsidP="00174F1E">
      <w:pPr>
        <w:jc w:val="both"/>
        <w:rPr>
          <w:rFonts w:ascii="Century Gothic" w:hAnsi="Century Gothic"/>
          <w:bCs/>
          <w:sz w:val="24"/>
          <w:szCs w:val="24"/>
        </w:rPr>
      </w:pPr>
    </w:p>
    <w:p w14:paraId="4D7F42FA" w14:textId="77777777" w:rsidR="00353EEF" w:rsidRDefault="00192313" w:rsidP="00051B8E">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ECONÓMICO. - </w:t>
      </w:r>
      <w:r>
        <w:rPr>
          <w:rFonts w:ascii="Century Gothic" w:eastAsia="Century Gothic" w:hAnsi="Century Gothic" w:cs="Century Gothic"/>
          <w:sz w:val="24"/>
          <w:szCs w:val="24"/>
        </w:rPr>
        <w:t>Aprobado que sea, túrnese a la Secretaría de Asuntos Legislativos y Jurídicos para que elabore la minuta de Decreto, en los términos en que deba publicarse.</w:t>
      </w:r>
    </w:p>
    <w:p w14:paraId="5B5703B0" w14:textId="77777777" w:rsidR="00174F1E" w:rsidRDefault="00174F1E">
      <w:pPr>
        <w:spacing w:before="240" w:after="240" w:line="360" w:lineRule="auto"/>
        <w:jc w:val="both"/>
        <w:rPr>
          <w:rFonts w:ascii="Century Gothic" w:eastAsia="Century Gothic" w:hAnsi="Century Gothic" w:cs="Century Gothic"/>
          <w:b/>
          <w:sz w:val="24"/>
          <w:szCs w:val="24"/>
        </w:rPr>
      </w:pPr>
    </w:p>
    <w:p w14:paraId="576FE17E" w14:textId="1601ADD5" w:rsidR="004A4563" w:rsidRDefault="00192313">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D A D </w:t>
      </w:r>
      <w:r w:rsidR="009B7FA6">
        <w:rPr>
          <w:rFonts w:ascii="Century Gothic" w:eastAsia="Century Gothic" w:hAnsi="Century Gothic" w:cs="Century Gothic"/>
          <w:b/>
          <w:sz w:val="24"/>
          <w:szCs w:val="24"/>
        </w:rPr>
        <w:t xml:space="preserve">O </w:t>
      </w:r>
      <w:r w:rsidR="009B7FA6">
        <w:rPr>
          <w:rFonts w:ascii="Century Gothic" w:eastAsia="Century Gothic" w:hAnsi="Century Gothic" w:cs="Century Gothic"/>
          <w:sz w:val="24"/>
          <w:szCs w:val="24"/>
        </w:rPr>
        <w:t>En</w:t>
      </w:r>
      <w:r w:rsidR="00256708">
        <w:rPr>
          <w:rFonts w:ascii="Century Gothic" w:eastAsia="Century Gothic" w:hAnsi="Century Gothic" w:cs="Century Gothic"/>
          <w:sz w:val="24"/>
          <w:szCs w:val="24"/>
        </w:rPr>
        <w:t xml:space="preserve"> </w:t>
      </w:r>
      <w:r w:rsidR="00051B8E">
        <w:rPr>
          <w:rFonts w:ascii="Century Gothic" w:eastAsia="Century Gothic" w:hAnsi="Century Gothic" w:cs="Century Gothic"/>
          <w:sz w:val="24"/>
          <w:szCs w:val="24"/>
        </w:rPr>
        <w:t>la Sala</w:t>
      </w:r>
      <w:r w:rsidR="00256708">
        <w:rPr>
          <w:rFonts w:ascii="Century Gothic" w:eastAsia="Century Gothic" w:hAnsi="Century Gothic" w:cs="Century Gothic"/>
          <w:sz w:val="24"/>
          <w:szCs w:val="24"/>
        </w:rPr>
        <w:t xml:space="preserve"> de Sesiones de</w:t>
      </w:r>
      <w:r w:rsidR="00051B8E">
        <w:rPr>
          <w:rFonts w:ascii="Century Gothic" w:eastAsia="Century Gothic" w:hAnsi="Century Gothic" w:cs="Century Gothic"/>
          <w:sz w:val="24"/>
          <w:szCs w:val="24"/>
        </w:rPr>
        <w:t xml:space="preserve"> la Diputación Permanente del </w:t>
      </w:r>
      <w:r>
        <w:rPr>
          <w:rFonts w:ascii="Century Gothic" w:eastAsia="Century Gothic" w:hAnsi="Century Gothic" w:cs="Century Gothic"/>
          <w:sz w:val="24"/>
          <w:szCs w:val="24"/>
        </w:rPr>
        <w:t>H. Congreso del Estado de Chihuahua</w:t>
      </w:r>
      <w:r w:rsidR="00051B8E">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a los </w:t>
      </w:r>
      <w:r w:rsidR="004A4563">
        <w:rPr>
          <w:rFonts w:ascii="Century Gothic" w:eastAsia="Century Gothic" w:hAnsi="Century Gothic" w:cs="Century Gothic"/>
          <w:sz w:val="24"/>
          <w:szCs w:val="24"/>
        </w:rPr>
        <w:t>1</w:t>
      </w:r>
      <w:r w:rsidR="00051B8E">
        <w:rPr>
          <w:rFonts w:ascii="Century Gothic" w:eastAsia="Century Gothic" w:hAnsi="Century Gothic" w:cs="Century Gothic"/>
          <w:sz w:val="24"/>
          <w:szCs w:val="24"/>
        </w:rPr>
        <w:t xml:space="preserve">6 </w:t>
      </w:r>
      <w:r>
        <w:rPr>
          <w:rFonts w:ascii="Century Gothic" w:eastAsia="Century Gothic" w:hAnsi="Century Gothic" w:cs="Century Gothic"/>
          <w:sz w:val="24"/>
          <w:szCs w:val="24"/>
        </w:rPr>
        <w:t>días del mes de</w:t>
      </w:r>
      <w:r w:rsidR="004A4563">
        <w:rPr>
          <w:rFonts w:ascii="Century Gothic" w:eastAsia="Century Gothic" w:hAnsi="Century Gothic" w:cs="Century Gothic"/>
          <w:sz w:val="24"/>
          <w:szCs w:val="24"/>
        </w:rPr>
        <w:t xml:space="preserve"> </w:t>
      </w:r>
      <w:r w:rsidR="00051B8E">
        <w:rPr>
          <w:rFonts w:ascii="Century Gothic" w:eastAsia="Century Gothic" w:hAnsi="Century Gothic" w:cs="Century Gothic"/>
          <w:sz w:val="24"/>
          <w:szCs w:val="24"/>
        </w:rPr>
        <w:t>enero</w:t>
      </w:r>
      <w:r>
        <w:rPr>
          <w:rFonts w:ascii="Century Gothic" w:eastAsia="Century Gothic" w:hAnsi="Century Gothic" w:cs="Century Gothic"/>
          <w:sz w:val="24"/>
          <w:szCs w:val="24"/>
        </w:rPr>
        <w:t xml:space="preserve"> del 202</w:t>
      </w:r>
      <w:r w:rsidR="00051B8E">
        <w:rPr>
          <w:rFonts w:ascii="Century Gothic" w:eastAsia="Century Gothic" w:hAnsi="Century Gothic" w:cs="Century Gothic"/>
          <w:sz w:val="24"/>
          <w:szCs w:val="24"/>
        </w:rPr>
        <w:t>6</w:t>
      </w:r>
      <w:r w:rsidR="00174F1E">
        <w:rPr>
          <w:rFonts w:ascii="Century Gothic" w:eastAsia="Century Gothic" w:hAnsi="Century Gothic" w:cs="Century Gothic"/>
          <w:sz w:val="24"/>
          <w:szCs w:val="24"/>
        </w:rPr>
        <w:t>.</w:t>
      </w:r>
    </w:p>
    <w:bookmarkEnd w:id="4"/>
    <w:p w14:paraId="7A2A7709" w14:textId="77777777" w:rsidR="004A4563" w:rsidRDefault="004A4563">
      <w:pPr>
        <w:spacing w:before="240" w:after="240" w:line="360" w:lineRule="auto"/>
        <w:jc w:val="both"/>
        <w:rPr>
          <w:rFonts w:ascii="Century Gothic" w:eastAsia="Century Gothic" w:hAnsi="Century Gothic" w:cs="Century Gothic"/>
          <w:sz w:val="24"/>
          <w:szCs w:val="24"/>
        </w:rPr>
      </w:pPr>
    </w:p>
    <w:p w14:paraId="4A25936C" w14:textId="77777777" w:rsidR="00353EEF" w:rsidRDefault="00192313">
      <w:pPr>
        <w:spacing w:before="240" w:after="240"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ATENTAMENTE:</w:t>
      </w:r>
    </w:p>
    <w:p w14:paraId="1E957984" w14:textId="77777777" w:rsidR="00353EEF" w:rsidRDefault="00353EEF">
      <w:pPr>
        <w:spacing w:before="240" w:after="240"/>
        <w:jc w:val="center"/>
        <w:rPr>
          <w:rFonts w:ascii="Century Gothic" w:eastAsia="Century Gothic" w:hAnsi="Century Gothic" w:cs="Century Gothic"/>
          <w:b/>
          <w:sz w:val="24"/>
          <w:szCs w:val="24"/>
        </w:rPr>
      </w:pPr>
    </w:p>
    <w:p w14:paraId="67638A47" w14:textId="77777777" w:rsidR="00353EEF" w:rsidRDefault="00353EEF">
      <w:pPr>
        <w:spacing w:before="240" w:after="240"/>
        <w:jc w:val="center"/>
        <w:rPr>
          <w:rFonts w:ascii="Century Gothic" w:eastAsia="Century Gothic" w:hAnsi="Century Gothic" w:cs="Century Gothic"/>
          <w:b/>
          <w:sz w:val="24"/>
          <w:szCs w:val="24"/>
        </w:rPr>
      </w:pPr>
    </w:p>
    <w:p w14:paraId="70BCB103" w14:textId="77777777" w:rsidR="00353EEF" w:rsidRDefault="00192313">
      <w:pPr>
        <w:spacing w:before="240" w:after="240"/>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 </w:t>
      </w:r>
    </w:p>
    <w:p w14:paraId="1A59A140" w14:textId="3A1162EA" w:rsidR="00051B8E" w:rsidRDefault="00192313" w:rsidP="00051B8E">
      <w:pPr>
        <w:spacing w:before="240" w:after="240"/>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DIP. OSCAR DANIEL AVITIA ARELLANES.</w:t>
      </w:r>
      <w:r w:rsidR="00051B8E">
        <w:rPr>
          <w:rFonts w:ascii="Century Gothic" w:eastAsia="Century Gothic" w:hAnsi="Century Gothic" w:cs="Century Gothic"/>
          <w:b/>
          <w:sz w:val="24"/>
          <w:szCs w:val="24"/>
        </w:rPr>
        <w:tab/>
        <w:t xml:space="preserve">        DIP. EDITH PALMA ONTIVEROS.</w:t>
      </w:r>
    </w:p>
    <w:p w14:paraId="4F7673DA" w14:textId="77777777" w:rsidR="00353EEF" w:rsidRDefault="00192313">
      <w:pPr>
        <w:spacing w:before="240" w:after="240"/>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 </w:t>
      </w:r>
    </w:p>
    <w:p w14:paraId="675093DD" w14:textId="77777777" w:rsidR="00353EEF" w:rsidRDefault="00353EEF">
      <w:pPr>
        <w:spacing w:before="240" w:after="240"/>
        <w:jc w:val="center"/>
        <w:rPr>
          <w:rFonts w:ascii="Century Gothic" w:eastAsia="Century Gothic" w:hAnsi="Century Gothic" w:cs="Century Gothic"/>
          <w:b/>
          <w:sz w:val="24"/>
          <w:szCs w:val="24"/>
        </w:rPr>
      </w:pPr>
    </w:p>
    <w:sectPr w:rsidR="00353EEF">
      <w:headerReference w:type="default" r:id="rId8"/>
      <w:pgSz w:w="11909" w:h="16834"/>
      <w:pgMar w:top="3799"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FE82E" w14:textId="77777777" w:rsidR="00533DB9" w:rsidRDefault="00533DB9">
      <w:pPr>
        <w:spacing w:line="240" w:lineRule="auto"/>
      </w:pPr>
      <w:r>
        <w:separator/>
      </w:r>
    </w:p>
  </w:endnote>
  <w:endnote w:type="continuationSeparator" w:id="0">
    <w:p w14:paraId="28AEC199" w14:textId="77777777" w:rsidR="00533DB9" w:rsidRDefault="00533D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embedRegular r:id="rId1" w:fontKey="{10C0A22C-5322-437B-BFFD-252FA30BE822}"/>
    <w:embedBold r:id="rId2" w:fontKey="{8E7DCD4B-DE0D-45E5-9A7C-891FFDD84012}"/>
    <w:embedItalic r:id="rId3" w:fontKey="{4F3C3F1E-4873-407B-8B4E-292C5B6D48B9}"/>
    <w:embedBoldItalic r:id="rId4" w:fontKey="{781297E7-0C7B-4170-BE5B-32E30CEF7815}"/>
  </w:font>
  <w:font w:name="Dancing Script">
    <w:altName w:val="Calibri"/>
    <w:charset w:val="00"/>
    <w:family w:val="auto"/>
    <w:pitch w:val="default"/>
    <w:embedRegular r:id="rId5" w:fontKey="{2DB9067A-B8B5-41CF-BB6C-B5F47EA5DC8E}"/>
  </w:font>
  <w:font w:name="Calibri">
    <w:panose1 w:val="020F0502020204030204"/>
    <w:charset w:val="00"/>
    <w:family w:val="swiss"/>
    <w:pitch w:val="variable"/>
    <w:sig w:usb0="E4002EFF" w:usb1="C200247B" w:usb2="00000009" w:usb3="00000000" w:csb0="000001FF" w:csb1="00000000"/>
    <w:embedRegular r:id="rId6" w:fontKey="{5C9D4E21-6C08-479D-AEFB-E63F5373D087}"/>
  </w:font>
  <w:font w:name="Cambria">
    <w:panose1 w:val="02040503050406030204"/>
    <w:charset w:val="00"/>
    <w:family w:val="roman"/>
    <w:pitch w:val="variable"/>
    <w:sig w:usb0="E00006FF" w:usb1="420024FF" w:usb2="02000000" w:usb3="00000000" w:csb0="0000019F" w:csb1="00000000"/>
    <w:embedRegular r:id="rId7" w:fontKey="{B4917E76-1905-4415-9015-C438DE3DF5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18FC2" w14:textId="77777777" w:rsidR="00533DB9" w:rsidRDefault="00533DB9">
      <w:pPr>
        <w:spacing w:line="240" w:lineRule="auto"/>
      </w:pPr>
      <w:r>
        <w:separator/>
      </w:r>
    </w:p>
  </w:footnote>
  <w:footnote w:type="continuationSeparator" w:id="0">
    <w:p w14:paraId="2D38703A" w14:textId="77777777" w:rsidR="00533DB9" w:rsidRDefault="00533DB9">
      <w:pPr>
        <w:spacing w:line="240" w:lineRule="auto"/>
      </w:pPr>
      <w:r>
        <w:continuationSeparator/>
      </w:r>
    </w:p>
  </w:footnote>
  <w:footnote w:id="1">
    <w:p w14:paraId="4E3F8F0B" w14:textId="77777777" w:rsidR="005734A2" w:rsidRPr="00882F87" w:rsidRDefault="005734A2" w:rsidP="005734A2">
      <w:pPr>
        <w:spacing w:line="240" w:lineRule="auto"/>
        <w:rPr>
          <w:sz w:val="20"/>
          <w:szCs w:val="20"/>
        </w:rPr>
      </w:pPr>
      <w:r w:rsidRPr="00882F87">
        <w:rPr>
          <w:vertAlign w:val="superscript"/>
        </w:rPr>
        <w:footnoteRef/>
      </w:r>
      <w:r w:rsidRPr="00882F87">
        <w:rPr>
          <w:sz w:val="20"/>
          <w:szCs w:val="20"/>
        </w:rPr>
        <w:t xml:space="preserve"> https://archivos.juridicas.unam.mx/www/bjv/libros/8/3809/10.pdf</w:t>
      </w:r>
    </w:p>
  </w:footnote>
  <w:footnote w:id="2">
    <w:p w14:paraId="775F6BF0" w14:textId="77777777" w:rsidR="005734A2" w:rsidRPr="00882F87" w:rsidRDefault="005734A2" w:rsidP="005734A2">
      <w:pPr>
        <w:spacing w:line="240" w:lineRule="auto"/>
        <w:rPr>
          <w:sz w:val="20"/>
          <w:szCs w:val="20"/>
        </w:rPr>
      </w:pPr>
      <w:r w:rsidRPr="00882F87">
        <w:rPr>
          <w:vertAlign w:val="superscript"/>
        </w:rPr>
        <w:footnoteRef/>
      </w:r>
      <w:r w:rsidRPr="00882F87">
        <w:rPr>
          <w:sz w:val="20"/>
          <w:szCs w:val="20"/>
        </w:rPr>
        <w:t>https://www.ohchr.org/es/instruments-mechanisms/instruments/freedom-association-and-protection-right-organize-convention</w:t>
      </w:r>
    </w:p>
  </w:footnote>
  <w:footnote w:id="3">
    <w:p w14:paraId="22BCD950" w14:textId="77777777" w:rsidR="005734A2" w:rsidRPr="00882F87" w:rsidRDefault="005734A2" w:rsidP="005734A2">
      <w:pPr>
        <w:spacing w:line="240" w:lineRule="auto"/>
        <w:rPr>
          <w:sz w:val="20"/>
          <w:szCs w:val="20"/>
        </w:rPr>
      </w:pPr>
      <w:r w:rsidRPr="00882F87">
        <w:rPr>
          <w:vertAlign w:val="superscript"/>
        </w:rPr>
        <w:footnoteRef/>
      </w:r>
      <w:r w:rsidRPr="00882F87">
        <w:rPr>
          <w:sz w:val="20"/>
          <w:szCs w:val="20"/>
        </w:rPr>
        <w:t>SCJN, Registro digital: 817000, Quinta Época, Materia(s): Laboral, Fuente: Informes Tipo: Tesis Aislada.</w:t>
      </w:r>
      <w:hyperlink r:id="rId1">
        <w:r w:rsidRPr="00882F87">
          <w:rPr>
            <w:color w:val="1155CC"/>
            <w:sz w:val="20"/>
            <w:szCs w:val="20"/>
            <w:u w:val="single"/>
          </w:rPr>
          <w:t>https://bj.scjn.gob.mx/doc/tesis/tvZqMHYBN_4klb4H6VFv/%22Estibadores%22</w:t>
        </w:r>
      </w:hyperlink>
      <w:r w:rsidRPr="00882F87">
        <w:rPr>
          <w:sz w:val="20"/>
          <w:szCs w:val="20"/>
        </w:rPr>
        <w:t xml:space="preserve"> </w:t>
      </w:r>
    </w:p>
    <w:p w14:paraId="41E9A71B" w14:textId="77777777" w:rsidR="005734A2" w:rsidRDefault="005734A2" w:rsidP="005734A2">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C6600" w14:textId="15DAAC04" w:rsidR="00353EEF" w:rsidRDefault="00353EEF">
    <w:pPr>
      <w:pBdr>
        <w:top w:val="nil"/>
        <w:left w:val="nil"/>
        <w:bottom w:val="nil"/>
        <w:right w:val="nil"/>
        <w:between w:val="nil"/>
      </w:pBdr>
      <w:tabs>
        <w:tab w:val="center" w:pos="4419"/>
        <w:tab w:val="right" w:pos="8838"/>
      </w:tabs>
      <w:spacing w:line="240" w:lineRule="auto"/>
      <w:ind w:hanging="2"/>
      <w:jc w:val="right"/>
      <w:rPr>
        <w:rFonts w:ascii="Dancing Script" w:eastAsia="Dancing Script" w:hAnsi="Dancing Script" w:cs="Dancing Script"/>
        <w:color w:val="000000"/>
        <w:sz w:val="20"/>
        <w:szCs w:val="20"/>
      </w:rPr>
    </w:pPr>
  </w:p>
  <w:p w14:paraId="0105E495" w14:textId="77777777" w:rsidR="00F1018F" w:rsidRDefault="00F1018F">
    <w:pPr>
      <w:pBdr>
        <w:top w:val="nil"/>
        <w:left w:val="nil"/>
        <w:bottom w:val="nil"/>
        <w:right w:val="nil"/>
        <w:between w:val="nil"/>
      </w:pBdr>
      <w:tabs>
        <w:tab w:val="center" w:pos="4419"/>
        <w:tab w:val="right" w:pos="8838"/>
      </w:tabs>
      <w:spacing w:line="240" w:lineRule="auto"/>
      <w:ind w:hanging="2"/>
      <w:jc w:val="right"/>
      <w:rPr>
        <w:color w:val="000000"/>
      </w:rPr>
    </w:pPr>
  </w:p>
  <w:p w14:paraId="5E91DCAC" w14:textId="77777777" w:rsidR="00353EEF" w:rsidRDefault="00192313">
    <w:pPr>
      <w:pBdr>
        <w:top w:val="nil"/>
        <w:left w:val="nil"/>
        <w:bottom w:val="nil"/>
        <w:right w:val="nil"/>
        <w:between w:val="nil"/>
      </w:pBdr>
      <w:tabs>
        <w:tab w:val="center" w:pos="4419"/>
        <w:tab w:val="right" w:pos="8838"/>
      </w:tabs>
      <w:spacing w:line="240" w:lineRule="auto"/>
      <w:jc w:val="right"/>
      <w:rPr>
        <w:color w:val="000000"/>
      </w:rPr>
    </w:pPr>
    <w:r>
      <w:rPr>
        <w:noProof/>
      </w:rPr>
      <w:drawing>
        <wp:inline distT="114300" distB="114300" distL="114300" distR="114300" wp14:anchorId="6AF10C96" wp14:editId="3C7CBC3F">
          <wp:extent cx="478163" cy="4781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8163" cy="4781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19E1"/>
    <w:multiLevelType w:val="hybridMultilevel"/>
    <w:tmpl w:val="64F45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187F8D"/>
    <w:multiLevelType w:val="hybridMultilevel"/>
    <w:tmpl w:val="230C006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2A0A69BF"/>
    <w:multiLevelType w:val="hybridMultilevel"/>
    <w:tmpl w:val="05F87704"/>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32D301B7"/>
    <w:multiLevelType w:val="hybridMultilevel"/>
    <w:tmpl w:val="9B0CB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16426E6"/>
    <w:multiLevelType w:val="hybridMultilevel"/>
    <w:tmpl w:val="EF507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ACD28BF"/>
    <w:multiLevelType w:val="hybridMultilevel"/>
    <w:tmpl w:val="040454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06B0318"/>
    <w:multiLevelType w:val="hybridMultilevel"/>
    <w:tmpl w:val="E0941E6A"/>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73B417B2"/>
    <w:multiLevelType w:val="hybridMultilevel"/>
    <w:tmpl w:val="ACB4E4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8E77631"/>
    <w:multiLevelType w:val="hybridMultilevel"/>
    <w:tmpl w:val="C08E9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DCE1255"/>
    <w:multiLevelType w:val="hybridMultilevel"/>
    <w:tmpl w:val="B69C2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7"/>
  </w:num>
  <w:num w:numId="6">
    <w:abstractNumId w:val="6"/>
  </w:num>
  <w:num w:numId="7">
    <w:abstractNumId w:val="9"/>
  </w:num>
  <w:num w:numId="8">
    <w:abstractNumId w:val="3"/>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EEF"/>
    <w:rsid w:val="00051B8E"/>
    <w:rsid w:val="00174F1E"/>
    <w:rsid w:val="00192313"/>
    <w:rsid w:val="00256708"/>
    <w:rsid w:val="00353EEF"/>
    <w:rsid w:val="00432F59"/>
    <w:rsid w:val="004A4563"/>
    <w:rsid w:val="005075D3"/>
    <w:rsid w:val="0051459A"/>
    <w:rsid w:val="00524892"/>
    <w:rsid w:val="00533DB9"/>
    <w:rsid w:val="005615F6"/>
    <w:rsid w:val="005734A2"/>
    <w:rsid w:val="00617A54"/>
    <w:rsid w:val="00737CD9"/>
    <w:rsid w:val="007D403B"/>
    <w:rsid w:val="00866EF0"/>
    <w:rsid w:val="0093555A"/>
    <w:rsid w:val="009B7FA6"/>
    <w:rsid w:val="00AB5FC7"/>
    <w:rsid w:val="00B30423"/>
    <w:rsid w:val="00F1018F"/>
    <w:rsid w:val="00F14D53"/>
    <w:rsid w:val="00F154BE"/>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644F9"/>
  <w15:docId w15:val="{C1CA9D8E-CCBE-F244-BC7B-40EEAEA64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1C3BF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C3BF8"/>
  </w:style>
  <w:style w:type="paragraph" w:styleId="Piedepgina">
    <w:name w:val="footer"/>
    <w:basedOn w:val="Normal"/>
    <w:link w:val="PiedepginaCar"/>
    <w:uiPriority w:val="99"/>
    <w:unhideWhenUsed/>
    <w:rsid w:val="001C3BF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C3BF8"/>
  </w:style>
  <w:style w:type="table" w:customStyle="1" w:styleId="a0">
    <w:basedOn w:val="TableNormal1"/>
    <w:tblPr>
      <w:tblStyleRowBandSize w:val="1"/>
      <w:tblStyleColBandSize w:val="1"/>
      <w:tblCellMar>
        <w:top w:w="100" w:type="dxa"/>
        <w:left w:w="100" w:type="dxa"/>
        <w:bottom w:w="100" w:type="dxa"/>
        <w:right w:w="100" w:type="dxa"/>
      </w:tblCellMar>
    </w:tblPr>
  </w:style>
  <w:style w:type="character" w:customStyle="1" w:styleId="css-1jxf6841">
    <w:name w:val="css-1jxf6841"/>
    <w:basedOn w:val="Fuentedeprrafopredeter"/>
    <w:rsid w:val="00971B6A"/>
    <w:rPr>
      <w:strike w:val="0"/>
      <w:dstrike w:val="0"/>
      <w:vanish w:val="0"/>
      <w:webHidden w:val="0"/>
      <w:u w:val="none"/>
      <w:effect w:val="none"/>
      <w:bdr w:val="single" w:sz="2" w:space="0" w:color="000000" w:frame="1"/>
      <w:specVanish w:val="0"/>
    </w:rPr>
  </w:style>
  <w:style w:type="character" w:customStyle="1" w:styleId="apple-converted-space">
    <w:name w:val="apple-converted-space"/>
    <w:basedOn w:val="Fuentedeprrafopredeter"/>
    <w:rsid w:val="00A62CDA"/>
  </w:style>
  <w:style w:type="paragraph" w:customStyle="1" w:styleId="parrafo">
    <w:name w:val="parrafo"/>
    <w:basedOn w:val="Normal"/>
    <w:rsid w:val="00CA6ACC"/>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NormalWeb">
    <w:name w:val="Normal (Web)"/>
    <w:basedOn w:val="Normal"/>
    <w:uiPriority w:val="99"/>
    <w:unhideWhenUsed/>
    <w:rsid w:val="00CA6ACC"/>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css-1jxf684">
    <w:name w:val="css-1jxf684"/>
    <w:basedOn w:val="Fuentedeprrafopredeter"/>
    <w:rsid w:val="00274D9F"/>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customStyle="1" w:styleId="break-words">
    <w:name w:val="break-words"/>
    <w:basedOn w:val="Normal"/>
    <w:rsid w:val="004A4563"/>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Textoennegrita">
    <w:name w:val="Strong"/>
    <w:basedOn w:val="Fuentedeprrafopredeter"/>
    <w:uiPriority w:val="22"/>
    <w:qFormat/>
    <w:rsid w:val="004A4563"/>
    <w:rPr>
      <w:b/>
      <w:bCs/>
    </w:rPr>
  </w:style>
  <w:style w:type="paragraph" w:styleId="Prrafodelista">
    <w:name w:val="List Paragraph"/>
    <w:basedOn w:val="Normal"/>
    <w:uiPriority w:val="34"/>
    <w:qFormat/>
    <w:rsid w:val="005734A2"/>
    <w:pPr>
      <w:spacing w:after="160" w:line="259" w:lineRule="auto"/>
      <w:ind w:left="720"/>
      <w:contextualSpacing/>
    </w:pPr>
    <w:rPr>
      <w:rFonts w:ascii="Aptos" w:eastAsia="Aptos" w:hAnsi="Aptos" w:cs="Aptos"/>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893269">
      <w:bodyDiv w:val="1"/>
      <w:marLeft w:val="0"/>
      <w:marRight w:val="0"/>
      <w:marTop w:val="0"/>
      <w:marBottom w:val="0"/>
      <w:divBdr>
        <w:top w:val="none" w:sz="0" w:space="0" w:color="auto"/>
        <w:left w:val="none" w:sz="0" w:space="0" w:color="auto"/>
        <w:bottom w:val="none" w:sz="0" w:space="0" w:color="auto"/>
        <w:right w:val="none" w:sz="0" w:space="0" w:color="auto"/>
      </w:divBdr>
      <w:divsChild>
        <w:div w:id="1284269558">
          <w:marLeft w:val="0"/>
          <w:marRight w:val="0"/>
          <w:marTop w:val="0"/>
          <w:marBottom w:val="0"/>
          <w:divBdr>
            <w:top w:val="none" w:sz="0" w:space="0" w:color="auto"/>
            <w:left w:val="none" w:sz="0" w:space="0" w:color="auto"/>
            <w:bottom w:val="none" w:sz="0" w:space="0" w:color="auto"/>
            <w:right w:val="none" w:sz="0" w:space="0" w:color="auto"/>
          </w:divBdr>
        </w:div>
      </w:divsChild>
    </w:div>
    <w:div w:id="813063601">
      <w:bodyDiv w:val="1"/>
      <w:marLeft w:val="0"/>
      <w:marRight w:val="0"/>
      <w:marTop w:val="0"/>
      <w:marBottom w:val="0"/>
      <w:divBdr>
        <w:top w:val="none" w:sz="0" w:space="0" w:color="auto"/>
        <w:left w:val="none" w:sz="0" w:space="0" w:color="auto"/>
        <w:bottom w:val="none" w:sz="0" w:space="0" w:color="auto"/>
        <w:right w:val="none" w:sz="0" w:space="0" w:color="auto"/>
      </w:divBdr>
      <w:divsChild>
        <w:div w:id="1329022091">
          <w:marLeft w:val="0"/>
          <w:marRight w:val="0"/>
          <w:marTop w:val="0"/>
          <w:marBottom w:val="0"/>
          <w:divBdr>
            <w:top w:val="none" w:sz="0" w:space="0" w:color="auto"/>
            <w:left w:val="none" w:sz="0" w:space="0" w:color="auto"/>
            <w:bottom w:val="none" w:sz="0" w:space="0" w:color="auto"/>
            <w:right w:val="none" w:sz="0" w:space="0" w:color="auto"/>
          </w:divBdr>
        </w:div>
      </w:divsChild>
    </w:div>
    <w:div w:id="1312907127">
      <w:bodyDiv w:val="1"/>
      <w:marLeft w:val="0"/>
      <w:marRight w:val="0"/>
      <w:marTop w:val="0"/>
      <w:marBottom w:val="0"/>
      <w:divBdr>
        <w:top w:val="none" w:sz="0" w:space="0" w:color="auto"/>
        <w:left w:val="none" w:sz="0" w:space="0" w:color="auto"/>
        <w:bottom w:val="none" w:sz="0" w:space="0" w:color="auto"/>
        <w:right w:val="none" w:sz="0" w:space="0" w:color="auto"/>
      </w:divBdr>
      <w:divsChild>
        <w:div w:id="1207327963">
          <w:marLeft w:val="0"/>
          <w:marRight w:val="0"/>
          <w:marTop w:val="0"/>
          <w:marBottom w:val="0"/>
          <w:divBdr>
            <w:top w:val="none" w:sz="0" w:space="0" w:color="auto"/>
            <w:left w:val="none" w:sz="0" w:space="0" w:color="auto"/>
            <w:bottom w:val="none" w:sz="0" w:space="0" w:color="auto"/>
            <w:right w:val="none" w:sz="0" w:space="0" w:color="auto"/>
          </w:divBdr>
        </w:div>
      </w:divsChild>
    </w:div>
    <w:div w:id="1735157484">
      <w:bodyDiv w:val="1"/>
      <w:marLeft w:val="0"/>
      <w:marRight w:val="0"/>
      <w:marTop w:val="0"/>
      <w:marBottom w:val="0"/>
      <w:divBdr>
        <w:top w:val="none" w:sz="0" w:space="0" w:color="auto"/>
        <w:left w:val="none" w:sz="0" w:space="0" w:color="auto"/>
        <w:bottom w:val="none" w:sz="0" w:space="0" w:color="auto"/>
        <w:right w:val="none" w:sz="0" w:space="0" w:color="auto"/>
      </w:divBdr>
    </w:div>
    <w:div w:id="1811365752">
      <w:bodyDiv w:val="1"/>
      <w:marLeft w:val="0"/>
      <w:marRight w:val="0"/>
      <w:marTop w:val="0"/>
      <w:marBottom w:val="0"/>
      <w:divBdr>
        <w:top w:val="none" w:sz="0" w:space="0" w:color="auto"/>
        <w:left w:val="none" w:sz="0" w:space="0" w:color="auto"/>
        <w:bottom w:val="none" w:sz="0" w:space="0" w:color="auto"/>
        <w:right w:val="none" w:sz="0" w:space="0" w:color="auto"/>
      </w:divBdr>
      <w:divsChild>
        <w:div w:id="505364667">
          <w:marLeft w:val="0"/>
          <w:marRight w:val="0"/>
          <w:marTop w:val="0"/>
          <w:marBottom w:val="0"/>
          <w:divBdr>
            <w:top w:val="none" w:sz="0" w:space="0" w:color="auto"/>
            <w:left w:val="none" w:sz="0" w:space="0" w:color="auto"/>
            <w:bottom w:val="none" w:sz="0" w:space="0" w:color="auto"/>
            <w:right w:val="none" w:sz="0" w:space="0" w:color="auto"/>
          </w:divBdr>
        </w:div>
      </w:divsChild>
    </w:div>
    <w:div w:id="1884975778">
      <w:bodyDiv w:val="1"/>
      <w:marLeft w:val="0"/>
      <w:marRight w:val="0"/>
      <w:marTop w:val="0"/>
      <w:marBottom w:val="0"/>
      <w:divBdr>
        <w:top w:val="none" w:sz="0" w:space="0" w:color="auto"/>
        <w:left w:val="none" w:sz="0" w:space="0" w:color="auto"/>
        <w:bottom w:val="none" w:sz="0" w:space="0" w:color="auto"/>
        <w:right w:val="none" w:sz="0" w:space="0" w:color="auto"/>
      </w:divBdr>
    </w:div>
    <w:div w:id="1955162969">
      <w:bodyDiv w:val="1"/>
      <w:marLeft w:val="0"/>
      <w:marRight w:val="0"/>
      <w:marTop w:val="0"/>
      <w:marBottom w:val="0"/>
      <w:divBdr>
        <w:top w:val="none" w:sz="0" w:space="0" w:color="auto"/>
        <w:left w:val="none" w:sz="0" w:space="0" w:color="auto"/>
        <w:bottom w:val="none" w:sz="0" w:space="0" w:color="auto"/>
        <w:right w:val="none" w:sz="0" w:space="0" w:color="auto"/>
      </w:divBdr>
      <w:divsChild>
        <w:div w:id="889465138">
          <w:marLeft w:val="0"/>
          <w:marRight w:val="0"/>
          <w:marTop w:val="0"/>
          <w:marBottom w:val="0"/>
          <w:divBdr>
            <w:top w:val="none" w:sz="0" w:space="0" w:color="auto"/>
            <w:left w:val="none" w:sz="0" w:space="0" w:color="auto"/>
            <w:bottom w:val="none" w:sz="0" w:space="0" w:color="auto"/>
            <w:right w:val="none" w:sz="0" w:space="0" w:color="auto"/>
          </w:divBdr>
        </w:div>
      </w:divsChild>
    </w:div>
    <w:div w:id="2102144963">
      <w:bodyDiv w:val="1"/>
      <w:marLeft w:val="0"/>
      <w:marRight w:val="0"/>
      <w:marTop w:val="0"/>
      <w:marBottom w:val="0"/>
      <w:divBdr>
        <w:top w:val="none" w:sz="0" w:space="0" w:color="auto"/>
        <w:left w:val="none" w:sz="0" w:space="0" w:color="auto"/>
        <w:bottom w:val="none" w:sz="0" w:space="0" w:color="auto"/>
        <w:right w:val="none" w:sz="0" w:space="0" w:color="auto"/>
      </w:divBdr>
      <w:divsChild>
        <w:div w:id="10508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bj.scjn.gob.mx/doc/tesis/tvZqMHYBN_4klb4H6VFv/%22Estibadores%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tdbz/P4idSd9FYFuky1LrHPb2Q==">CgMxLjA4AHIhMXNmaHg2T3llU2JvVEdDY1lZbDgtVVE1cWQzR1NYLVZl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3135</Words>
  <Characters>17248</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 SNTE 1</dc:creator>
  <cp:lastModifiedBy>Andrea Daniela Flores Chacon</cp:lastModifiedBy>
  <cp:revision>2</cp:revision>
  <cp:lastPrinted>2026-01-15T20:40:00Z</cp:lastPrinted>
  <dcterms:created xsi:type="dcterms:W3CDTF">2026-01-15T20:56:00Z</dcterms:created>
  <dcterms:modified xsi:type="dcterms:W3CDTF">2026-01-15T20:56:00Z</dcterms:modified>
</cp:coreProperties>
</file>