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E805" w14:textId="77777777" w:rsidR="00551440" w:rsidRDefault="00253331">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2D51DA64" w14:textId="77777777" w:rsidR="00551440" w:rsidRDefault="00253331">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3833E840" w14:textId="2E61401F"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suscribimos, </w:t>
      </w:r>
      <w:r>
        <w:rPr>
          <w:rFonts w:ascii="Century Gothic" w:eastAsia="Century Gothic" w:hAnsi="Century Gothic" w:cs="Century Gothic"/>
          <w:b/>
          <w:sz w:val="24"/>
          <w:szCs w:val="24"/>
        </w:rPr>
        <w:t xml:space="preserve">Oscar Daniel Avitia Arellanes, </w:t>
      </w:r>
      <w:r>
        <w:rPr>
          <w:rFonts w:ascii="Century Gothic" w:eastAsia="Century Gothic" w:hAnsi="Century Gothic" w:cs="Century Gothic"/>
          <w:b/>
          <w:sz w:val="24"/>
          <w:szCs w:val="24"/>
          <w:shd w:val="clear" w:color="auto" w:fill="FEFFFF"/>
        </w:rPr>
        <w:t>Edin</w:t>
      </w:r>
      <w:r w:rsidR="00380A4B">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 xml:space="preserve">Cuauhtémoc Estrada Sotelo, Magdalena Rentería Pérez, Jael Argüelles Díaz, Brenda Francisca Ríos Prieto, Elizabeth </w:t>
      </w:r>
      <w:r w:rsidR="00380A4B">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 Edith Palma Ontiveros, Herminia Gómez Carrasco, Leticia Ortega </w:t>
      </w:r>
      <w:r w:rsidR="00380A4B">
        <w:rPr>
          <w:rFonts w:ascii="Century Gothic" w:eastAsia="Century Gothic" w:hAnsi="Century Gothic" w:cs="Century Gothic"/>
          <w:b/>
          <w:sz w:val="24"/>
          <w:szCs w:val="24"/>
          <w:shd w:val="clear" w:color="auto" w:fill="FEFFFF"/>
        </w:rPr>
        <w:t>Máynez</w:t>
      </w:r>
      <w:r>
        <w:rPr>
          <w:rFonts w:ascii="Century Gothic" w:eastAsia="Century Gothic" w:hAnsi="Century Gothic" w:cs="Century Gothic"/>
          <w:b/>
          <w:sz w:val="24"/>
          <w:szCs w:val="24"/>
          <w:shd w:val="clear" w:color="auto" w:fill="FEFFFF"/>
        </w:rPr>
        <w:t>, María Antonieta Pérez Reyes, Pedro Torres Estrada y Rosana Díaz Reyes</w:t>
      </w:r>
      <w:r>
        <w:rPr>
          <w:rFonts w:ascii="Century Gothic" w:eastAsia="Century Gothic" w:hAnsi="Century Gothic" w:cs="Century Gothic"/>
          <w:sz w:val="24"/>
          <w:szCs w:val="24"/>
        </w:rPr>
        <w:t xml:space="preserve">,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la siguiente </w:t>
      </w:r>
      <w:r>
        <w:rPr>
          <w:rFonts w:ascii="Century Gothic" w:eastAsia="Century Gothic" w:hAnsi="Century Gothic" w:cs="Century Gothic"/>
          <w:b/>
          <w:sz w:val="24"/>
          <w:szCs w:val="24"/>
        </w:rPr>
        <w:t xml:space="preserve">PROPOSICIÓN </w:t>
      </w:r>
      <w:r>
        <w:rPr>
          <w:rFonts w:ascii="Century Gothic" w:eastAsia="Century Gothic" w:hAnsi="Century Gothic" w:cs="Century Gothic"/>
          <w:sz w:val="24"/>
          <w:szCs w:val="24"/>
        </w:rPr>
        <w:t xml:space="preserve">con carácter de </w:t>
      </w:r>
      <w:r>
        <w:rPr>
          <w:rFonts w:ascii="Century Gothic" w:eastAsia="Century Gothic" w:hAnsi="Century Gothic" w:cs="Century Gothic"/>
          <w:b/>
          <w:sz w:val="24"/>
          <w:szCs w:val="24"/>
        </w:rPr>
        <w:t xml:space="preserve">ACUERDO </w:t>
      </w:r>
      <w:r>
        <w:rPr>
          <w:rFonts w:ascii="Century Gothic" w:eastAsia="Century Gothic" w:hAnsi="Century Gothic" w:cs="Century Gothic"/>
          <w:sz w:val="24"/>
          <w:szCs w:val="24"/>
        </w:rPr>
        <w:t>con sustento en la siguiente:</w:t>
      </w:r>
    </w:p>
    <w:p w14:paraId="3A61A263" w14:textId="77777777" w:rsidR="00551440" w:rsidRDefault="00551440">
      <w:pPr>
        <w:spacing w:after="0" w:line="360" w:lineRule="auto"/>
        <w:jc w:val="both"/>
        <w:rPr>
          <w:rFonts w:ascii="Century Gothic" w:eastAsia="Century Gothic" w:hAnsi="Century Gothic" w:cs="Century Gothic"/>
          <w:b/>
          <w:sz w:val="24"/>
          <w:szCs w:val="24"/>
        </w:rPr>
      </w:pPr>
    </w:p>
    <w:p w14:paraId="4E9F8036" w14:textId="77777777" w:rsidR="00551440" w:rsidRDefault="00253331">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7473F1BC" w14:textId="0B849761" w:rsidR="00380A4B" w:rsidRDefault="00380A4B">
      <w:pPr>
        <w:spacing w:after="0" w:line="360" w:lineRule="auto"/>
        <w:jc w:val="center"/>
        <w:rPr>
          <w:rFonts w:ascii="Century Gothic" w:eastAsia="Century Gothic" w:hAnsi="Century Gothic" w:cs="Century Gothic"/>
          <w:b/>
          <w:sz w:val="24"/>
          <w:szCs w:val="24"/>
        </w:rPr>
      </w:pPr>
    </w:p>
    <w:p w14:paraId="78B024F9" w14:textId="2C08C4B9" w:rsidR="005B2DAF" w:rsidRDefault="005B2DAF"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Gracias a los recientes recorridos en territorio, he podido conocer de manera directa una grave problemática que me ha sido anteriormente expuesta por habitantes de Ciudad Juárez</w:t>
      </w:r>
      <w:r w:rsidR="00392DBB">
        <w:rPr>
          <w:rFonts w:ascii="Century Gothic" w:eastAsia="Century Gothic" w:hAnsi="Century Gothic" w:cs="Century Gothic"/>
          <w:bCs/>
          <w:sz w:val="24"/>
          <w:szCs w:val="24"/>
        </w:rPr>
        <w:t xml:space="preserve"> y que considero por demás urgente de atender.</w:t>
      </w:r>
    </w:p>
    <w:p w14:paraId="676FC8D8" w14:textId="77777777" w:rsidR="00EE0018" w:rsidRDefault="00EE0018" w:rsidP="005B2DAF">
      <w:pPr>
        <w:spacing w:after="0" w:line="360" w:lineRule="auto"/>
        <w:jc w:val="both"/>
        <w:rPr>
          <w:rFonts w:ascii="Century Gothic" w:eastAsia="Century Gothic" w:hAnsi="Century Gothic" w:cs="Century Gothic"/>
          <w:bCs/>
          <w:sz w:val="24"/>
          <w:szCs w:val="24"/>
        </w:rPr>
      </w:pPr>
    </w:p>
    <w:p w14:paraId="02A627E8" w14:textId="13588642" w:rsidR="00392DBB" w:rsidRDefault="00392DBB"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lastRenderedPageBreak/>
        <w:t>La sobrepoblación de animales en situación de calle, en específico de ejemplares caninos, es una problemática que afecta no solo a la dinámica y cotidianeidad de la población, sino que debe ser abordada como un problema ambiental, social y de salud pública que afecta de manera desproporcionada a sectores de la ciudad.</w:t>
      </w:r>
    </w:p>
    <w:p w14:paraId="462353EA" w14:textId="77777777" w:rsidR="00392DBB" w:rsidRDefault="00392DBB" w:rsidP="005B2DAF">
      <w:pPr>
        <w:spacing w:after="0" w:line="360" w:lineRule="auto"/>
        <w:jc w:val="both"/>
        <w:rPr>
          <w:rFonts w:ascii="Century Gothic" w:eastAsia="Century Gothic" w:hAnsi="Century Gothic" w:cs="Century Gothic"/>
          <w:bCs/>
          <w:sz w:val="24"/>
          <w:szCs w:val="24"/>
        </w:rPr>
      </w:pPr>
    </w:p>
    <w:p w14:paraId="7FA6C804" w14:textId="75D280D3" w:rsidR="00392DBB" w:rsidRDefault="00392DBB"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Con un estimado de hasta cuatrocientos mil perros en situación de calle tan solo en Ciudad Juárez -estimaciones que varían debido al constante abandono de mascotas, así como a la carencia de cultura de esterilización- esto representa no solo un riesgo zoonótico, sino un reflejo de la falta de tenencia responsable, así como en cuanto a la gestión de acciones por parte de las autoridades.</w:t>
      </w:r>
    </w:p>
    <w:p w14:paraId="27A50DB3" w14:textId="020B4700" w:rsidR="00392DBB" w:rsidRDefault="00392DBB" w:rsidP="005B2DAF">
      <w:pPr>
        <w:spacing w:after="0" w:line="360" w:lineRule="auto"/>
        <w:jc w:val="both"/>
        <w:rPr>
          <w:rFonts w:ascii="Century Gothic" w:eastAsia="Century Gothic" w:hAnsi="Century Gothic" w:cs="Century Gothic"/>
          <w:bCs/>
          <w:sz w:val="24"/>
          <w:szCs w:val="24"/>
        </w:rPr>
      </w:pPr>
    </w:p>
    <w:p w14:paraId="05AF7C9B" w14:textId="1AA53C21" w:rsidR="00392DBB" w:rsidRDefault="00392DBB"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Tenemos entonces que, un amplio número de quejas ciudadanas giran en torno a esta problemática: reportes a la autoridad por </w:t>
      </w:r>
      <w:r w:rsidR="00EE0018">
        <w:rPr>
          <w:rFonts w:ascii="Century Gothic" w:eastAsia="Century Gothic" w:hAnsi="Century Gothic" w:cs="Century Gothic"/>
          <w:bCs/>
          <w:sz w:val="24"/>
          <w:szCs w:val="24"/>
        </w:rPr>
        <w:t>mordeduras,</w:t>
      </w:r>
      <w:r>
        <w:rPr>
          <w:rFonts w:ascii="Century Gothic" w:eastAsia="Century Gothic" w:hAnsi="Century Gothic" w:cs="Century Gothic"/>
          <w:bCs/>
          <w:sz w:val="24"/>
          <w:szCs w:val="24"/>
        </w:rPr>
        <w:t xml:space="preserve"> así como por la proliferación de jaurías son tan solo una parte del problema, sin dejar de lado el riesgo a la salud y a la proliferación de enfermedades que esto representa.</w:t>
      </w:r>
    </w:p>
    <w:p w14:paraId="50006B8B" w14:textId="77777777" w:rsidR="00EE0018" w:rsidRDefault="00EE0018" w:rsidP="005B2DAF">
      <w:pPr>
        <w:spacing w:after="0" w:line="360" w:lineRule="auto"/>
        <w:jc w:val="both"/>
        <w:rPr>
          <w:rFonts w:ascii="Century Gothic" w:eastAsia="Century Gothic" w:hAnsi="Century Gothic" w:cs="Century Gothic"/>
          <w:bCs/>
          <w:sz w:val="24"/>
          <w:szCs w:val="24"/>
        </w:rPr>
      </w:pPr>
    </w:p>
    <w:p w14:paraId="46A91A8F" w14:textId="60FBA767" w:rsidR="00C216FE" w:rsidRDefault="00C216FE"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Por otra parte, de acuerdo con la propia Secretaría de Salud del Estado, en lo que va del año hay registro de más de mil quinientas mordeduras con un alto riesgo de rabia y otras consecuencias a la salud, afectando en mayor medida a niñas, niños y personas adultas mayores.</w:t>
      </w:r>
    </w:p>
    <w:p w14:paraId="3151F199" w14:textId="2FAE4E34" w:rsidR="00C216FE" w:rsidRDefault="00C216FE" w:rsidP="005B2DAF">
      <w:pPr>
        <w:spacing w:after="0" w:line="360" w:lineRule="auto"/>
        <w:jc w:val="both"/>
        <w:rPr>
          <w:rFonts w:ascii="Century Gothic" w:eastAsia="Century Gothic" w:hAnsi="Century Gothic" w:cs="Century Gothic"/>
          <w:bCs/>
          <w:sz w:val="24"/>
          <w:szCs w:val="24"/>
        </w:rPr>
      </w:pPr>
    </w:p>
    <w:p w14:paraId="4CFAEFA4" w14:textId="3B2A9E1F" w:rsidR="00C216FE" w:rsidRDefault="00C216FE"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lastRenderedPageBreak/>
        <w:t>A raíz de lo anterior, y dado que el número de población de animales en situación de calle se incrementa principalmente por el abandono y la tenencia irresponsable, aunado a la preocupante falta de esterilización y vacunación.</w:t>
      </w:r>
    </w:p>
    <w:p w14:paraId="6D00D0F1" w14:textId="77777777" w:rsidR="00EE0018" w:rsidRDefault="00EE0018" w:rsidP="005B2DAF">
      <w:pPr>
        <w:spacing w:after="0" w:line="360" w:lineRule="auto"/>
        <w:jc w:val="both"/>
        <w:rPr>
          <w:rFonts w:ascii="Century Gothic" w:eastAsia="Century Gothic" w:hAnsi="Century Gothic" w:cs="Century Gothic"/>
          <w:bCs/>
          <w:sz w:val="24"/>
          <w:szCs w:val="24"/>
        </w:rPr>
      </w:pPr>
    </w:p>
    <w:p w14:paraId="2B07DF34" w14:textId="6B81D2C0" w:rsidR="00C216FE" w:rsidRDefault="00C216FE"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La estadística en este tipo de casos es muy variable, sin embargo, la constante incuestionable es la amenaza que este problema significa para la salud, la convivencia, al propio bienestar animal, así como al desarrollo sustentable.</w:t>
      </w:r>
    </w:p>
    <w:p w14:paraId="3C7DEA48" w14:textId="4591AD0A" w:rsidR="00392DBB" w:rsidRDefault="00392DBB" w:rsidP="005B2DAF">
      <w:pPr>
        <w:spacing w:after="0" w:line="360" w:lineRule="auto"/>
        <w:jc w:val="both"/>
        <w:rPr>
          <w:rFonts w:ascii="Century Gothic" w:eastAsia="Century Gothic" w:hAnsi="Century Gothic" w:cs="Century Gothic"/>
          <w:bCs/>
          <w:sz w:val="24"/>
          <w:szCs w:val="24"/>
        </w:rPr>
      </w:pPr>
    </w:p>
    <w:p w14:paraId="00A82D28" w14:textId="219C9695" w:rsidR="00392DBB" w:rsidRDefault="00392DBB"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Desde su entrada en vigor, la Ley de Bienestar Animal, se prevé la implementación de programas preventivos y coordinados, sin embargo, estas acciones se llevan a cabo de manera aislada, lo que resulta insuficiente para regular la sobrepoblación de animales en calle.</w:t>
      </w:r>
    </w:p>
    <w:p w14:paraId="698AF7B7" w14:textId="77777777" w:rsidR="00392DBB" w:rsidRDefault="00392DBB" w:rsidP="005B2DAF">
      <w:pPr>
        <w:spacing w:after="0" w:line="360" w:lineRule="auto"/>
        <w:jc w:val="both"/>
        <w:rPr>
          <w:rFonts w:ascii="Century Gothic" w:eastAsia="Century Gothic" w:hAnsi="Century Gothic" w:cs="Century Gothic"/>
          <w:bCs/>
          <w:sz w:val="24"/>
          <w:szCs w:val="24"/>
        </w:rPr>
      </w:pPr>
    </w:p>
    <w:p w14:paraId="5198581F" w14:textId="5E3F5951" w:rsidR="00392DBB" w:rsidRDefault="00392DBB"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Es así que detectamos una importante área de oportunidad aprovechando las atribuciones concurrentes con las que cuentan los tres niveles de gobierno conforme a la Constitución Política, la Ley Federal de Sanidad Animal, la Ley de Salud, así como la referida legislación de bienestar animal.</w:t>
      </w:r>
    </w:p>
    <w:p w14:paraId="3F525530" w14:textId="549AE755" w:rsidR="00DD53D8" w:rsidRDefault="00DD53D8" w:rsidP="005B2DAF">
      <w:pPr>
        <w:spacing w:after="0" w:line="360" w:lineRule="auto"/>
        <w:jc w:val="both"/>
        <w:rPr>
          <w:rFonts w:ascii="Century Gothic" w:eastAsia="Century Gothic" w:hAnsi="Century Gothic" w:cs="Century Gothic"/>
          <w:bCs/>
          <w:sz w:val="24"/>
          <w:szCs w:val="24"/>
        </w:rPr>
      </w:pPr>
    </w:p>
    <w:p w14:paraId="55A97A00" w14:textId="60CCD37F" w:rsidR="00DD53D8" w:rsidRDefault="00DD53D8"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Afortunadamente, los modelos de gestión recientes, priorizan la preservación de la vida animal, lo que requiere además de las jornadas de esterilización, mecanismos de seguimiento a fin de combatir la sobrepoblación.</w:t>
      </w:r>
    </w:p>
    <w:p w14:paraId="47C2F541" w14:textId="77777777" w:rsidR="00DD53D8" w:rsidRDefault="00DD53D8" w:rsidP="005B2DAF">
      <w:pPr>
        <w:spacing w:after="0" w:line="360" w:lineRule="auto"/>
        <w:jc w:val="both"/>
        <w:rPr>
          <w:rFonts w:ascii="Century Gothic" w:eastAsia="Century Gothic" w:hAnsi="Century Gothic" w:cs="Century Gothic"/>
          <w:bCs/>
          <w:sz w:val="24"/>
          <w:szCs w:val="24"/>
        </w:rPr>
      </w:pPr>
    </w:p>
    <w:p w14:paraId="249D3F29" w14:textId="75423630" w:rsidR="00DD53D8" w:rsidRDefault="00DD53D8"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lastRenderedPageBreak/>
        <w:t>Si bien, se registra antecedente de una serie de convenios de colaboración intergubernamentales en los que la Federación ha dotado de recursos al Estado, es necesario emprender acciones no aisladas en las que, los tres niveles de gobierno puedan dar seguimiento puntual</w:t>
      </w:r>
      <w:r w:rsidR="008E573B">
        <w:rPr>
          <w:rFonts w:ascii="Century Gothic" w:eastAsia="Century Gothic" w:hAnsi="Century Gothic" w:cs="Century Gothic"/>
          <w:bCs/>
          <w:sz w:val="24"/>
          <w:szCs w:val="24"/>
        </w:rPr>
        <w:t>, así como combatir el grave problema que representa el comercio ilegal de animales, aprovechando la facultad que dichas autoridades tienen para celebrar convenios de colaboración.</w:t>
      </w:r>
    </w:p>
    <w:p w14:paraId="08D60D2F" w14:textId="16C47CDF" w:rsidR="00DD53D8" w:rsidRDefault="00DD53D8" w:rsidP="005B2DAF">
      <w:pPr>
        <w:spacing w:after="0" w:line="360" w:lineRule="auto"/>
        <w:jc w:val="both"/>
        <w:rPr>
          <w:rFonts w:ascii="Century Gothic" w:eastAsia="Century Gothic" w:hAnsi="Century Gothic" w:cs="Century Gothic"/>
          <w:bCs/>
          <w:sz w:val="24"/>
          <w:szCs w:val="24"/>
        </w:rPr>
      </w:pPr>
    </w:p>
    <w:p w14:paraId="0AF744B7" w14:textId="17BCC820" w:rsidR="00DD53D8" w:rsidRDefault="00504E59" w:rsidP="005B2DA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Es así que la presente propuesta apuesta por un control humanitario a través de una gestión integral y coordinada, orientada a la esterilización masiva permanente, la adopción incentivada y la educación comunitaria, como un primer paso hacia el manejo justo, eficiente y respetuoso de la vida animal.</w:t>
      </w:r>
    </w:p>
    <w:p w14:paraId="40563317" w14:textId="77777777" w:rsidR="00504E59" w:rsidRDefault="00504E59" w:rsidP="005B2DAF">
      <w:pPr>
        <w:spacing w:after="0" w:line="360" w:lineRule="auto"/>
        <w:jc w:val="both"/>
        <w:rPr>
          <w:rFonts w:ascii="Century Gothic" w:eastAsia="Century Gothic" w:hAnsi="Century Gothic" w:cs="Century Gothic"/>
          <w:bCs/>
          <w:sz w:val="24"/>
          <w:szCs w:val="24"/>
        </w:rPr>
      </w:pPr>
    </w:p>
    <w:p w14:paraId="6D6D5E05" w14:textId="4A2F1A05" w:rsidR="00504E59" w:rsidRDefault="00504E59" w:rsidP="00504E5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virtud de lo anterior, me permito someter a consideración de esta Soberanía, la siguiente Proposición con carácter de:</w:t>
      </w:r>
    </w:p>
    <w:p w14:paraId="0C05FF12" w14:textId="77777777" w:rsidR="00504E59" w:rsidRDefault="00504E59" w:rsidP="00504E59">
      <w:pPr>
        <w:spacing w:after="0" w:line="360" w:lineRule="auto"/>
        <w:jc w:val="both"/>
        <w:rPr>
          <w:rFonts w:ascii="Century Gothic" w:eastAsia="Century Gothic" w:hAnsi="Century Gothic" w:cs="Century Gothic"/>
          <w:sz w:val="24"/>
          <w:szCs w:val="24"/>
        </w:rPr>
      </w:pPr>
    </w:p>
    <w:p w14:paraId="64F29AF2" w14:textId="59513E26" w:rsidR="00504E59" w:rsidRDefault="00504E59" w:rsidP="00504E59">
      <w:pPr>
        <w:spacing w:after="0" w:line="360" w:lineRule="auto"/>
        <w:jc w:val="center"/>
        <w:rPr>
          <w:rFonts w:ascii="Century Gothic" w:eastAsia="Century Gothic" w:hAnsi="Century Gothic" w:cs="Century Gothic"/>
          <w:sz w:val="28"/>
          <w:szCs w:val="28"/>
        </w:rPr>
      </w:pPr>
      <w:r>
        <w:rPr>
          <w:rFonts w:ascii="Century Gothic" w:eastAsia="Century Gothic" w:hAnsi="Century Gothic" w:cs="Century Gothic"/>
          <w:b/>
          <w:sz w:val="24"/>
          <w:szCs w:val="24"/>
        </w:rPr>
        <w:t>A C U E R D O.</w:t>
      </w:r>
    </w:p>
    <w:p w14:paraId="7D589983" w14:textId="4B061F1D" w:rsidR="00504E59" w:rsidRDefault="00504E59" w:rsidP="005B2DAF">
      <w:pPr>
        <w:spacing w:after="0" w:line="360" w:lineRule="auto"/>
        <w:jc w:val="both"/>
        <w:rPr>
          <w:rFonts w:ascii="Century Gothic" w:eastAsia="Century Gothic" w:hAnsi="Century Gothic" w:cs="Century Gothic"/>
          <w:bCs/>
          <w:sz w:val="24"/>
          <w:szCs w:val="24"/>
        </w:rPr>
      </w:pPr>
    </w:p>
    <w:p w14:paraId="44E4845C" w14:textId="37322139" w:rsidR="00504E59" w:rsidRDefault="00504E59" w:rsidP="005B2DAF">
      <w:pPr>
        <w:spacing w:after="0" w:line="360" w:lineRule="auto"/>
        <w:jc w:val="both"/>
        <w:rPr>
          <w:rFonts w:ascii="Century Gothic" w:eastAsia="Century Gothic" w:hAnsi="Century Gothic" w:cs="Century Gothic"/>
          <w:bCs/>
          <w:sz w:val="24"/>
          <w:szCs w:val="24"/>
        </w:rPr>
      </w:pPr>
      <w:r w:rsidRPr="00504E59">
        <w:rPr>
          <w:rFonts w:ascii="Century Gothic" w:eastAsia="Century Gothic" w:hAnsi="Century Gothic" w:cs="Century Gothic"/>
          <w:b/>
          <w:sz w:val="24"/>
          <w:szCs w:val="24"/>
        </w:rPr>
        <w:t>ÚNICO.</w:t>
      </w:r>
      <w:r>
        <w:rPr>
          <w:rFonts w:ascii="Century Gothic" w:eastAsia="Century Gothic" w:hAnsi="Century Gothic" w:cs="Century Gothic"/>
          <w:bCs/>
          <w:sz w:val="24"/>
          <w:szCs w:val="24"/>
        </w:rPr>
        <w:t xml:space="preserve"> La Sexagésima Octava Legislatura del H. Congreso del Estado, hace un </w:t>
      </w:r>
      <w:r w:rsidR="00AD4101">
        <w:rPr>
          <w:rFonts w:ascii="Century Gothic" w:eastAsia="Century Gothic" w:hAnsi="Century Gothic" w:cs="Century Gothic"/>
          <w:bCs/>
          <w:sz w:val="24"/>
          <w:szCs w:val="24"/>
        </w:rPr>
        <w:t>urgente</w:t>
      </w:r>
      <w:r>
        <w:rPr>
          <w:rFonts w:ascii="Century Gothic" w:eastAsia="Century Gothic" w:hAnsi="Century Gothic" w:cs="Century Gothic"/>
          <w:bCs/>
          <w:sz w:val="24"/>
          <w:szCs w:val="24"/>
        </w:rPr>
        <w:t xml:space="preserve"> llamado al</w:t>
      </w:r>
      <w:r w:rsidR="00EE0018">
        <w:rPr>
          <w:rFonts w:ascii="Century Gothic" w:eastAsia="Century Gothic" w:hAnsi="Century Gothic" w:cs="Century Gothic"/>
          <w:bCs/>
          <w:sz w:val="24"/>
          <w:szCs w:val="24"/>
        </w:rPr>
        <w:t xml:space="preserve"> H. Ayuntamiento</w:t>
      </w:r>
      <w:r>
        <w:rPr>
          <w:rFonts w:ascii="Century Gothic" w:eastAsia="Century Gothic" w:hAnsi="Century Gothic" w:cs="Century Gothic"/>
          <w:bCs/>
          <w:sz w:val="24"/>
          <w:szCs w:val="24"/>
        </w:rPr>
        <w:t xml:space="preserve"> de Ciudad Juárez</w:t>
      </w:r>
      <w:r w:rsidR="00EE0018">
        <w:rPr>
          <w:rFonts w:ascii="Century Gothic" w:eastAsia="Century Gothic" w:hAnsi="Century Gothic" w:cs="Century Gothic"/>
          <w:bCs/>
          <w:sz w:val="24"/>
          <w:szCs w:val="24"/>
        </w:rPr>
        <w:t>; a la Secretaría</w:t>
      </w:r>
      <w:r w:rsidR="001C1B93">
        <w:rPr>
          <w:rFonts w:ascii="Century Gothic" w:eastAsia="Century Gothic" w:hAnsi="Century Gothic" w:cs="Century Gothic"/>
          <w:bCs/>
          <w:sz w:val="24"/>
          <w:szCs w:val="24"/>
        </w:rPr>
        <w:t>s</w:t>
      </w:r>
      <w:r w:rsidR="00EE0018">
        <w:rPr>
          <w:rFonts w:ascii="Century Gothic" w:eastAsia="Century Gothic" w:hAnsi="Century Gothic" w:cs="Century Gothic"/>
          <w:bCs/>
          <w:sz w:val="24"/>
          <w:szCs w:val="24"/>
        </w:rPr>
        <w:t xml:space="preserve"> de Salud así como la de Desarrollo Urbano y Ecología estatales </w:t>
      </w:r>
      <w:r>
        <w:rPr>
          <w:rFonts w:ascii="Century Gothic" w:eastAsia="Century Gothic" w:hAnsi="Century Gothic" w:cs="Century Gothic"/>
          <w:bCs/>
          <w:sz w:val="24"/>
          <w:szCs w:val="24"/>
        </w:rPr>
        <w:t xml:space="preserve">para que, en coordinación con las </w:t>
      </w:r>
      <w:r w:rsidR="001C1B93">
        <w:rPr>
          <w:rFonts w:ascii="Century Gothic" w:eastAsia="Century Gothic" w:hAnsi="Century Gothic" w:cs="Century Gothic"/>
          <w:bCs/>
          <w:sz w:val="24"/>
          <w:szCs w:val="24"/>
        </w:rPr>
        <w:t xml:space="preserve">instancias </w:t>
      </w:r>
      <w:r>
        <w:rPr>
          <w:rFonts w:ascii="Century Gothic" w:eastAsia="Century Gothic" w:hAnsi="Century Gothic" w:cs="Century Gothic"/>
          <w:bCs/>
          <w:sz w:val="24"/>
          <w:szCs w:val="24"/>
        </w:rPr>
        <w:t>federales</w:t>
      </w:r>
      <w:r w:rsidR="00EE0018">
        <w:rPr>
          <w:rFonts w:ascii="Century Gothic" w:eastAsia="Century Gothic" w:hAnsi="Century Gothic" w:cs="Century Gothic"/>
          <w:bCs/>
          <w:sz w:val="24"/>
          <w:szCs w:val="24"/>
        </w:rPr>
        <w:t xml:space="preserve"> </w:t>
      </w:r>
      <w:r w:rsidR="00AD4101">
        <w:rPr>
          <w:rFonts w:ascii="Century Gothic" w:eastAsia="Century Gothic" w:hAnsi="Century Gothic" w:cs="Century Gothic"/>
          <w:bCs/>
          <w:sz w:val="24"/>
          <w:szCs w:val="24"/>
        </w:rPr>
        <w:t>respectivas</w:t>
      </w:r>
      <w:r>
        <w:rPr>
          <w:rFonts w:ascii="Century Gothic" w:eastAsia="Century Gothic" w:hAnsi="Century Gothic" w:cs="Century Gothic"/>
          <w:bCs/>
          <w:sz w:val="24"/>
          <w:szCs w:val="24"/>
        </w:rPr>
        <w:t xml:space="preserve">, tengan a bien </w:t>
      </w:r>
      <w:r w:rsidR="00EE0018">
        <w:rPr>
          <w:rFonts w:ascii="Century Gothic" w:eastAsia="Century Gothic" w:hAnsi="Century Gothic" w:cs="Century Gothic"/>
          <w:bCs/>
          <w:sz w:val="24"/>
          <w:szCs w:val="24"/>
        </w:rPr>
        <w:t xml:space="preserve">realizar las acciones </w:t>
      </w:r>
      <w:r w:rsidR="00AD4101">
        <w:rPr>
          <w:rFonts w:ascii="Century Gothic" w:eastAsia="Century Gothic" w:hAnsi="Century Gothic" w:cs="Century Gothic"/>
          <w:bCs/>
          <w:sz w:val="24"/>
          <w:szCs w:val="24"/>
        </w:rPr>
        <w:t xml:space="preserve">contundentes </w:t>
      </w:r>
      <w:r w:rsidR="00EE0018">
        <w:rPr>
          <w:rFonts w:ascii="Century Gothic" w:eastAsia="Century Gothic" w:hAnsi="Century Gothic" w:cs="Century Gothic"/>
          <w:bCs/>
          <w:sz w:val="24"/>
          <w:szCs w:val="24"/>
        </w:rPr>
        <w:t xml:space="preserve">que permitan </w:t>
      </w:r>
      <w:r>
        <w:rPr>
          <w:rFonts w:ascii="Century Gothic" w:eastAsia="Century Gothic" w:hAnsi="Century Gothic" w:cs="Century Gothic"/>
          <w:bCs/>
          <w:sz w:val="24"/>
          <w:szCs w:val="24"/>
        </w:rPr>
        <w:t xml:space="preserve">ampliar las campañas de esterilización </w:t>
      </w:r>
      <w:r w:rsidR="00EE0018">
        <w:rPr>
          <w:rFonts w:ascii="Century Gothic" w:eastAsia="Century Gothic" w:hAnsi="Century Gothic" w:cs="Century Gothic"/>
          <w:bCs/>
          <w:sz w:val="24"/>
          <w:szCs w:val="24"/>
        </w:rPr>
        <w:t xml:space="preserve">así como implementar </w:t>
      </w:r>
      <w:r>
        <w:rPr>
          <w:rFonts w:ascii="Century Gothic" w:eastAsia="Century Gothic" w:hAnsi="Century Gothic" w:cs="Century Gothic"/>
          <w:bCs/>
          <w:sz w:val="24"/>
          <w:szCs w:val="24"/>
        </w:rPr>
        <w:t>acciones de monitoreo</w:t>
      </w:r>
      <w:r w:rsidR="00EE0018">
        <w:rPr>
          <w:rFonts w:ascii="Century Gothic" w:eastAsia="Century Gothic" w:hAnsi="Century Gothic" w:cs="Century Gothic"/>
          <w:bCs/>
          <w:sz w:val="24"/>
          <w:szCs w:val="24"/>
        </w:rPr>
        <w:t xml:space="preserve"> </w:t>
      </w:r>
      <w:r>
        <w:rPr>
          <w:rFonts w:ascii="Century Gothic" w:eastAsia="Century Gothic" w:hAnsi="Century Gothic" w:cs="Century Gothic"/>
          <w:bCs/>
          <w:sz w:val="24"/>
          <w:szCs w:val="24"/>
        </w:rPr>
        <w:t xml:space="preserve">en </w:t>
      </w:r>
      <w:r>
        <w:rPr>
          <w:rFonts w:ascii="Century Gothic" w:eastAsia="Century Gothic" w:hAnsi="Century Gothic" w:cs="Century Gothic"/>
          <w:bCs/>
          <w:sz w:val="24"/>
          <w:szCs w:val="24"/>
        </w:rPr>
        <w:lastRenderedPageBreak/>
        <w:t xml:space="preserve">colaboración con instituciones educativas y organizaciones de la sociedad civil; de igual manera se hace un atento exhorto a los tres niveles de gobierno para que, de manera coordinada se lleven a cabo acciones </w:t>
      </w:r>
      <w:r w:rsidR="00EE0018">
        <w:rPr>
          <w:rFonts w:ascii="Century Gothic" w:eastAsia="Century Gothic" w:hAnsi="Century Gothic" w:cs="Century Gothic"/>
          <w:bCs/>
          <w:sz w:val="24"/>
          <w:szCs w:val="24"/>
        </w:rPr>
        <w:t>de combate al comercio ilegal de animales de compañía,</w:t>
      </w:r>
      <w:r>
        <w:rPr>
          <w:rFonts w:ascii="Century Gothic" w:eastAsia="Century Gothic" w:hAnsi="Century Gothic" w:cs="Century Gothic"/>
          <w:bCs/>
          <w:sz w:val="24"/>
          <w:szCs w:val="24"/>
        </w:rPr>
        <w:t xml:space="preserve"> </w:t>
      </w:r>
      <w:r w:rsidR="00EE0018">
        <w:rPr>
          <w:rFonts w:ascii="Century Gothic" w:eastAsia="Century Gothic" w:hAnsi="Century Gothic" w:cs="Century Gothic"/>
          <w:bCs/>
          <w:sz w:val="24"/>
          <w:szCs w:val="24"/>
        </w:rPr>
        <w:t>celebrando</w:t>
      </w:r>
      <w:r>
        <w:rPr>
          <w:rFonts w:ascii="Century Gothic" w:eastAsia="Century Gothic" w:hAnsi="Century Gothic" w:cs="Century Gothic"/>
          <w:bCs/>
          <w:sz w:val="24"/>
          <w:szCs w:val="24"/>
        </w:rPr>
        <w:t xml:space="preserve"> convenios de colaboración interinstitucionales e intersectoriales que faciliten la vacunación</w:t>
      </w:r>
      <w:r w:rsidR="00AD4101">
        <w:rPr>
          <w:rFonts w:ascii="Century Gothic" w:eastAsia="Century Gothic" w:hAnsi="Century Gothic" w:cs="Century Gothic"/>
          <w:bCs/>
          <w:sz w:val="24"/>
          <w:szCs w:val="24"/>
        </w:rPr>
        <w:t xml:space="preserve">, </w:t>
      </w:r>
      <w:r>
        <w:rPr>
          <w:rFonts w:ascii="Century Gothic" w:eastAsia="Century Gothic" w:hAnsi="Century Gothic" w:cs="Century Gothic"/>
          <w:bCs/>
          <w:sz w:val="24"/>
          <w:szCs w:val="24"/>
        </w:rPr>
        <w:t xml:space="preserve"> promoción de adopción</w:t>
      </w:r>
      <w:r w:rsidR="00EE0018">
        <w:rPr>
          <w:rFonts w:ascii="Century Gothic" w:eastAsia="Century Gothic" w:hAnsi="Century Gothic" w:cs="Century Gothic"/>
          <w:bCs/>
          <w:sz w:val="24"/>
          <w:szCs w:val="24"/>
        </w:rPr>
        <w:t xml:space="preserve"> y</w:t>
      </w:r>
      <w:r w:rsidR="00AD4101">
        <w:rPr>
          <w:rFonts w:ascii="Century Gothic" w:eastAsia="Century Gothic" w:hAnsi="Century Gothic" w:cs="Century Gothic"/>
          <w:bCs/>
          <w:sz w:val="24"/>
          <w:szCs w:val="24"/>
        </w:rPr>
        <w:t xml:space="preserve"> fomento de la</w:t>
      </w:r>
      <w:r w:rsidR="00EE0018">
        <w:rPr>
          <w:rFonts w:ascii="Century Gothic" w:eastAsia="Century Gothic" w:hAnsi="Century Gothic" w:cs="Century Gothic"/>
          <w:bCs/>
          <w:sz w:val="24"/>
          <w:szCs w:val="24"/>
        </w:rPr>
        <w:t xml:space="preserve"> tenencia responsable.</w:t>
      </w:r>
    </w:p>
    <w:p w14:paraId="305CD0D7" w14:textId="77777777" w:rsidR="003309AC" w:rsidRDefault="003309AC">
      <w:pPr>
        <w:spacing w:after="0" w:line="360" w:lineRule="auto"/>
        <w:jc w:val="both"/>
        <w:rPr>
          <w:rFonts w:ascii="Century Gothic" w:eastAsia="Century Gothic" w:hAnsi="Century Gothic" w:cs="Century Gothic"/>
          <w:sz w:val="24"/>
          <w:szCs w:val="24"/>
        </w:rPr>
      </w:pPr>
    </w:p>
    <w:p w14:paraId="0A575C88" w14:textId="77777777"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ECONÓMICO. -</w:t>
      </w:r>
      <w:r>
        <w:rPr>
          <w:rFonts w:ascii="Century Gothic" w:eastAsia="Century Gothic" w:hAnsi="Century Gothic" w:cs="Century Gothic"/>
          <w:sz w:val="24"/>
          <w:szCs w:val="24"/>
        </w:rPr>
        <w:t xml:space="preserve"> Aprobado que sea, remítase copia de la presente Proposición de Acuerdo a las autoridades mencionadas, para los efectos conducentes.</w:t>
      </w:r>
    </w:p>
    <w:p w14:paraId="54859257" w14:textId="77777777" w:rsidR="00551440" w:rsidRDefault="00551440">
      <w:pPr>
        <w:spacing w:after="0" w:line="360" w:lineRule="auto"/>
        <w:jc w:val="both"/>
        <w:rPr>
          <w:rFonts w:ascii="Century Gothic" w:eastAsia="Century Gothic" w:hAnsi="Century Gothic" w:cs="Century Gothic"/>
          <w:sz w:val="28"/>
          <w:szCs w:val="28"/>
        </w:rPr>
      </w:pPr>
    </w:p>
    <w:p w14:paraId="3381F8D8" w14:textId="7E182A93"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D A D O</w:t>
      </w:r>
      <w:r>
        <w:rPr>
          <w:rFonts w:ascii="Century Gothic" w:eastAsia="Century Gothic" w:hAnsi="Century Gothic" w:cs="Century Gothic"/>
          <w:sz w:val="24"/>
          <w:szCs w:val="24"/>
        </w:rPr>
        <w:t xml:space="preserve"> en el Salón de Sesiones del Poder Legislativo, en la ciudad de Chihuahua, Chih., a los </w:t>
      </w:r>
      <w:r w:rsidR="00380A4B">
        <w:rPr>
          <w:rFonts w:ascii="Century Gothic" w:eastAsia="Century Gothic" w:hAnsi="Century Gothic" w:cs="Century Gothic"/>
          <w:sz w:val="24"/>
          <w:szCs w:val="24"/>
        </w:rPr>
        <w:t>2</w:t>
      </w:r>
      <w:r>
        <w:rPr>
          <w:rFonts w:ascii="Century Gothic" w:eastAsia="Century Gothic" w:hAnsi="Century Gothic" w:cs="Century Gothic"/>
          <w:sz w:val="24"/>
          <w:szCs w:val="24"/>
        </w:rPr>
        <w:t xml:space="preserve"> días del mes de </w:t>
      </w:r>
      <w:r w:rsidR="00EE0018">
        <w:rPr>
          <w:rFonts w:ascii="Century Gothic" w:eastAsia="Century Gothic" w:hAnsi="Century Gothic" w:cs="Century Gothic"/>
          <w:sz w:val="24"/>
          <w:szCs w:val="24"/>
        </w:rPr>
        <w:t>diciembre</w:t>
      </w:r>
      <w:r>
        <w:rPr>
          <w:rFonts w:ascii="Century Gothic" w:eastAsia="Century Gothic" w:hAnsi="Century Gothic" w:cs="Century Gothic"/>
          <w:sz w:val="24"/>
          <w:szCs w:val="24"/>
        </w:rPr>
        <w:t xml:space="preserve"> del año dos mil veintic</w:t>
      </w:r>
      <w:r w:rsidR="00380A4B">
        <w:rPr>
          <w:rFonts w:ascii="Century Gothic" w:eastAsia="Century Gothic" w:hAnsi="Century Gothic" w:cs="Century Gothic"/>
          <w:sz w:val="24"/>
          <w:szCs w:val="24"/>
        </w:rPr>
        <w:t>inco</w:t>
      </w:r>
      <w:r>
        <w:rPr>
          <w:rFonts w:ascii="Century Gothic" w:eastAsia="Century Gothic" w:hAnsi="Century Gothic" w:cs="Century Gothic"/>
          <w:sz w:val="24"/>
          <w:szCs w:val="24"/>
        </w:rPr>
        <w:t>.</w:t>
      </w:r>
    </w:p>
    <w:p w14:paraId="56D45D36" w14:textId="77777777" w:rsidR="00EE0018" w:rsidRDefault="00EE0018">
      <w:pPr>
        <w:jc w:val="center"/>
        <w:rPr>
          <w:rFonts w:ascii="Century Gothic" w:eastAsia="Century Gothic" w:hAnsi="Century Gothic" w:cs="Century Gothic"/>
          <w:b/>
          <w:sz w:val="24"/>
          <w:szCs w:val="24"/>
        </w:rPr>
      </w:pPr>
    </w:p>
    <w:p w14:paraId="1C344F43" w14:textId="00264291" w:rsidR="00551440" w:rsidRDefault="00253331">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1DD17A2F" w14:textId="77777777" w:rsidR="00551440" w:rsidRDefault="00551440">
      <w:pPr>
        <w:jc w:val="center"/>
        <w:rPr>
          <w:rFonts w:ascii="Century Gothic" w:eastAsia="Century Gothic" w:hAnsi="Century Gothic" w:cs="Century Gothic"/>
          <w:b/>
          <w:sz w:val="24"/>
          <w:szCs w:val="24"/>
        </w:rPr>
      </w:pPr>
    </w:p>
    <w:p w14:paraId="08492370" w14:textId="77777777" w:rsidR="00551440" w:rsidRDefault="00551440">
      <w:pPr>
        <w:jc w:val="center"/>
        <w:rPr>
          <w:rFonts w:ascii="Century Gothic" w:eastAsia="Century Gothic" w:hAnsi="Century Gothic" w:cs="Century Gothic"/>
          <w:b/>
          <w:sz w:val="24"/>
          <w:szCs w:val="24"/>
        </w:rPr>
      </w:pPr>
    </w:p>
    <w:p w14:paraId="78E1224D" w14:textId="77777777" w:rsidR="00551440" w:rsidRDefault="00253331">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DIP. OSCAR DANIEL AVITIA ARELLANES.</w:t>
      </w:r>
    </w:p>
    <w:p w14:paraId="6FEDE106" w14:textId="77777777" w:rsidR="00551440" w:rsidRDefault="00551440">
      <w:pPr>
        <w:rPr>
          <w:rFonts w:ascii="Century Gothic" w:eastAsia="Century Gothic" w:hAnsi="Century Gothic" w:cs="Century Gothic"/>
          <w:b/>
          <w:sz w:val="24"/>
          <w:szCs w:val="24"/>
        </w:rPr>
      </w:pP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551440" w14:paraId="5CE56C3D" w14:textId="77777777">
        <w:trPr>
          <w:trHeight w:val="1530"/>
        </w:trPr>
        <w:tc>
          <w:tcPr>
            <w:tcW w:w="4426"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13DEA987"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
          <w:p w14:paraId="601A6DBE"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Edin Cuauhtémoc Estrada Sotelo</w:t>
            </w:r>
          </w:p>
        </w:tc>
        <w:tc>
          <w:tcPr>
            <w:tcW w:w="4411"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70F0F9B9"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7A91708"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Magdalena Rentería Pérez</w:t>
            </w:r>
          </w:p>
        </w:tc>
      </w:tr>
      <w:tr w:rsidR="00551440" w14:paraId="50B6F337"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6876544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E8CD648"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Brenda Francisca Ríos Prieto</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C054680"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16E54C6" w14:textId="41D312A4"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xml:space="preserve">. Elizabeth </w:t>
            </w:r>
            <w:r w:rsidR="00380A4B">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w:t>
            </w:r>
          </w:p>
        </w:tc>
      </w:tr>
      <w:tr w:rsidR="00551440" w14:paraId="0AA6018C"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59D632B"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1F22876"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Edith Palma Ontiveros</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207076A"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72B45176"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Herminia Gómez Carrasco</w:t>
            </w:r>
          </w:p>
        </w:tc>
      </w:tr>
      <w:tr w:rsidR="00551440" w14:paraId="45357C28"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D961E12"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30C5396" w14:textId="2006198B" w:rsidR="00551440" w:rsidRDefault="00253331">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xml:space="preserve">. Leticia Ortega </w:t>
            </w:r>
            <w:r w:rsidR="00380A4B">
              <w:rPr>
                <w:rFonts w:ascii="Century Gothic" w:eastAsia="Century Gothic" w:hAnsi="Century Gothic" w:cs="Century Gothic"/>
                <w:b/>
                <w:sz w:val="24"/>
                <w:szCs w:val="24"/>
                <w:shd w:val="clear" w:color="auto" w:fill="FEFFFF"/>
              </w:rPr>
              <w:t>Máynez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2AEF5A11"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3B5EF6F9"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María Antonieta Pérez Reyes</w:t>
            </w:r>
          </w:p>
        </w:tc>
      </w:tr>
      <w:tr w:rsidR="00551440" w14:paraId="69257EA5" w14:textId="77777777">
        <w:trPr>
          <w:trHeight w:val="201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2FE8F23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6A1AA43"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Jael Argüelles Díaz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30D843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896DEF8"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Pedro Torres Estrada</w:t>
            </w:r>
          </w:p>
          <w:p w14:paraId="5EF49C85" w14:textId="77777777" w:rsidR="00551440" w:rsidRDefault="00253331">
            <w:pPr>
              <w:spacing w:before="240" w:after="24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551440" w14:paraId="4B5830F9" w14:textId="77777777">
        <w:trPr>
          <w:trHeight w:val="930"/>
        </w:trPr>
        <w:tc>
          <w:tcPr>
            <w:tcW w:w="8837"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5E786219"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Rosana Díaz Reyes</w:t>
            </w:r>
          </w:p>
        </w:tc>
      </w:tr>
    </w:tbl>
    <w:p w14:paraId="115B9CC6" w14:textId="77777777" w:rsidR="00551440" w:rsidRDefault="00551440">
      <w:pPr>
        <w:jc w:val="center"/>
        <w:rPr>
          <w:rFonts w:ascii="Century Gothic" w:eastAsia="Century Gothic" w:hAnsi="Century Gothic" w:cs="Century Gothic"/>
          <w:b/>
          <w:sz w:val="24"/>
          <w:szCs w:val="24"/>
        </w:rPr>
      </w:pPr>
    </w:p>
    <w:p w14:paraId="029A0304" w14:textId="77777777" w:rsidR="00551440" w:rsidRDefault="00551440">
      <w:pPr>
        <w:spacing w:after="240"/>
        <w:rPr>
          <w:rFonts w:ascii="Century Gothic" w:eastAsia="Century Gothic" w:hAnsi="Century Gothic" w:cs="Century Gothic"/>
          <w:sz w:val="24"/>
          <w:szCs w:val="24"/>
        </w:rPr>
      </w:pPr>
    </w:p>
    <w:p w14:paraId="697274EF" w14:textId="77777777" w:rsidR="00551440" w:rsidRDefault="00551440">
      <w:pPr>
        <w:spacing w:after="240"/>
        <w:rPr>
          <w:rFonts w:ascii="Century Gothic" w:eastAsia="Century Gothic" w:hAnsi="Century Gothic" w:cs="Century Gothic"/>
          <w:sz w:val="24"/>
          <w:szCs w:val="24"/>
        </w:rPr>
      </w:pPr>
    </w:p>
    <w:p w14:paraId="66FCF5C7" w14:textId="77777777" w:rsidR="00551440" w:rsidRDefault="00253331">
      <w:pPr>
        <w:spacing w:after="0" w:line="240" w:lineRule="auto"/>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sectPr w:rsidR="00551440">
      <w:headerReference w:type="default" r:id="rId7"/>
      <w:footerReference w:type="default" r:id="rId8"/>
      <w:pgSz w:w="12240" w:h="15840"/>
      <w:pgMar w:top="3119"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0F7D" w14:textId="77777777" w:rsidR="007159D2" w:rsidRDefault="007159D2">
      <w:pPr>
        <w:spacing w:after="0" w:line="240" w:lineRule="auto"/>
      </w:pPr>
      <w:r>
        <w:separator/>
      </w:r>
    </w:p>
  </w:endnote>
  <w:endnote w:type="continuationSeparator" w:id="0">
    <w:p w14:paraId="2B587A7F" w14:textId="77777777" w:rsidR="007159D2" w:rsidRDefault="0071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06ABEB1-46D9-4B67-901D-F521B8E36763}"/>
    <w:embedBold r:id="rId2" w:fontKey="{3B6CCE74-D5BA-4CAD-8DD1-A1035C2C4992}"/>
  </w:font>
  <w:font w:name="Arial MT">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embedRegular r:id="rId3" w:fontKey="{89BE998C-8AAC-445C-93EE-22704435F56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780C7DD-D986-4AAE-9CE2-E1C6FC957A07}"/>
  </w:font>
  <w:font w:name="Georgia">
    <w:panose1 w:val="02040502050405020303"/>
    <w:charset w:val="00"/>
    <w:family w:val="roman"/>
    <w:pitch w:val="variable"/>
    <w:sig w:usb0="00000287" w:usb1="00000000" w:usb2="00000000" w:usb3="00000000" w:csb0="0000009F" w:csb1="00000000"/>
    <w:embedRegular r:id="rId5" w:fontKey="{C289FB74-16CF-46F7-A8A5-02D0B6339F14}"/>
    <w:embedItalic r:id="rId6" w:fontKey="{F8FF850B-2F49-4F7B-A4AC-1281FEB5E4C5}"/>
  </w:font>
  <w:font w:name="Century Gothic">
    <w:panose1 w:val="020B0502020202020204"/>
    <w:charset w:val="00"/>
    <w:family w:val="swiss"/>
    <w:pitch w:val="variable"/>
    <w:sig w:usb0="00000287" w:usb1="00000000" w:usb2="00000000" w:usb3="00000000" w:csb0="0000009F" w:csb1="00000000"/>
    <w:embedRegular r:id="rId7" w:fontKey="{B7542858-965F-4F21-B81E-64F943A4295B}"/>
    <w:embedBold r:id="rId8" w:fontKey="{2578297A-0FA4-44C4-B3FA-07F851CC7CBB}"/>
    <w:embedItalic r:id="rId9" w:fontKey="{90F8F844-374F-4065-8F77-85D9742358CC}"/>
  </w:font>
  <w:font w:name="Rage Italic">
    <w:panose1 w:val="03070502040507070304"/>
    <w:charset w:val="00"/>
    <w:family w:val="script"/>
    <w:pitch w:val="variable"/>
    <w:sig w:usb0="00000003" w:usb1="00000000" w:usb2="00000000" w:usb3="00000000" w:csb0="00000001" w:csb1="00000000"/>
    <w:embedRegular r:id="rId10" w:fontKey="{06919A3F-4737-4E49-A375-0CDC6F7CCC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6A3B" w14:textId="77777777" w:rsidR="00551440" w:rsidRDefault="0025333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pág.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0A4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1A89408A" w14:textId="77777777" w:rsidR="00551440" w:rsidRDefault="005514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B2270" w14:textId="77777777" w:rsidR="007159D2" w:rsidRDefault="007159D2">
      <w:pPr>
        <w:spacing w:after="0" w:line="240" w:lineRule="auto"/>
      </w:pPr>
      <w:r>
        <w:separator/>
      </w:r>
    </w:p>
  </w:footnote>
  <w:footnote w:type="continuationSeparator" w:id="0">
    <w:p w14:paraId="6590B7B2" w14:textId="77777777" w:rsidR="007159D2" w:rsidRDefault="00715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F043" w14:textId="77777777" w:rsidR="008E573B" w:rsidRDefault="00253331" w:rsidP="008E573B">
    <w:pPr>
      <w:ind w:left="1" w:hanging="3"/>
      <w:jc w:val="right"/>
      <w:rPr>
        <w:rFonts w:ascii="Rage Italic" w:eastAsia="Rage Italic" w:hAnsi="Rage Italic" w:cs="Rage Italic"/>
        <w:color w:val="000000"/>
        <w:sz w:val="28"/>
        <w:szCs w:val="28"/>
      </w:rPr>
    </w:pPr>
    <w:r>
      <w:rPr>
        <w:rFonts w:ascii="Rage Italic" w:eastAsia="Rage Italic" w:hAnsi="Rage Italic" w:cs="Rage Italic"/>
        <w:color w:val="000000"/>
        <w:sz w:val="28"/>
        <w:szCs w:val="28"/>
      </w:rPr>
      <w:t>“</w:t>
    </w:r>
  </w:p>
  <w:p w14:paraId="6D68FF53" w14:textId="16A174D6" w:rsidR="00551440" w:rsidRDefault="00253331" w:rsidP="008E573B">
    <w:pPr>
      <w:ind w:left="1" w:hanging="3"/>
      <w:jc w:val="right"/>
      <w:rPr>
        <w:color w:val="000000"/>
      </w:rPr>
    </w:pPr>
    <w:r>
      <w:rPr>
        <w:noProof/>
      </w:rPr>
      <w:drawing>
        <wp:inline distT="114300" distB="114300" distL="114300" distR="114300" wp14:anchorId="5D5F5FDB" wp14:editId="2EED3D29">
          <wp:extent cx="810577" cy="81057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7018086A" w14:textId="77777777" w:rsidR="00551440" w:rsidRDefault="00551440">
    <w:pPr>
      <w:pBdr>
        <w:top w:val="nil"/>
        <w:left w:val="nil"/>
        <w:bottom w:val="nil"/>
        <w:right w:val="nil"/>
        <w:between w:val="nil"/>
      </w:pBdr>
      <w:tabs>
        <w:tab w:val="center" w:pos="4419"/>
        <w:tab w:val="right" w:pos="8838"/>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440"/>
    <w:rsid w:val="001427C3"/>
    <w:rsid w:val="001C1B93"/>
    <w:rsid w:val="00253331"/>
    <w:rsid w:val="0029181A"/>
    <w:rsid w:val="003309AC"/>
    <w:rsid w:val="00380A4B"/>
    <w:rsid w:val="00392DBB"/>
    <w:rsid w:val="00424E91"/>
    <w:rsid w:val="00504E59"/>
    <w:rsid w:val="00551440"/>
    <w:rsid w:val="005B2DAF"/>
    <w:rsid w:val="00606AE6"/>
    <w:rsid w:val="0064327C"/>
    <w:rsid w:val="006D011E"/>
    <w:rsid w:val="007159D2"/>
    <w:rsid w:val="007B64FB"/>
    <w:rsid w:val="008E573B"/>
    <w:rsid w:val="00AD4101"/>
    <w:rsid w:val="00B06AE7"/>
    <w:rsid w:val="00C216FE"/>
    <w:rsid w:val="00C606C5"/>
    <w:rsid w:val="00C83A5C"/>
    <w:rsid w:val="00DD53D8"/>
    <w:rsid w:val="00EE00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C56C"/>
  <w15:docId w15:val="{FCA78D34-48A3-5346-9AD6-7A19BCCA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4C5"/>
  </w:style>
  <w:style w:type="paragraph" w:styleId="Ttulo1">
    <w:name w:val="heading 1"/>
    <w:basedOn w:val="Normal"/>
    <w:link w:val="Ttulo1Car"/>
    <w:uiPriority w:val="9"/>
    <w:qFormat/>
    <w:rsid w:val="00F0073E"/>
    <w:pPr>
      <w:widowControl w:val="0"/>
      <w:autoSpaceDE w:val="0"/>
      <w:autoSpaceDN w:val="0"/>
      <w:spacing w:before="9" w:after="0" w:line="240" w:lineRule="auto"/>
      <w:ind w:left="134"/>
      <w:outlineLvl w:val="0"/>
    </w:pPr>
    <w:rPr>
      <w:rFonts w:ascii="Arial MT" w:eastAsia="Arial MT" w:hAnsi="Arial MT" w:cs="Arial MT"/>
      <w:sz w:val="25"/>
      <w:szCs w:val="25"/>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DB4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F0073E"/>
    <w:rPr>
      <w:rFonts w:ascii="Arial MT" w:eastAsia="Arial MT" w:hAnsi="Arial MT" w:cs="Arial MT"/>
      <w:sz w:val="25"/>
      <w:szCs w:val="25"/>
      <w:lang w:val="es-ES"/>
    </w:rPr>
  </w:style>
  <w:style w:type="paragraph" w:styleId="Textonotapie">
    <w:name w:val="footnote text"/>
    <w:basedOn w:val="Normal"/>
    <w:link w:val="TextonotapieCar"/>
    <w:uiPriority w:val="99"/>
    <w:semiHidden/>
    <w:unhideWhenUsed/>
    <w:rsid w:val="002953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53CA"/>
    <w:rPr>
      <w:sz w:val="20"/>
      <w:szCs w:val="20"/>
    </w:rPr>
  </w:style>
  <w:style w:type="character" w:styleId="Refdenotaalpie">
    <w:name w:val="footnote reference"/>
    <w:basedOn w:val="Fuentedeprrafopredeter"/>
    <w:uiPriority w:val="99"/>
    <w:semiHidden/>
    <w:unhideWhenUsed/>
    <w:rsid w:val="002953CA"/>
    <w:rPr>
      <w:vertAlign w:val="superscript"/>
    </w:rPr>
  </w:style>
  <w:style w:type="character" w:styleId="Hipervnculo">
    <w:name w:val="Hyperlink"/>
    <w:basedOn w:val="Fuentedeprrafopredeter"/>
    <w:uiPriority w:val="99"/>
    <w:unhideWhenUsed/>
    <w:rsid w:val="002953CA"/>
    <w:rPr>
      <w:color w:val="0563C1" w:themeColor="hyperlink"/>
      <w:u w:val="single"/>
    </w:rPr>
  </w:style>
  <w:style w:type="paragraph" w:styleId="Textodeglobo">
    <w:name w:val="Balloon Text"/>
    <w:basedOn w:val="Normal"/>
    <w:link w:val="TextodegloboCar"/>
    <w:uiPriority w:val="99"/>
    <w:semiHidden/>
    <w:unhideWhenUsed/>
    <w:rsid w:val="002D2E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EAC"/>
    <w:rPr>
      <w:rFonts w:ascii="Segoe UI" w:hAnsi="Segoe UI" w:cs="Segoe UI"/>
      <w:sz w:val="18"/>
      <w:szCs w:val="18"/>
    </w:rPr>
  </w:style>
  <w:style w:type="paragraph" w:styleId="Encabezado">
    <w:name w:val="header"/>
    <w:basedOn w:val="Normal"/>
    <w:link w:val="EncabezadoCar"/>
    <w:uiPriority w:val="99"/>
    <w:unhideWhenUsed/>
    <w:rsid w:val="00570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DC5"/>
  </w:style>
  <w:style w:type="paragraph" w:styleId="Piedepgina">
    <w:name w:val="footer"/>
    <w:basedOn w:val="Normal"/>
    <w:link w:val="PiedepginaCar"/>
    <w:uiPriority w:val="99"/>
    <w:unhideWhenUsed/>
    <w:rsid w:val="00570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DC5"/>
  </w:style>
  <w:style w:type="table" w:styleId="Tablaconcuadrcula">
    <w:name w:val="Table Grid"/>
    <w:basedOn w:val="Tablanormal"/>
    <w:uiPriority w:val="39"/>
    <w:rsid w:val="00F5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6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C2022"/>
    <w:rPr>
      <w:color w:val="954F72" w:themeColor="followedHyperlink"/>
      <w:u w:val="single"/>
    </w:rPr>
  </w:style>
  <w:style w:type="paragraph" w:styleId="Prrafodelista">
    <w:name w:val="List Paragraph"/>
    <w:aliases w:val="Imagen,Tabla de contenido"/>
    <w:basedOn w:val="Normal"/>
    <w:link w:val="PrrafodelistaCar"/>
    <w:uiPriority w:val="34"/>
    <w:qFormat/>
    <w:rsid w:val="00CF3743"/>
    <w:pPr>
      <w:ind w:left="720"/>
      <w:contextualSpacing/>
    </w:pPr>
  </w:style>
  <w:style w:type="character" w:customStyle="1" w:styleId="PrrafodelistaCar">
    <w:name w:val="Párrafo de lista Car"/>
    <w:aliases w:val="Imagen Car,Tabla de contenido Car"/>
    <w:link w:val="Prrafodelista"/>
    <w:uiPriority w:val="34"/>
    <w:locked/>
    <w:rsid w:val="004A6D84"/>
  </w:style>
  <w:style w:type="paragraph" w:customStyle="1" w:styleId="TableParagraph">
    <w:name w:val="Table Paragraph"/>
    <w:basedOn w:val="Normal"/>
    <w:uiPriority w:val="1"/>
    <w:qFormat/>
    <w:rsid w:val="00F0073E"/>
    <w:pPr>
      <w:widowControl w:val="0"/>
      <w:autoSpaceDE w:val="0"/>
      <w:autoSpaceDN w:val="0"/>
      <w:spacing w:after="0" w:line="240" w:lineRule="auto"/>
    </w:pPr>
    <w:rPr>
      <w:lang w:val="es-ES"/>
    </w:rPr>
  </w:style>
  <w:style w:type="paragraph" w:styleId="Textoindependiente">
    <w:name w:val="Body Text"/>
    <w:basedOn w:val="Normal"/>
    <w:link w:val="TextoindependienteCar"/>
    <w:uiPriority w:val="1"/>
    <w:qFormat/>
    <w:rsid w:val="00F0073E"/>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F0073E"/>
    <w:rPr>
      <w:rFonts w:ascii="Arial MT" w:eastAsia="Arial MT" w:hAnsi="Arial MT" w:cs="Arial MT"/>
      <w:sz w:val="24"/>
      <w:szCs w:val="24"/>
      <w:lang w:val="es-ES"/>
    </w:rPr>
  </w:style>
  <w:style w:type="character" w:styleId="Refdecomentario">
    <w:name w:val="annotation reference"/>
    <w:basedOn w:val="Fuentedeprrafopredeter"/>
    <w:uiPriority w:val="99"/>
    <w:semiHidden/>
    <w:unhideWhenUsed/>
    <w:rsid w:val="002149E5"/>
    <w:rPr>
      <w:sz w:val="16"/>
      <w:szCs w:val="16"/>
    </w:rPr>
  </w:style>
  <w:style w:type="paragraph" w:styleId="Textocomentario">
    <w:name w:val="annotation text"/>
    <w:basedOn w:val="Normal"/>
    <w:link w:val="TextocomentarioCar"/>
    <w:uiPriority w:val="99"/>
    <w:semiHidden/>
    <w:unhideWhenUsed/>
    <w:rsid w:val="002149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9E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49E5"/>
    <w:rPr>
      <w:b/>
      <w:bCs/>
    </w:rPr>
  </w:style>
  <w:style w:type="character" w:customStyle="1" w:styleId="AsuntodelcomentarioCar">
    <w:name w:val="Asunto del comentario Car"/>
    <w:basedOn w:val="TextocomentarioCar"/>
    <w:link w:val="Asuntodelcomentario"/>
    <w:uiPriority w:val="99"/>
    <w:semiHidden/>
    <w:rsid w:val="002149E5"/>
    <w:rPr>
      <w:b/>
      <w:bCs/>
      <w:sz w:val="20"/>
      <w:szCs w:val="20"/>
      <w:lang w:val="es-ES_tradnl"/>
    </w:rPr>
  </w:style>
  <w:style w:type="character" w:customStyle="1" w:styleId="Ttulo3Car">
    <w:name w:val="Título 3 Car"/>
    <w:basedOn w:val="Fuentedeprrafopredeter"/>
    <w:link w:val="Ttulo3"/>
    <w:uiPriority w:val="9"/>
    <w:semiHidden/>
    <w:rsid w:val="00DB4FA6"/>
    <w:rPr>
      <w:rFonts w:asciiTheme="majorHAnsi" w:eastAsiaTheme="majorEastAsia" w:hAnsiTheme="majorHAnsi" w:cstheme="majorBidi"/>
      <w:color w:val="1F4D78" w:themeColor="accent1" w:themeShade="7F"/>
      <w:sz w:val="24"/>
      <w:szCs w:val="24"/>
      <w:lang w:val="es-ES_tradnl"/>
    </w:rPr>
  </w:style>
  <w:style w:type="paragraph" w:styleId="Textonotaalfinal">
    <w:name w:val="endnote text"/>
    <w:basedOn w:val="Normal"/>
    <w:link w:val="TextonotaalfinalCar"/>
    <w:uiPriority w:val="99"/>
    <w:semiHidden/>
    <w:unhideWhenUsed/>
    <w:rsid w:val="000303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0373"/>
    <w:rPr>
      <w:sz w:val="20"/>
      <w:szCs w:val="20"/>
      <w:lang w:val="es-ES_tradnl"/>
    </w:rPr>
  </w:style>
  <w:style w:type="character" w:styleId="Refdenotaalfinal">
    <w:name w:val="endnote reference"/>
    <w:basedOn w:val="Fuentedeprrafopredeter"/>
    <w:uiPriority w:val="99"/>
    <w:semiHidden/>
    <w:unhideWhenUsed/>
    <w:rsid w:val="00030373"/>
    <w:rPr>
      <w:vertAlign w:val="superscript"/>
    </w:rPr>
  </w:style>
  <w:style w:type="character" w:styleId="Textoennegrita">
    <w:name w:val="Strong"/>
    <w:basedOn w:val="Fuentedeprrafopredeter"/>
    <w:uiPriority w:val="22"/>
    <w:qFormat/>
    <w:rsid w:val="00262EDE"/>
    <w:rPr>
      <w:b/>
      <w:bCs/>
    </w:rPr>
  </w:style>
  <w:style w:type="paragraph" w:styleId="NormalWeb">
    <w:name w:val="Normal (Web)"/>
    <w:basedOn w:val="Normal"/>
    <w:uiPriority w:val="99"/>
    <w:unhideWhenUsed/>
    <w:rsid w:val="00262ED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converted-space">
    <w:name w:val="apple-converted-space"/>
    <w:basedOn w:val="Fuentedeprrafopredeter"/>
    <w:rsid w:val="00B435E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no-indent">
    <w:name w:val="no-indent"/>
    <w:basedOn w:val="Normal"/>
    <w:rsid w:val="00D870D5"/>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credito">
    <w:name w:val="credito"/>
    <w:basedOn w:val="Fuentedeprrafopredeter"/>
    <w:rsid w:val="00D870D5"/>
  </w:style>
  <w:style w:type="character" w:styleId="nfasis">
    <w:name w:val="Emphasis"/>
    <w:basedOn w:val="Fuentedeprrafopredeter"/>
    <w:uiPriority w:val="20"/>
    <w:qFormat/>
    <w:rsid w:val="00691835"/>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81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A4R/kqXnGZi6Mh+mNMli1BeQ==">CgMxLjA4AHIhMUNFdm9iZUFfWEtRMmFYR1hiQ3JOdmhQUk5nWG5XSVlj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965</Words>
  <Characters>5312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Cruces Franco</dc:creator>
  <cp:lastModifiedBy>Andrea Daniela Flores Chacon</cp:lastModifiedBy>
  <cp:revision>2</cp:revision>
  <dcterms:created xsi:type="dcterms:W3CDTF">2025-12-01T19:55:00Z</dcterms:created>
  <dcterms:modified xsi:type="dcterms:W3CDTF">2025-12-01T19:55:00Z</dcterms:modified>
</cp:coreProperties>
</file>