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BAA6" w14:textId="77777777" w:rsidR="00D70C59" w:rsidRDefault="003F7238">
      <w:pPr>
        <w:ind w:left="425" w:right="5911" w:hanging="141"/>
        <w:jc w:val="both"/>
        <w:rPr>
          <w:rFonts w:ascii="Times" w:eastAsia="Times" w:hAnsi="Times" w:cs="Times"/>
          <w:b/>
          <w:sz w:val="28"/>
          <w:szCs w:val="28"/>
        </w:rPr>
      </w:pPr>
      <w:r>
        <w:rPr>
          <w:rFonts w:ascii="Times" w:eastAsia="Times" w:hAnsi="Times" w:cs="Times"/>
          <w:b/>
          <w:sz w:val="28"/>
          <w:szCs w:val="28"/>
        </w:rPr>
        <w:t>H. CONGRESO DEL ESTADO DE CHIHUAHUA</w:t>
      </w:r>
    </w:p>
    <w:p w14:paraId="274D2329" w14:textId="77777777" w:rsidR="00D70C59" w:rsidRDefault="003F7238">
      <w:pPr>
        <w:ind w:left="425" w:right="5911" w:hanging="141"/>
        <w:jc w:val="both"/>
        <w:rPr>
          <w:rFonts w:ascii="Times" w:eastAsia="Times" w:hAnsi="Times" w:cs="Times"/>
          <w:b/>
          <w:sz w:val="28"/>
          <w:szCs w:val="28"/>
        </w:rPr>
      </w:pPr>
      <w:r>
        <w:rPr>
          <w:rFonts w:ascii="Times" w:eastAsia="Times" w:hAnsi="Times" w:cs="Times"/>
          <w:b/>
          <w:sz w:val="28"/>
          <w:szCs w:val="28"/>
        </w:rPr>
        <w:t>PRESENTE.</w:t>
      </w:r>
    </w:p>
    <w:p w14:paraId="2AE364BC" w14:textId="628B7E5F" w:rsidR="00D70C59" w:rsidRDefault="00565C27" w:rsidP="00977EB0">
      <w:pPr>
        <w:spacing w:line="360" w:lineRule="auto"/>
        <w:ind w:firstLine="700"/>
        <w:jc w:val="both"/>
        <w:rPr>
          <w:rFonts w:ascii="Times" w:eastAsia="Times" w:hAnsi="Times" w:cs="Times"/>
          <w:b/>
          <w:sz w:val="28"/>
          <w:szCs w:val="28"/>
        </w:rPr>
      </w:pPr>
      <w:r>
        <w:rPr>
          <w:rFonts w:ascii="Times" w:eastAsia="Times" w:hAnsi="Times" w:cs="Times"/>
          <w:sz w:val="28"/>
          <w:szCs w:val="28"/>
        </w:rPr>
        <w:t>Quien suscribe</w:t>
      </w:r>
      <w:r w:rsidR="003F7238">
        <w:rPr>
          <w:rFonts w:ascii="Times" w:eastAsia="Times" w:hAnsi="Times" w:cs="Times"/>
          <w:sz w:val="28"/>
          <w:szCs w:val="28"/>
        </w:rPr>
        <w:t>,</w:t>
      </w:r>
      <w:r w:rsidR="003F7238">
        <w:rPr>
          <w:rFonts w:ascii="Times" w:eastAsia="Times" w:hAnsi="Times" w:cs="Times"/>
          <w:b/>
          <w:sz w:val="28"/>
          <w:szCs w:val="28"/>
        </w:rPr>
        <w:t xml:space="preserve"> Rosana Díaz Reyes</w:t>
      </w:r>
      <w:r w:rsidR="003F7238">
        <w:rPr>
          <w:rFonts w:ascii="Times" w:eastAsia="Times" w:hAnsi="Times" w:cs="Times"/>
          <w:sz w:val="28"/>
          <w:szCs w:val="28"/>
        </w:rPr>
        <w:t xml:space="preserve">, en el carácter de diputaciones integrantes de la Sexagésima Octava Legislatura y del Grupo Parlamentario de </w:t>
      </w:r>
      <w:r w:rsidR="003F7238">
        <w:rPr>
          <w:rFonts w:ascii="Times" w:eastAsia="Times" w:hAnsi="Times" w:cs="Times"/>
          <w:b/>
          <w:sz w:val="28"/>
          <w:szCs w:val="28"/>
        </w:rPr>
        <w:t>MORENA</w:t>
      </w:r>
      <w:r w:rsidR="003F7238">
        <w:rPr>
          <w:rFonts w:ascii="Times" w:eastAsia="Times" w:hAnsi="Times" w:cs="Times"/>
          <w:sz w:val="28"/>
          <w:szCs w:val="28"/>
        </w:rPr>
        <w:t xml:space="preserve">; con fundamento en lo dispuesto por el artículo </w:t>
      </w:r>
      <w:r w:rsidR="003F7238">
        <w:rPr>
          <w:rFonts w:ascii="Times" w:eastAsia="Times" w:hAnsi="Times" w:cs="Times"/>
          <w:b/>
          <w:sz w:val="28"/>
          <w:szCs w:val="28"/>
        </w:rPr>
        <w:t>68</w:t>
      </w:r>
      <w:r w:rsidR="003F7238">
        <w:rPr>
          <w:rFonts w:ascii="Times" w:eastAsia="Times" w:hAnsi="Times" w:cs="Times"/>
          <w:sz w:val="28"/>
          <w:szCs w:val="28"/>
        </w:rPr>
        <w:t xml:space="preserve"> fracción primera de la Constitución Política del Estado de Chihuahua, a esta Soberanía someto a  consideración la siguiente iniciativa con carácter de</w:t>
      </w:r>
      <w:r w:rsidR="003F7238">
        <w:rPr>
          <w:rFonts w:ascii="Times" w:eastAsia="Times" w:hAnsi="Times" w:cs="Times"/>
          <w:b/>
          <w:sz w:val="28"/>
          <w:szCs w:val="28"/>
        </w:rPr>
        <w:t xml:space="preserve"> DECRETO, </w:t>
      </w:r>
      <w:r w:rsidR="003F7238">
        <w:rPr>
          <w:rFonts w:ascii="Times" w:eastAsia="Times" w:hAnsi="Times" w:cs="Times"/>
          <w:sz w:val="28"/>
          <w:szCs w:val="28"/>
        </w:rPr>
        <w:t xml:space="preserve">por el que se reforma </w:t>
      </w:r>
      <w:bookmarkStart w:id="0" w:name="_Hlk211861413"/>
      <w:r w:rsidR="003F7238">
        <w:rPr>
          <w:rFonts w:ascii="Times" w:eastAsia="Times" w:hAnsi="Times" w:cs="Times"/>
          <w:sz w:val="28"/>
          <w:szCs w:val="28"/>
        </w:rPr>
        <w:t xml:space="preserve">la </w:t>
      </w:r>
      <w:r w:rsidR="00BE31C5" w:rsidRPr="00BE31C5">
        <w:rPr>
          <w:rFonts w:ascii="Times" w:eastAsia="Times" w:hAnsi="Times" w:cs="Times"/>
          <w:b/>
          <w:sz w:val="28"/>
          <w:szCs w:val="28"/>
        </w:rPr>
        <w:t>Ley de Vialidad y Tránsito para el Estado</w:t>
      </w:r>
      <w:bookmarkEnd w:id="0"/>
      <w:r w:rsidR="003F7238">
        <w:rPr>
          <w:rFonts w:ascii="Times" w:eastAsia="Times" w:hAnsi="Times" w:cs="Times"/>
          <w:sz w:val="28"/>
          <w:szCs w:val="28"/>
        </w:rPr>
        <w:t xml:space="preserve">, </w:t>
      </w:r>
      <w:r w:rsidR="00977EB0" w:rsidRPr="00977EB0">
        <w:rPr>
          <w:rFonts w:ascii="Times" w:eastAsia="Times" w:hAnsi="Times" w:cs="Times"/>
          <w:sz w:val="28"/>
          <w:szCs w:val="28"/>
        </w:rPr>
        <w:t>a fin de mejorar el marco regulatorio para la conducción lícita de motocicletas. Lo anterior al tenor de la siguiente:</w:t>
      </w:r>
      <w:r w:rsidR="003F7238">
        <w:rPr>
          <w:rFonts w:ascii="Times" w:eastAsia="Times" w:hAnsi="Times" w:cs="Times"/>
          <w:b/>
          <w:sz w:val="28"/>
          <w:szCs w:val="28"/>
        </w:rPr>
        <w:t xml:space="preserve"> </w:t>
      </w:r>
    </w:p>
    <w:p w14:paraId="4C0D5D33" w14:textId="4068C207" w:rsidR="00BE31C5" w:rsidRDefault="003F7238" w:rsidP="00C80C0D">
      <w:pPr>
        <w:spacing w:before="240" w:line="360" w:lineRule="auto"/>
        <w:jc w:val="center"/>
        <w:rPr>
          <w:rFonts w:ascii="Times" w:eastAsia="Times" w:hAnsi="Times" w:cs="Times"/>
          <w:b/>
          <w:sz w:val="36"/>
          <w:szCs w:val="36"/>
        </w:rPr>
      </w:pPr>
      <w:r>
        <w:rPr>
          <w:rFonts w:ascii="Times" w:eastAsia="Times" w:hAnsi="Times" w:cs="Times"/>
          <w:b/>
          <w:sz w:val="36"/>
          <w:szCs w:val="36"/>
        </w:rPr>
        <w:t>EXPOSICIÓN DE MOTIVOS</w:t>
      </w:r>
    </w:p>
    <w:p w14:paraId="75D1B703" w14:textId="77777777" w:rsidR="00BE31C5" w:rsidRDefault="00BE31C5" w:rsidP="00BE31C5">
      <w:pPr>
        <w:spacing w:before="240" w:line="360" w:lineRule="auto"/>
        <w:jc w:val="center"/>
        <w:rPr>
          <w:rFonts w:ascii="Times" w:eastAsia="Times" w:hAnsi="Times" w:cs="Times"/>
          <w:b/>
          <w:sz w:val="36"/>
          <w:szCs w:val="36"/>
        </w:rPr>
      </w:pPr>
    </w:p>
    <w:p w14:paraId="6EB80BAA" w14:textId="77777777" w:rsidR="00C80C0D" w:rsidRDefault="00C80C0D" w:rsidP="00C80C0D">
      <w:pPr>
        <w:spacing w:before="240" w:line="360" w:lineRule="auto"/>
        <w:jc w:val="both"/>
        <w:rPr>
          <w:rFonts w:ascii="Times" w:eastAsia="Times" w:hAnsi="Times" w:cs="Times"/>
          <w:sz w:val="28"/>
          <w:szCs w:val="28"/>
        </w:rPr>
      </w:pPr>
      <w:r w:rsidRPr="00C80C0D">
        <w:rPr>
          <w:rFonts w:ascii="Times" w:eastAsia="Times" w:hAnsi="Times" w:cs="Times"/>
          <w:sz w:val="28"/>
          <w:szCs w:val="28"/>
        </w:rPr>
        <w:t>Un Estado que pretenda ser garante de la seguridad de sus habitantes no puede permanecer indiferente ante fenómenos que socavan el orden público y la paz social. La circulación de vehículos motorizados sin placas de identificación, particularmente de motocicletas, ha dejado de ser una simple falta administrativa para convertirse en una grave y creciente amenaza para la seguridad pública y la seguridad vial en nuestro Estado.</w:t>
      </w:r>
    </w:p>
    <w:p w14:paraId="129AFC0D" w14:textId="31FE91FA" w:rsidR="00781661" w:rsidRPr="00C80C0D" w:rsidRDefault="00781661" w:rsidP="00C80C0D">
      <w:pPr>
        <w:spacing w:before="240" w:line="360" w:lineRule="auto"/>
        <w:jc w:val="both"/>
        <w:rPr>
          <w:rFonts w:ascii="Times" w:eastAsia="Times" w:hAnsi="Times" w:cs="Times"/>
          <w:sz w:val="28"/>
          <w:szCs w:val="28"/>
        </w:rPr>
      </w:pPr>
      <w:r>
        <w:rPr>
          <w:rFonts w:ascii="Times" w:eastAsia="Times" w:hAnsi="Times" w:cs="Times"/>
          <w:sz w:val="28"/>
          <w:szCs w:val="28"/>
        </w:rPr>
        <w:t xml:space="preserve">Sin embargo, la seguridad vial, debemos recordarlo, no se trata únicamente de quien conduce, es pues también de importancia para todas las personas, más aún cuando hablamos de personas menores de edad, quienes pueden estar en </w:t>
      </w:r>
      <w:r>
        <w:rPr>
          <w:rFonts w:ascii="Times" w:eastAsia="Times" w:hAnsi="Times" w:cs="Times"/>
          <w:sz w:val="28"/>
          <w:szCs w:val="28"/>
        </w:rPr>
        <w:lastRenderedPageBreak/>
        <w:t xml:space="preserve">exposición constante y reiterada a los riesgos viales sumados a una conducción riesgosa o temeraria, </w:t>
      </w:r>
      <w:r w:rsidR="00B437A2">
        <w:rPr>
          <w:rFonts w:ascii="Times" w:eastAsia="Times" w:hAnsi="Times" w:cs="Times"/>
          <w:sz w:val="28"/>
          <w:szCs w:val="28"/>
        </w:rPr>
        <w:t>a lo que no podemos dejar de señalar que la legislación toma medidas muy secundarias para un problema tan sensible.</w:t>
      </w:r>
    </w:p>
    <w:p w14:paraId="25A45944" w14:textId="77777777" w:rsidR="00C80C0D" w:rsidRPr="00C80C0D" w:rsidRDefault="00C80C0D" w:rsidP="00C80C0D">
      <w:pPr>
        <w:spacing w:before="240" w:line="360" w:lineRule="auto"/>
        <w:jc w:val="both"/>
        <w:rPr>
          <w:rFonts w:ascii="Times" w:eastAsia="Times" w:hAnsi="Times" w:cs="Times"/>
          <w:sz w:val="28"/>
          <w:szCs w:val="28"/>
        </w:rPr>
      </w:pPr>
    </w:p>
    <w:p w14:paraId="2D015DBF" w14:textId="77777777" w:rsidR="00C80C0D" w:rsidRPr="00C80C0D" w:rsidRDefault="00C80C0D" w:rsidP="00C80C0D">
      <w:pPr>
        <w:spacing w:before="240" w:line="360" w:lineRule="auto"/>
        <w:jc w:val="both"/>
        <w:rPr>
          <w:rFonts w:ascii="Times" w:eastAsia="Times" w:hAnsi="Times" w:cs="Times"/>
          <w:sz w:val="28"/>
          <w:szCs w:val="28"/>
        </w:rPr>
      </w:pPr>
      <w:r w:rsidRPr="00C80C0D">
        <w:rPr>
          <w:rFonts w:ascii="Times" w:eastAsia="Times" w:hAnsi="Times" w:cs="Times"/>
          <w:sz w:val="28"/>
          <w:szCs w:val="28"/>
        </w:rPr>
        <w:t>Las motocicletas, por su agilidad, bajo costo y versatilidad, se han popularizado como un medio de transporte eficiente; sin embargo, esta misma naturaleza las ha convertido en el vehículo predilecto para la comisión de una alarmante gama de actos delictivos. El anonimato que otorga la falta de una placa de circulación es un velo de impunidad que facilita la huida de quienes perpetran robos, asaltos, actos de narcomenudeo e incluso delitos de alto impacto como el homicidio, generando un profundo clima de indefensión y temor entre la ciudadanía. Cada motocicleta sin identificar que transita por nuestras calles es, en potencia, un vehículo fantasma que puede ser utilizado para transgredir la ley sin temor a ser rastreado por las corporaciones de seguridad.</w:t>
      </w:r>
    </w:p>
    <w:p w14:paraId="28762C46" w14:textId="77777777" w:rsidR="00C80C0D" w:rsidRPr="00C80C0D" w:rsidRDefault="00C80C0D" w:rsidP="00C80C0D">
      <w:pPr>
        <w:spacing w:before="240" w:line="360" w:lineRule="auto"/>
        <w:jc w:val="both"/>
        <w:rPr>
          <w:rFonts w:ascii="Times" w:eastAsia="Times" w:hAnsi="Times" w:cs="Times"/>
          <w:sz w:val="28"/>
          <w:szCs w:val="28"/>
        </w:rPr>
      </w:pPr>
    </w:p>
    <w:p w14:paraId="588D42A2" w14:textId="77777777" w:rsidR="00C80C0D" w:rsidRPr="00C80C0D" w:rsidRDefault="00C80C0D" w:rsidP="00C80C0D">
      <w:pPr>
        <w:spacing w:before="240" w:line="360" w:lineRule="auto"/>
        <w:jc w:val="both"/>
        <w:rPr>
          <w:rFonts w:ascii="Times" w:eastAsia="Times" w:hAnsi="Times" w:cs="Times"/>
          <w:sz w:val="28"/>
          <w:szCs w:val="28"/>
        </w:rPr>
      </w:pPr>
      <w:r w:rsidRPr="00C80C0D">
        <w:rPr>
          <w:rFonts w:ascii="Times" w:eastAsia="Times" w:hAnsi="Times" w:cs="Times"/>
          <w:sz w:val="28"/>
          <w:szCs w:val="28"/>
        </w:rPr>
        <w:t xml:space="preserve">En el mismo sentido, en el ámbito de la seguridad vial, la falta de placas se traduce en una evasión sistemática y dolosa de la responsabilidad civil. En caso de un siniestro de tránsito, el conductor de una motocicleta sin matrícula puede abandonar a las víctimas a su suerte, sin que exista un medio fiable para su posterior identificación y, por ende, sin posibilidad alguna de exigir la reparación del daño. Esta impunidad no solo fomenta una cultura de irresponsabilidad y desprecio por la vida y el patrimonio ajeno, sino que despoja a las víctimas de su </w:t>
      </w:r>
      <w:r w:rsidRPr="00C80C0D">
        <w:rPr>
          <w:rFonts w:ascii="Times" w:eastAsia="Times" w:hAnsi="Times" w:cs="Times"/>
          <w:sz w:val="28"/>
          <w:szCs w:val="28"/>
        </w:rPr>
        <w:lastRenderedPageBreak/>
        <w:t>derecho fundamental de acceso a la justicia, dejándolas en un estado de total vulnerabilidad.</w:t>
      </w:r>
    </w:p>
    <w:p w14:paraId="3E422C73" w14:textId="77777777" w:rsidR="00C80C0D" w:rsidRPr="00C80C0D" w:rsidRDefault="00C80C0D" w:rsidP="00C80C0D">
      <w:pPr>
        <w:spacing w:before="240" w:line="360" w:lineRule="auto"/>
        <w:jc w:val="both"/>
        <w:rPr>
          <w:rFonts w:ascii="Times" w:eastAsia="Times" w:hAnsi="Times" w:cs="Times"/>
          <w:sz w:val="28"/>
          <w:szCs w:val="28"/>
        </w:rPr>
      </w:pPr>
    </w:p>
    <w:p w14:paraId="0BDB491E" w14:textId="3262C7E2" w:rsidR="00C80C0D" w:rsidRDefault="00C80C0D" w:rsidP="00C80C0D">
      <w:pPr>
        <w:spacing w:before="240" w:line="360" w:lineRule="auto"/>
        <w:jc w:val="both"/>
        <w:rPr>
          <w:rFonts w:ascii="Times" w:eastAsia="Times" w:hAnsi="Times" w:cs="Times"/>
          <w:sz w:val="28"/>
          <w:szCs w:val="28"/>
        </w:rPr>
      </w:pPr>
      <w:r w:rsidRPr="00C80C0D">
        <w:rPr>
          <w:rFonts w:ascii="Times" w:eastAsia="Times" w:hAnsi="Times" w:cs="Times"/>
          <w:sz w:val="28"/>
          <w:szCs w:val="28"/>
        </w:rPr>
        <w:t>La sanción actualmente contemplada en la ley, ha demostrado ser un disuasivo absolutamente insuficiente. El cálculo costo-beneficio para el infractor se inclina abrumadoramente a favor de mantener el anonimato, pues la sanción económica es percibida como un riesgo menor, un costo operativo asumible a cambio de la facilidad para delinquir o evadir responsabilidades mayores.</w:t>
      </w:r>
    </w:p>
    <w:p w14:paraId="28257791" w14:textId="77777777" w:rsidR="00C80C0D" w:rsidRDefault="00C80C0D" w:rsidP="00C80C0D">
      <w:pPr>
        <w:spacing w:before="240" w:line="360" w:lineRule="auto"/>
        <w:jc w:val="both"/>
        <w:rPr>
          <w:rFonts w:ascii="Times" w:eastAsia="Times" w:hAnsi="Times" w:cs="Times"/>
          <w:sz w:val="28"/>
          <w:szCs w:val="28"/>
        </w:rPr>
      </w:pPr>
    </w:p>
    <w:p w14:paraId="320B194E" w14:textId="7690B2BA" w:rsidR="00D70C59" w:rsidRPr="00BE31C5" w:rsidRDefault="003F7238" w:rsidP="00C80C0D">
      <w:pPr>
        <w:spacing w:before="240" w:line="360" w:lineRule="auto"/>
        <w:jc w:val="both"/>
        <w:rPr>
          <w:rFonts w:ascii="Times" w:eastAsia="Times" w:hAnsi="Times" w:cs="Times"/>
          <w:b/>
          <w:sz w:val="36"/>
          <w:szCs w:val="36"/>
        </w:rPr>
      </w:pPr>
      <w:r>
        <w:rPr>
          <w:rFonts w:ascii="Times" w:eastAsia="Times" w:hAnsi="Times" w:cs="Times"/>
          <w:sz w:val="28"/>
          <w:szCs w:val="28"/>
        </w:rPr>
        <w:t>En virtud de lo anteriormente expuesto, y con la convicción de que esta reforma fortalecerá la institución del notariado y, con ello, el Estado de Derecho en Chihuahua, sometemos a la consideración de este Honorable Pleno el siguiente proyecto de:</w:t>
      </w:r>
    </w:p>
    <w:p w14:paraId="6ED69881" w14:textId="77777777" w:rsidR="00D70C59" w:rsidRDefault="00D70C59">
      <w:pPr>
        <w:spacing w:before="240" w:line="360" w:lineRule="auto"/>
        <w:jc w:val="both"/>
        <w:rPr>
          <w:rFonts w:ascii="Times" w:eastAsia="Times" w:hAnsi="Times" w:cs="Times"/>
          <w:sz w:val="28"/>
          <w:szCs w:val="28"/>
        </w:rPr>
      </w:pPr>
    </w:p>
    <w:p w14:paraId="39A57E88" w14:textId="77777777" w:rsidR="00D70C59" w:rsidRDefault="003F7238" w:rsidP="00781661">
      <w:pPr>
        <w:spacing w:before="240" w:after="240" w:line="360" w:lineRule="auto"/>
        <w:jc w:val="center"/>
        <w:rPr>
          <w:rFonts w:ascii="Times" w:eastAsia="Times" w:hAnsi="Times" w:cs="Times"/>
          <w:b/>
          <w:sz w:val="36"/>
          <w:szCs w:val="36"/>
        </w:rPr>
      </w:pPr>
      <w:r>
        <w:rPr>
          <w:rFonts w:ascii="Times" w:eastAsia="Times" w:hAnsi="Times" w:cs="Times"/>
          <w:b/>
          <w:sz w:val="36"/>
          <w:szCs w:val="36"/>
        </w:rPr>
        <w:t>D E C R E T O</w:t>
      </w:r>
    </w:p>
    <w:p w14:paraId="1CF3F004" w14:textId="25C9E769" w:rsidR="00D70C59" w:rsidRDefault="003F7238">
      <w:pPr>
        <w:spacing w:before="240" w:line="360" w:lineRule="auto"/>
        <w:jc w:val="both"/>
        <w:rPr>
          <w:rFonts w:ascii="Times" w:eastAsia="Times" w:hAnsi="Times" w:cs="Times"/>
          <w:sz w:val="28"/>
          <w:szCs w:val="28"/>
        </w:rPr>
      </w:pPr>
      <w:r>
        <w:rPr>
          <w:rFonts w:ascii="Times" w:eastAsia="Times" w:hAnsi="Times" w:cs="Times"/>
          <w:b/>
          <w:sz w:val="28"/>
          <w:szCs w:val="28"/>
        </w:rPr>
        <w:t>ÚNICO</w:t>
      </w:r>
      <w:r>
        <w:rPr>
          <w:rFonts w:ascii="Times" w:eastAsia="Times" w:hAnsi="Times" w:cs="Times"/>
          <w:sz w:val="28"/>
          <w:szCs w:val="28"/>
        </w:rPr>
        <w:t xml:space="preserve">. </w:t>
      </w:r>
      <w:r w:rsidR="00082CF6">
        <w:rPr>
          <w:rFonts w:ascii="Times" w:eastAsia="Times" w:hAnsi="Times" w:cs="Times"/>
          <w:sz w:val="28"/>
          <w:szCs w:val="28"/>
        </w:rPr>
        <w:t xml:space="preserve">Se </w:t>
      </w:r>
      <w:r w:rsidR="00082CF6">
        <w:rPr>
          <w:rFonts w:ascii="Times" w:eastAsia="Times" w:hAnsi="Times" w:cs="Times"/>
          <w:b/>
          <w:sz w:val="28"/>
          <w:szCs w:val="28"/>
        </w:rPr>
        <w:t xml:space="preserve">REFORMA </w:t>
      </w:r>
      <w:r w:rsidR="00082CF6">
        <w:rPr>
          <w:rFonts w:ascii="Times" w:eastAsia="Times" w:hAnsi="Times" w:cs="Times"/>
          <w:sz w:val="28"/>
          <w:szCs w:val="28"/>
        </w:rPr>
        <w:t>una el párrafo primero y quinto del artículo 55</w:t>
      </w:r>
      <w:r w:rsidR="00781661">
        <w:rPr>
          <w:rFonts w:ascii="Times" w:eastAsia="Times" w:hAnsi="Times" w:cs="Times"/>
          <w:sz w:val="28"/>
          <w:szCs w:val="28"/>
        </w:rPr>
        <w:t>;</w:t>
      </w:r>
      <w:r w:rsidR="00082CF6">
        <w:rPr>
          <w:rFonts w:ascii="Times" w:eastAsia="Times" w:hAnsi="Times" w:cs="Times"/>
          <w:sz w:val="28"/>
          <w:szCs w:val="28"/>
        </w:rPr>
        <w:t xml:space="preserve"> </w:t>
      </w:r>
      <w:r w:rsidR="00781661">
        <w:rPr>
          <w:rFonts w:ascii="Times" w:eastAsia="Times" w:hAnsi="Times" w:cs="Times"/>
          <w:sz w:val="28"/>
          <w:szCs w:val="28"/>
        </w:rPr>
        <w:t>se</w:t>
      </w:r>
      <w:r>
        <w:rPr>
          <w:rFonts w:ascii="Times" w:eastAsia="Times" w:hAnsi="Times" w:cs="Times"/>
          <w:sz w:val="28"/>
          <w:szCs w:val="28"/>
        </w:rPr>
        <w:t xml:space="preserve"> </w:t>
      </w:r>
      <w:r>
        <w:rPr>
          <w:rFonts w:ascii="Times" w:eastAsia="Times" w:hAnsi="Times" w:cs="Times"/>
          <w:b/>
          <w:sz w:val="28"/>
          <w:szCs w:val="28"/>
        </w:rPr>
        <w:t>ADICIONA</w:t>
      </w:r>
      <w:r w:rsidR="00082CF6">
        <w:rPr>
          <w:rFonts w:ascii="Times" w:eastAsia="Times" w:hAnsi="Times" w:cs="Times"/>
          <w:sz w:val="28"/>
          <w:szCs w:val="28"/>
        </w:rPr>
        <w:t xml:space="preserve"> </w:t>
      </w:r>
      <w:r w:rsidR="00C80C0D">
        <w:rPr>
          <w:rFonts w:ascii="Times" w:eastAsia="Times" w:hAnsi="Times" w:cs="Times"/>
          <w:sz w:val="28"/>
          <w:szCs w:val="28"/>
        </w:rPr>
        <w:t xml:space="preserve">una fracción </w:t>
      </w:r>
      <w:r w:rsidR="00082CF6">
        <w:rPr>
          <w:rFonts w:ascii="Times" w:eastAsia="Times" w:hAnsi="Times" w:cs="Times"/>
          <w:sz w:val="28"/>
          <w:szCs w:val="28"/>
        </w:rPr>
        <w:t>VII</w:t>
      </w:r>
      <w:r w:rsidR="00C80C0D">
        <w:rPr>
          <w:rFonts w:ascii="Times" w:eastAsia="Times" w:hAnsi="Times" w:cs="Times"/>
          <w:sz w:val="28"/>
          <w:szCs w:val="28"/>
        </w:rPr>
        <w:t xml:space="preserve"> del artículo 33</w:t>
      </w:r>
      <w:r w:rsidR="00781661">
        <w:rPr>
          <w:rFonts w:ascii="Times" w:eastAsia="Times" w:hAnsi="Times" w:cs="Times"/>
          <w:sz w:val="28"/>
          <w:szCs w:val="28"/>
        </w:rPr>
        <w:t>; una fracción III al artículo 59;</w:t>
      </w:r>
      <w:r w:rsidR="00C80C0D">
        <w:rPr>
          <w:rFonts w:ascii="Times" w:eastAsia="Times" w:hAnsi="Times" w:cs="Times"/>
          <w:sz w:val="28"/>
          <w:szCs w:val="28"/>
        </w:rPr>
        <w:t xml:space="preserve"> y una fracci</w:t>
      </w:r>
      <w:r w:rsidR="00781661">
        <w:rPr>
          <w:rFonts w:ascii="Times" w:eastAsia="Times" w:hAnsi="Times" w:cs="Times"/>
          <w:sz w:val="28"/>
          <w:szCs w:val="28"/>
        </w:rPr>
        <w:t xml:space="preserve">ón VIIII del artículo 101; todos </w:t>
      </w:r>
      <w:r w:rsidR="00C80C0D">
        <w:rPr>
          <w:rFonts w:ascii="Times" w:eastAsia="Times" w:hAnsi="Times" w:cs="Times"/>
          <w:sz w:val="28"/>
          <w:szCs w:val="28"/>
        </w:rPr>
        <w:t xml:space="preserve"> de  </w:t>
      </w:r>
      <w:r w:rsidR="00C80C0D" w:rsidRPr="00C80C0D">
        <w:rPr>
          <w:rFonts w:ascii="Times" w:eastAsia="Times" w:hAnsi="Times" w:cs="Times"/>
          <w:sz w:val="28"/>
          <w:szCs w:val="28"/>
        </w:rPr>
        <w:t>Ley de Vialidad y Tránsito para el Estado de Chihuahua</w:t>
      </w:r>
      <w:r>
        <w:rPr>
          <w:rFonts w:ascii="Times" w:eastAsia="Times" w:hAnsi="Times" w:cs="Times"/>
          <w:sz w:val="28"/>
          <w:szCs w:val="28"/>
        </w:rPr>
        <w:t>, para quedar redactados de la siguiente manera:</w:t>
      </w:r>
    </w:p>
    <w:p w14:paraId="7BD6D839" w14:textId="77777777" w:rsidR="00BE31C5" w:rsidRPr="00BE31C5" w:rsidRDefault="00BE31C5" w:rsidP="00BE31C5">
      <w:pPr>
        <w:spacing w:before="240" w:line="360" w:lineRule="auto"/>
        <w:jc w:val="center"/>
        <w:rPr>
          <w:rFonts w:ascii="Times" w:eastAsia="Times" w:hAnsi="Times" w:cs="Times"/>
          <w:sz w:val="32"/>
          <w:szCs w:val="32"/>
        </w:rPr>
      </w:pPr>
    </w:p>
    <w:p w14:paraId="0F958261" w14:textId="724AC7E8" w:rsidR="00BE31C5" w:rsidRPr="00082CF6" w:rsidRDefault="00BE31C5" w:rsidP="00781661">
      <w:pPr>
        <w:spacing w:before="240" w:line="360" w:lineRule="auto"/>
        <w:ind w:left="2127" w:right="2083" w:firstLine="141"/>
        <w:jc w:val="center"/>
        <w:rPr>
          <w:rFonts w:ascii="Times" w:eastAsia="Times" w:hAnsi="Times" w:cs="Times"/>
          <w:b/>
          <w:sz w:val="36"/>
          <w:szCs w:val="34"/>
        </w:rPr>
      </w:pPr>
      <w:r w:rsidRPr="00082CF6">
        <w:rPr>
          <w:rFonts w:ascii="Times" w:eastAsia="Times" w:hAnsi="Times" w:cs="Times"/>
          <w:b/>
          <w:sz w:val="36"/>
          <w:szCs w:val="34"/>
        </w:rPr>
        <w:lastRenderedPageBreak/>
        <w:t>Ley de Vialidad y Tránsito para el Estado de Chihuahua</w:t>
      </w:r>
    </w:p>
    <w:p w14:paraId="7DBC6C70" w14:textId="77777777" w:rsidR="002F02DE" w:rsidRDefault="002F02DE">
      <w:pPr>
        <w:spacing w:before="240" w:line="360" w:lineRule="auto"/>
        <w:jc w:val="both"/>
        <w:rPr>
          <w:rFonts w:ascii="Times" w:eastAsia="Times" w:hAnsi="Times" w:cs="Times"/>
          <w:sz w:val="28"/>
          <w:szCs w:val="28"/>
        </w:rPr>
      </w:pPr>
    </w:p>
    <w:p w14:paraId="70CF5B91" w14:textId="77777777" w:rsidR="002F02DE" w:rsidRDefault="002F02DE" w:rsidP="00781661">
      <w:pPr>
        <w:spacing w:before="240" w:line="360" w:lineRule="auto"/>
        <w:ind w:firstLine="720"/>
        <w:jc w:val="both"/>
        <w:rPr>
          <w:rFonts w:ascii="Times" w:eastAsia="Times" w:hAnsi="Times" w:cs="Times"/>
          <w:sz w:val="28"/>
          <w:szCs w:val="28"/>
        </w:rPr>
      </w:pPr>
      <w:r w:rsidRPr="002F02DE">
        <w:rPr>
          <w:rFonts w:ascii="Times" w:eastAsia="Times" w:hAnsi="Times" w:cs="Times"/>
          <w:sz w:val="28"/>
          <w:szCs w:val="28"/>
        </w:rPr>
        <w:t xml:space="preserve">ARTÍCULO 33. Todo vehículo que transite por vías públicas deberá contar con las placas, tarjeta de circulación, Constancia del Registro Público Vehicular, así como la póliza de seguro vigente, las cuales acreditarán su registro en el Padrón Vehicular Estatal, previo cumplimiento de los siguientes requisitos: </w:t>
      </w:r>
    </w:p>
    <w:p w14:paraId="43DE4BE5" w14:textId="77777777" w:rsidR="002F02DE" w:rsidRDefault="002F02DE">
      <w:pPr>
        <w:spacing w:before="240" w:line="360" w:lineRule="auto"/>
        <w:jc w:val="both"/>
        <w:rPr>
          <w:rFonts w:ascii="Times" w:eastAsia="Times" w:hAnsi="Times" w:cs="Times"/>
          <w:sz w:val="28"/>
          <w:szCs w:val="28"/>
        </w:rPr>
      </w:pPr>
      <w:r w:rsidRPr="002F02DE">
        <w:rPr>
          <w:rFonts w:ascii="Times" w:eastAsia="Times" w:hAnsi="Times" w:cs="Times"/>
          <w:sz w:val="28"/>
          <w:szCs w:val="28"/>
        </w:rPr>
        <w:t>I.</w:t>
      </w:r>
      <w:r>
        <w:rPr>
          <w:rFonts w:ascii="Times" w:eastAsia="Times" w:hAnsi="Times" w:cs="Times"/>
          <w:sz w:val="28"/>
          <w:szCs w:val="28"/>
        </w:rPr>
        <w:t xml:space="preserve"> </w:t>
      </w:r>
      <w:r w:rsidRPr="002F02DE">
        <w:rPr>
          <w:rFonts w:ascii="Times" w:eastAsia="Times" w:hAnsi="Times" w:cs="Times"/>
          <w:sz w:val="28"/>
          <w:szCs w:val="28"/>
        </w:rPr>
        <w:t xml:space="preserve">a VI.... </w:t>
      </w:r>
    </w:p>
    <w:p w14:paraId="490174B7" w14:textId="5EA50095" w:rsidR="002F02DE" w:rsidRDefault="002F02DE" w:rsidP="002F02DE">
      <w:pPr>
        <w:spacing w:before="240" w:line="360" w:lineRule="auto"/>
        <w:ind w:firstLine="720"/>
        <w:jc w:val="both"/>
        <w:rPr>
          <w:rFonts w:ascii="Times" w:eastAsia="Times" w:hAnsi="Times" w:cs="Times"/>
          <w:b/>
          <w:bCs/>
          <w:sz w:val="28"/>
          <w:szCs w:val="28"/>
        </w:rPr>
      </w:pPr>
      <w:r w:rsidRPr="00C80C0D">
        <w:rPr>
          <w:rFonts w:ascii="Times" w:eastAsia="Times" w:hAnsi="Times" w:cs="Times"/>
          <w:b/>
          <w:bCs/>
          <w:sz w:val="28"/>
          <w:szCs w:val="28"/>
        </w:rPr>
        <w:t xml:space="preserve">VII. Tratándose de </w:t>
      </w:r>
      <w:r w:rsidR="00565C27">
        <w:rPr>
          <w:rFonts w:ascii="Times" w:eastAsia="Times" w:hAnsi="Times" w:cs="Times"/>
          <w:b/>
          <w:bCs/>
          <w:sz w:val="28"/>
          <w:szCs w:val="28"/>
        </w:rPr>
        <w:t>motocicletas, y de v</w:t>
      </w:r>
      <w:r w:rsidRPr="00C80C0D">
        <w:rPr>
          <w:rFonts w:ascii="Times" w:eastAsia="Times" w:hAnsi="Times" w:cs="Times"/>
          <w:b/>
          <w:bCs/>
          <w:sz w:val="28"/>
          <w:szCs w:val="28"/>
        </w:rPr>
        <w:t xml:space="preserve">ehículos que por sus características o fabricación no sea clasificable en ninguna categoría, además </w:t>
      </w:r>
      <w:r w:rsidR="00D015EE">
        <w:rPr>
          <w:rFonts w:ascii="Times" w:eastAsia="Times" w:hAnsi="Times" w:cs="Times"/>
          <w:b/>
          <w:bCs/>
          <w:sz w:val="28"/>
          <w:szCs w:val="28"/>
        </w:rPr>
        <w:t>deberán presentar las características mínimas en la estructura de los vehículos, que para efectos del presente serán los faros delanteros, la luz trasera y de freno, así también los espejos retrovisores.</w:t>
      </w:r>
    </w:p>
    <w:p w14:paraId="3BD06A41" w14:textId="77777777" w:rsidR="00082CF6" w:rsidRPr="00C80C0D" w:rsidRDefault="00082CF6" w:rsidP="002F02DE">
      <w:pPr>
        <w:spacing w:before="240" w:line="360" w:lineRule="auto"/>
        <w:ind w:firstLine="720"/>
        <w:jc w:val="both"/>
        <w:rPr>
          <w:rFonts w:ascii="Times" w:eastAsia="Times" w:hAnsi="Times" w:cs="Times"/>
          <w:b/>
          <w:bCs/>
          <w:sz w:val="28"/>
          <w:szCs w:val="28"/>
        </w:rPr>
      </w:pPr>
    </w:p>
    <w:p w14:paraId="6A135118" w14:textId="115068B9" w:rsidR="00D015EE" w:rsidRPr="00D015EE" w:rsidRDefault="00D015EE" w:rsidP="00D015EE">
      <w:pPr>
        <w:spacing w:before="240" w:line="360" w:lineRule="auto"/>
        <w:ind w:firstLine="720"/>
        <w:jc w:val="both"/>
        <w:rPr>
          <w:rFonts w:ascii="Times" w:eastAsia="Times" w:hAnsi="Times" w:cs="Times"/>
          <w:sz w:val="28"/>
          <w:szCs w:val="28"/>
        </w:rPr>
      </w:pPr>
      <w:r w:rsidRPr="00D015EE">
        <w:rPr>
          <w:rFonts w:ascii="Times" w:eastAsia="Times" w:hAnsi="Times" w:cs="Times"/>
          <w:sz w:val="28"/>
          <w:szCs w:val="28"/>
        </w:rPr>
        <w:t>ARTÍCULO 55. A las personas mayores de dieciséis años y menores de</w:t>
      </w:r>
      <w:r>
        <w:rPr>
          <w:rFonts w:ascii="Times" w:eastAsia="Times" w:hAnsi="Times" w:cs="Times"/>
          <w:sz w:val="28"/>
          <w:szCs w:val="28"/>
        </w:rPr>
        <w:t xml:space="preserve"> dieciocho se les podrá expedir </w:t>
      </w:r>
      <w:r w:rsidRPr="00D015EE">
        <w:rPr>
          <w:rFonts w:ascii="Times" w:eastAsia="Times" w:hAnsi="Times" w:cs="Times"/>
          <w:sz w:val="28"/>
          <w:szCs w:val="28"/>
        </w:rPr>
        <w:t xml:space="preserve">licencia de conducir únicamente de las del servicio particular en las </w:t>
      </w:r>
      <w:r>
        <w:rPr>
          <w:rFonts w:ascii="Times" w:eastAsia="Times" w:hAnsi="Times" w:cs="Times"/>
          <w:sz w:val="28"/>
          <w:szCs w:val="28"/>
        </w:rPr>
        <w:t xml:space="preserve">categorías de </w:t>
      </w:r>
      <w:r w:rsidRPr="00D015EE">
        <w:rPr>
          <w:rFonts w:ascii="Times" w:eastAsia="Times" w:hAnsi="Times" w:cs="Times"/>
          <w:sz w:val="28"/>
          <w:szCs w:val="28"/>
        </w:rPr>
        <w:t>automovilista</w:t>
      </w:r>
      <w:r w:rsidRPr="00794071">
        <w:rPr>
          <w:rFonts w:ascii="Times" w:eastAsia="Times" w:hAnsi="Times" w:cs="Times"/>
          <w:b/>
          <w:sz w:val="28"/>
          <w:szCs w:val="28"/>
        </w:rPr>
        <w:t>,</w:t>
      </w:r>
      <w:r w:rsidR="00794071" w:rsidRPr="00794071">
        <w:rPr>
          <w:rFonts w:ascii="Times" w:eastAsia="Times" w:hAnsi="Times" w:cs="Times"/>
          <w:b/>
          <w:sz w:val="28"/>
          <w:szCs w:val="28"/>
        </w:rPr>
        <w:t xml:space="preserve"> y </w:t>
      </w:r>
      <w:r w:rsidR="00794071">
        <w:rPr>
          <w:rFonts w:ascii="Times" w:eastAsia="Times" w:hAnsi="Times" w:cs="Times"/>
          <w:b/>
          <w:sz w:val="28"/>
          <w:szCs w:val="28"/>
        </w:rPr>
        <w:t>en su caso para</w:t>
      </w:r>
      <w:r w:rsidR="00794071" w:rsidRPr="00794071">
        <w:rPr>
          <w:rFonts w:ascii="Times" w:eastAsia="Times" w:hAnsi="Times" w:cs="Times"/>
          <w:b/>
          <w:sz w:val="28"/>
          <w:szCs w:val="28"/>
        </w:rPr>
        <w:t xml:space="preserve"> la categoría de motociclista a personas mayores de diecisiete años</w:t>
      </w:r>
      <w:r w:rsidR="00794071">
        <w:rPr>
          <w:rFonts w:ascii="Times" w:eastAsia="Times" w:hAnsi="Times" w:cs="Times"/>
          <w:b/>
          <w:sz w:val="28"/>
          <w:szCs w:val="28"/>
        </w:rPr>
        <w:t>,</w:t>
      </w:r>
      <w:r w:rsidRPr="00794071">
        <w:rPr>
          <w:rFonts w:ascii="Times" w:eastAsia="Times" w:hAnsi="Times" w:cs="Times"/>
          <w:b/>
          <w:sz w:val="28"/>
          <w:szCs w:val="28"/>
        </w:rPr>
        <w:t xml:space="preserve"> previo consentimiento por escrito</w:t>
      </w:r>
      <w:r w:rsidRPr="00D015EE">
        <w:rPr>
          <w:rFonts w:ascii="Times" w:eastAsia="Times" w:hAnsi="Times" w:cs="Times"/>
          <w:sz w:val="28"/>
          <w:szCs w:val="28"/>
        </w:rPr>
        <w:t>, otorgado por las personas qu</w:t>
      </w:r>
      <w:r>
        <w:rPr>
          <w:rFonts w:ascii="Times" w:eastAsia="Times" w:hAnsi="Times" w:cs="Times"/>
          <w:sz w:val="28"/>
          <w:szCs w:val="28"/>
        </w:rPr>
        <w:t xml:space="preserve">e ejerzan la patria potestad o, </w:t>
      </w:r>
      <w:r w:rsidRPr="00D015EE">
        <w:rPr>
          <w:rFonts w:ascii="Times" w:eastAsia="Times" w:hAnsi="Times" w:cs="Times"/>
          <w:sz w:val="28"/>
          <w:szCs w:val="28"/>
        </w:rPr>
        <w:t>en su caso, por el tutor del menor, quienes asumirán la responsabilidad civil,</w:t>
      </w:r>
      <w:r>
        <w:rPr>
          <w:rFonts w:ascii="Times" w:eastAsia="Times" w:hAnsi="Times" w:cs="Times"/>
          <w:sz w:val="28"/>
          <w:szCs w:val="28"/>
        </w:rPr>
        <w:t xml:space="preserve"> además del </w:t>
      </w:r>
      <w:r>
        <w:rPr>
          <w:rFonts w:ascii="Times" w:eastAsia="Times" w:hAnsi="Times" w:cs="Times"/>
          <w:sz w:val="28"/>
          <w:szCs w:val="28"/>
        </w:rPr>
        <w:lastRenderedPageBreak/>
        <w:t xml:space="preserve">cumplimiento de los </w:t>
      </w:r>
      <w:r w:rsidRPr="00D015EE">
        <w:rPr>
          <w:rFonts w:ascii="Times" w:eastAsia="Times" w:hAnsi="Times" w:cs="Times"/>
          <w:sz w:val="28"/>
          <w:szCs w:val="28"/>
        </w:rPr>
        <w:t>requisitos que para tal efecto se establecen por la ley y el reglamento. Esta</w:t>
      </w:r>
      <w:r>
        <w:rPr>
          <w:rFonts w:ascii="Times" w:eastAsia="Times" w:hAnsi="Times" w:cs="Times"/>
          <w:sz w:val="28"/>
          <w:szCs w:val="28"/>
        </w:rPr>
        <w:t xml:space="preserve"> licencia tendrá vigencia de un </w:t>
      </w:r>
      <w:r w:rsidRPr="00D015EE">
        <w:rPr>
          <w:rFonts w:ascii="Times" w:eastAsia="Times" w:hAnsi="Times" w:cs="Times"/>
          <w:sz w:val="28"/>
          <w:szCs w:val="28"/>
        </w:rPr>
        <w:t>año.</w:t>
      </w:r>
    </w:p>
    <w:p w14:paraId="6168C449" w14:textId="7DDEE845" w:rsidR="00D015EE" w:rsidRPr="00D015EE" w:rsidRDefault="00794071" w:rsidP="00D015EE">
      <w:pPr>
        <w:spacing w:before="240" w:line="360" w:lineRule="auto"/>
        <w:ind w:firstLine="720"/>
        <w:jc w:val="both"/>
        <w:rPr>
          <w:rFonts w:ascii="Times" w:eastAsia="Times" w:hAnsi="Times" w:cs="Times"/>
          <w:sz w:val="28"/>
          <w:szCs w:val="28"/>
        </w:rPr>
      </w:pPr>
      <w:r>
        <w:rPr>
          <w:rFonts w:ascii="Times" w:eastAsia="Times" w:hAnsi="Times" w:cs="Times"/>
          <w:sz w:val="28"/>
          <w:szCs w:val="28"/>
        </w:rPr>
        <w:t>…</w:t>
      </w:r>
    </w:p>
    <w:p w14:paraId="47DF5399" w14:textId="22647153" w:rsidR="00D015EE" w:rsidRPr="00D015EE" w:rsidRDefault="00794071" w:rsidP="00794071">
      <w:pPr>
        <w:spacing w:before="240" w:line="360" w:lineRule="auto"/>
        <w:ind w:firstLine="720"/>
        <w:jc w:val="both"/>
        <w:rPr>
          <w:rFonts w:ascii="Times" w:eastAsia="Times" w:hAnsi="Times" w:cs="Times"/>
          <w:sz w:val="28"/>
          <w:szCs w:val="28"/>
        </w:rPr>
      </w:pPr>
      <w:r>
        <w:rPr>
          <w:rFonts w:ascii="Times" w:eastAsia="Times" w:hAnsi="Times" w:cs="Times"/>
          <w:sz w:val="28"/>
          <w:szCs w:val="28"/>
        </w:rPr>
        <w:t>…</w:t>
      </w:r>
    </w:p>
    <w:p w14:paraId="28D3EC31" w14:textId="1058E54F" w:rsidR="00D015EE" w:rsidRPr="00D015EE" w:rsidRDefault="00794071" w:rsidP="00D015EE">
      <w:pPr>
        <w:spacing w:before="240" w:line="360" w:lineRule="auto"/>
        <w:ind w:firstLine="720"/>
        <w:jc w:val="both"/>
        <w:rPr>
          <w:rFonts w:ascii="Times" w:eastAsia="Times" w:hAnsi="Times" w:cs="Times"/>
          <w:sz w:val="28"/>
          <w:szCs w:val="28"/>
        </w:rPr>
      </w:pPr>
      <w:r>
        <w:rPr>
          <w:rFonts w:ascii="Times" w:eastAsia="Times" w:hAnsi="Times" w:cs="Times"/>
          <w:sz w:val="28"/>
          <w:szCs w:val="28"/>
        </w:rPr>
        <w:t>…</w:t>
      </w:r>
    </w:p>
    <w:p w14:paraId="61E833C3" w14:textId="61AB34D3" w:rsidR="002F02DE" w:rsidRDefault="00D015EE" w:rsidP="00D015EE">
      <w:pPr>
        <w:spacing w:before="240" w:line="360" w:lineRule="auto"/>
        <w:ind w:firstLine="720"/>
        <w:jc w:val="both"/>
        <w:rPr>
          <w:rFonts w:ascii="Times" w:eastAsia="Times" w:hAnsi="Times" w:cs="Times"/>
          <w:b/>
          <w:sz w:val="28"/>
          <w:szCs w:val="28"/>
        </w:rPr>
      </w:pPr>
      <w:r w:rsidRPr="00D015EE">
        <w:rPr>
          <w:rFonts w:ascii="Times" w:eastAsia="Times" w:hAnsi="Times" w:cs="Times"/>
          <w:sz w:val="28"/>
          <w:szCs w:val="28"/>
        </w:rPr>
        <w:t>Los menores a que se refiere este artículo, estarán autorizados para conducir, manejar o maniobrar</w:t>
      </w:r>
      <w:r>
        <w:rPr>
          <w:rFonts w:ascii="Times" w:eastAsia="Times" w:hAnsi="Times" w:cs="Times"/>
          <w:sz w:val="28"/>
          <w:szCs w:val="28"/>
        </w:rPr>
        <w:t xml:space="preserve"> </w:t>
      </w:r>
      <w:r w:rsidRPr="00D015EE">
        <w:rPr>
          <w:rFonts w:ascii="Times" w:eastAsia="Times" w:hAnsi="Times" w:cs="Times"/>
          <w:sz w:val="28"/>
          <w:szCs w:val="28"/>
        </w:rPr>
        <w:t>vehículos únicamente en el horario que comprende de las seis a las vei</w:t>
      </w:r>
      <w:r>
        <w:rPr>
          <w:rFonts w:ascii="Times" w:eastAsia="Times" w:hAnsi="Times" w:cs="Times"/>
          <w:sz w:val="28"/>
          <w:szCs w:val="28"/>
        </w:rPr>
        <w:t xml:space="preserve">ntidós horas. En carretera sólo </w:t>
      </w:r>
      <w:r w:rsidRPr="00D015EE">
        <w:rPr>
          <w:rFonts w:ascii="Times" w:eastAsia="Times" w:hAnsi="Times" w:cs="Times"/>
          <w:sz w:val="28"/>
          <w:szCs w:val="28"/>
        </w:rPr>
        <w:t xml:space="preserve">podrán conducir </w:t>
      </w:r>
      <w:r w:rsidR="00794071" w:rsidRPr="00794071">
        <w:rPr>
          <w:rFonts w:ascii="Times" w:eastAsia="Times" w:hAnsi="Times" w:cs="Times"/>
          <w:b/>
          <w:sz w:val="28"/>
          <w:szCs w:val="28"/>
        </w:rPr>
        <w:t>con la licencia de automovilistas</w:t>
      </w:r>
      <w:r w:rsidR="00794071">
        <w:rPr>
          <w:rFonts w:ascii="Times" w:eastAsia="Times" w:hAnsi="Times" w:cs="Times"/>
          <w:sz w:val="28"/>
          <w:szCs w:val="28"/>
        </w:rPr>
        <w:t xml:space="preserve"> </w:t>
      </w:r>
      <w:r w:rsidRPr="00D015EE">
        <w:rPr>
          <w:rFonts w:ascii="Times" w:eastAsia="Times" w:hAnsi="Times" w:cs="Times"/>
          <w:sz w:val="28"/>
          <w:szCs w:val="28"/>
        </w:rPr>
        <w:t>acompañados de una persona mayor de edad</w:t>
      </w:r>
      <w:r w:rsidR="00794071">
        <w:rPr>
          <w:rFonts w:ascii="Times" w:eastAsia="Times" w:hAnsi="Times" w:cs="Times"/>
          <w:sz w:val="28"/>
          <w:szCs w:val="28"/>
        </w:rPr>
        <w:t xml:space="preserve"> </w:t>
      </w:r>
      <w:r w:rsidR="00794071" w:rsidRPr="00794071">
        <w:rPr>
          <w:rFonts w:ascii="Times" w:eastAsia="Times" w:hAnsi="Times" w:cs="Times"/>
          <w:b/>
          <w:sz w:val="28"/>
          <w:szCs w:val="28"/>
        </w:rPr>
        <w:t>en estado de sobriedad.</w:t>
      </w:r>
    </w:p>
    <w:p w14:paraId="7A64B07D" w14:textId="77777777" w:rsidR="00794071" w:rsidRDefault="00794071" w:rsidP="00D015EE">
      <w:pPr>
        <w:spacing w:before="240" w:line="360" w:lineRule="auto"/>
        <w:ind w:firstLine="720"/>
        <w:jc w:val="both"/>
        <w:rPr>
          <w:rFonts w:ascii="Times" w:eastAsia="Times" w:hAnsi="Times" w:cs="Times"/>
          <w:sz w:val="28"/>
          <w:szCs w:val="28"/>
        </w:rPr>
      </w:pPr>
      <w:r w:rsidRPr="00794071">
        <w:rPr>
          <w:rFonts w:ascii="Times" w:eastAsia="Times" w:hAnsi="Times" w:cs="Times"/>
          <w:b/>
          <w:sz w:val="28"/>
          <w:szCs w:val="28"/>
        </w:rPr>
        <w:t xml:space="preserve">ARTÍCULO 59. </w:t>
      </w:r>
      <w:r w:rsidRPr="00794071">
        <w:rPr>
          <w:rFonts w:ascii="Times" w:eastAsia="Times" w:hAnsi="Times" w:cs="Times"/>
          <w:sz w:val="28"/>
          <w:szCs w:val="28"/>
        </w:rPr>
        <w:t xml:space="preserve">Son causas de cancelación de licencias de conducir: </w:t>
      </w:r>
      <w:r w:rsidRPr="00794071">
        <w:rPr>
          <w:rFonts w:ascii="Times" w:eastAsia="Times" w:hAnsi="Times" w:cs="Times"/>
          <w:sz w:val="28"/>
          <w:szCs w:val="28"/>
        </w:rPr>
        <w:cr/>
      </w:r>
    </w:p>
    <w:p w14:paraId="32952A20" w14:textId="77777777" w:rsidR="00794071" w:rsidRDefault="00794071" w:rsidP="00D015EE">
      <w:pPr>
        <w:spacing w:before="240" w:line="360" w:lineRule="auto"/>
        <w:ind w:firstLine="720"/>
        <w:jc w:val="both"/>
        <w:rPr>
          <w:rFonts w:ascii="Times" w:eastAsia="Times" w:hAnsi="Times" w:cs="Times"/>
          <w:sz w:val="28"/>
          <w:szCs w:val="28"/>
        </w:rPr>
      </w:pPr>
      <w:r>
        <w:rPr>
          <w:rFonts w:ascii="Times" w:eastAsia="Times" w:hAnsi="Times" w:cs="Times"/>
          <w:sz w:val="28"/>
          <w:szCs w:val="28"/>
        </w:rPr>
        <w:t>I…</w:t>
      </w:r>
    </w:p>
    <w:p w14:paraId="036CC50C" w14:textId="743249FD" w:rsidR="00082CF6" w:rsidRDefault="00082CF6" w:rsidP="00D015EE">
      <w:pPr>
        <w:spacing w:before="240" w:line="360" w:lineRule="auto"/>
        <w:ind w:firstLine="720"/>
        <w:jc w:val="both"/>
        <w:rPr>
          <w:rFonts w:ascii="Times" w:eastAsia="Times" w:hAnsi="Times" w:cs="Times"/>
          <w:sz w:val="28"/>
          <w:szCs w:val="28"/>
        </w:rPr>
      </w:pPr>
      <w:r>
        <w:rPr>
          <w:rFonts w:ascii="Times" w:eastAsia="Times" w:hAnsi="Times" w:cs="Times"/>
          <w:sz w:val="28"/>
          <w:szCs w:val="28"/>
        </w:rPr>
        <w:t>…</w:t>
      </w:r>
    </w:p>
    <w:p w14:paraId="6B8190A8" w14:textId="49CD799F" w:rsidR="00794071" w:rsidRPr="00082CF6" w:rsidRDefault="00794071" w:rsidP="00D015EE">
      <w:pPr>
        <w:spacing w:before="240" w:line="360" w:lineRule="auto"/>
        <w:ind w:firstLine="720"/>
        <w:jc w:val="both"/>
        <w:rPr>
          <w:rFonts w:ascii="Times" w:eastAsia="Times" w:hAnsi="Times" w:cs="Times"/>
          <w:b/>
          <w:sz w:val="28"/>
          <w:szCs w:val="28"/>
        </w:rPr>
      </w:pPr>
      <w:r w:rsidRPr="00082CF6">
        <w:rPr>
          <w:b/>
        </w:rPr>
        <w:t xml:space="preserve"> </w:t>
      </w:r>
      <w:r w:rsidRPr="00082CF6">
        <w:rPr>
          <w:rFonts w:ascii="Times" w:eastAsia="Times" w:hAnsi="Times" w:cs="Times"/>
          <w:b/>
          <w:sz w:val="28"/>
          <w:szCs w:val="28"/>
        </w:rPr>
        <w:t xml:space="preserve">III. </w:t>
      </w:r>
      <w:r w:rsidR="00082CF6" w:rsidRPr="00082CF6">
        <w:rPr>
          <w:rFonts w:ascii="Times" w:eastAsia="Times" w:hAnsi="Times" w:cs="Times"/>
          <w:b/>
          <w:sz w:val="28"/>
          <w:szCs w:val="28"/>
        </w:rPr>
        <w:t>La conducción deliberadamente riesgosa de una motocicleta transportando en la misma a una persona menor de edad.</w:t>
      </w:r>
    </w:p>
    <w:p w14:paraId="649764F4" w14:textId="77777777" w:rsidR="00794071" w:rsidRDefault="00794071" w:rsidP="00D015EE">
      <w:pPr>
        <w:spacing w:before="240" w:line="360" w:lineRule="auto"/>
        <w:ind w:firstLine="720"/>
        <w:jc w:val="both"/>
        <w:rPr>
          <w:rFonts w:ascii="Times" w:eastAsia="Times" w:hAnsi="Times" w:cs="Times"/>
          <w:sz w:val="28"/>
          <w:szCs w:val="28"/>
        </w:rPr>
      </w:pPr>
    </w:p>
    <w:p w14:paraId="3EFB367C" w14:textId="094A702F" w:rsidR="002F02DE" w:rsidRDefault="00C80C0D" w:rsidP="00C80C0D">
      <w:pPr>
        <w:spacing w:before="240" w:line="360" w:lineRule="auto"/>
        <w:ind w:firstLine="720"/>
        <w:jc w:val="both"/>
        <w:rPr>
          <w:rFonts w:ascii="Times" w:eastAsia="Times" w:hAnsi="Times" w:cs="Times"/>
          <w:sz w:val="28"/>
          <w:szCs w:val="28"/>
        </w:rPr>
      </w:pPr>
      <w:r w:rsidRPr="00C80C0D">
        <w:rPr>
          <w:rFonts w:ascii="Times" w:eastAsia="Times" w:hAnsi="Times" w:cs="Times"/>
          <w:b/>
          <w:bCs/>
          <w:sz w:val="28"/>
          <w:szCs w:val="28"/>
        </w:rPr>
        <w:t>ARTÍCULO 101.</w:t>
      </w:r>
      <w:r w:rsidRPr="00C80C0D">
        <w:rPr>
          <w:rFonts w:ascii="Times" w:eastAsia="Times" w:hAnsi="Times" w:cs="Times"/>
          <w:sz w:val="28"/>
          <w:szCs w:val="28"/>
        </w:rPr>
        <w:t xml:space="preserve"> Los vehículos sólo podrán ser retirados de la circulación por las Autoridades de Tránsito, sin</w:t>
      </w:r>
      <w:r>
        <w:rPr>
          <w:rFonts w:ascii="Times" w:eastAsia="Times" w:hAnsi="Times" w:cs="Times"/>
          <w:sz w:val="28"/>
          <w:szCs w:val="28"/>
        </w:rPr>
        <w:t xml:space="preserve"> </w:t>
      </w:r>
      <w:r w:rsidRPr="00C80C0D">
        <w:rPr>
          <w:rFonts w:ascii="Times" w:eastAsia="Times" w:hAnsi="Times" w:cs="Times"/>
          <w:sz w:val="28"/>
          <w:szCs w:val="28"/>
        </w:rPr>
        <w:t xml:space="preserve">perjuicio de lo establecido por el artículo 82, </w:t>
      </w:r>
      <w:r w:rsidRPr="00C80C0D">
        <w:rPr>
          <w:rFonts w:ascii="Times" w:eastAsia="Times" w:hAnsi="Times" w:cs="Times"/>
          <w:sz w:val="28"/>
          <w:szCs w:val="28"/>
        </w:rPr>
        <w:lastRenderedPageBreak/>
        <w:t xml:space="preserve">cuando: </w:t>
      </w:r>
      <w:r w:rsidRPr="00C80C0D">
        <w:rPr>
          <w:rFonts w:ascii="Times" w:eastAsia="Times" w:hAnsi="Times" w:cs="Times"/>
          <w:sz w:val="28"/>
          <w:szCs w:val="28"/>
        </w:rPr>
        <w:cr/>
      </w:r>
      <w:r w:rsidR="002F02DE" w:rsidRPr="002F02DE">
        <w:rPr>
          <w:rFonts w:ascii="Times" w:eastAsia="Times" w:hAnsi="Times" w:cs="Times"/>
          <w:sz w:val="28"/>
          <w:szCs w:val="28"/>
        </w:rPr>
        <w:t xml:space="preserve">I. a </w:t>
      </w:r>
      <w:r>
        <w:rPr>
          <w:rFonts w:ascii="Times" w:eastAsia="Times" w:hAnsi="Times" w:cs="Times"/>
          <w:sz w:val="28"/>
          <w:szCs w:val="28"/>
        </w:rPr>
        <w:t>VII</w:t>
      </w:r>
      <w:r w:rsidR="002F02DE" w:rsidRPr="002F02DE">
        <w:rPr>
          <w:rFonts w:ascii="Times" w:eastAsia="Times" w:hAnsi="Times" w:cs="Times"/>
          <w:sz w:val="28"/>
          <w:szCs w:val="28"/>
        </w:rPr>
        <w:t>.... </w:t>
      </w:r>
    </w:p>
    <w:p w14:paraId="3B6D6672" w14:textId="7EDD0A31" w:rsidR="002F02DE" w:rsidRDefault="00C80C0D" w:rsidP="00B437A2">
      <w:pPr>
        <w:spacing w:before="240" w:line="360" w:lineRule="auto"/>
        <w:ind w:left="720"/>
        <w:jc w:val="both"/>
        <w:rPr>
          <w:rFonts w:ascii="Times" w:eastAsia="Times" w:hAnsi="Times" w:cs="Times"/>
          <w:sz w:val="28"/>
          <w:szCs w:val="28"/>
        </w:rPr>
      </w:pPr>
      <w:r>
        <w:rPr>
          <w:rFonts w:ascii="Times" w:eastAsia="Times" w:hAnsi="Times" w:cs="Times"/>
          <w:b/>
          <w:bCs/>
          <w:sz w:val="28"/>
          <w:szCs w:val="28"/>
        </w:rPr>
        <w:t>VIII</w:t>
      </w:r>
      <w:r w:rsidR="002F02DE" w:rsidRPr="002F02DE">
        <w:rPr>
          <w:rFonts w:ascii="Times" w:eastAsia="Times" w:hAnsi="Times" w:cs="Times"/>
          <w:b/>
          <w:bCs/>
          <w:sz w:val="28"/>
          <w:szCs w:val="28"/>
        </w:rPr>
        <w:t xml:space="preserve">. </w:t>
      </w:r>
      <w:r>
        <w:rPr>
          <w:rFonts w:ascii="Times" w:eastAsia="Times" w:hAnsi="Times" w:cs="Times"/>
          <w:b/>
          <w:bCs/>
          <w:sz w:val="28"/>
          <w:szCs w:val="28"/>
        </w:rPr>
        <w:t>En el caso de la conducción de vehículos todo terreno, motocicletas o vehículos sin clasificar, cuando el vehículo tenga algún riesgo estructural o por la reincidencia de</w:t>
      </w:r>
      <w:r w:rsidR="002F02DE" w:rsidRPr="002F02DE">
        <w:rPr>
          <w:rFonts w:ascii="Times" w:eastAsia="Times" w:hAnsi="Times" w:cs="Times"/>
          <w:b/>
          <w:bCs/>
          <w:sz w:val="28"/>
          <w:szCs w:val="28"/>
        </w:rPr>
        <w:t xml:space="preserve"> circular </w:t>
      </w:r>
      <w:r>
        <w:rPr>
          <w:rFonts w:ascii="Times" w:eastAsia="Times" w:hAnsi="Times" w:cs="Times"/>
          <w:b/>
          <w:bCs/>
          <w:sz w:val="28"/>
          <w:szCs w:val="28"/>
        </w:rPr>
        <w:t xml:space="preserve">dicho automotor </w:t>
      </w:r>
      <w:r w:rsidR="002F02DE" w:rsidRPr="002F02DE">
        <w:rPr>
          <w:rFonts w:ascii="Times" w:eastAsia="Times" w:hAnsi="Times" w:cs="Times"/>
          <w:b/>
          <w:bCs/>
          <w:sz w:val="28"/>
          <w:szCs w:val="28"/>
        </w:rPr>
        <w:t>sin portar las placas de circulación vigentes o el permiso provisional correspondiente.</w:t>
      </w:r>
    </w:p>
    <w:p w14:paraId="46AD1641" w14:textId="0E32E90F" w:rsidR="00781661" w:rsidRPr="00B437A2" w:rsidRDefault="003F7238" w:rsidP="00B437A2">
      <w:pPr>
        <w:spacing w:before="240" w:after="240" w:line="360" w:lineRule="auto"/>
        <w:jc w:val="center"/>
        <w:rPr>
          <w:rFonts w:ascii="Times" w:eastAsia="Times" w:hAnsi="Times" w:cs="Times"/>
          <w:b/>
          <w:sz w:val="32"/>
          <w:szCs w:val="28"/>
        </w:rPr>
      </w:pPr>
      <w:r w:rsidRPr="00781661">
        <w:rPr>
          <w:rFonts w:ascii="Times" w:eastAsia="Times" w:hAnsi="Times" w:cs="Times"/>
          <w:b/>
          <w:sz w:val="32"/>
          <w:szCs w:val="28"/>
        </w:rPr>
        <w:t>T R A N S I T O R I O S</w:t>
      </w:r>
    </w:p>
    <w:p w14:paraId="682CA343" w14:textId="77777777" w:rsidR="00D70C59" w:rsidRDefault="003F7238">
      <w:pPr>
        <w:spacing w:before="240" w:after="240" w:line="360" w:lineRule="auto"/>
        <w:jc w:val="both"/>
        <w:rPr>
          <w:rFonts w:ascii="Times" w:eastAsia="Times" w:hAnsi="Times" w:cs="Times"/>
          <w:sz w:val="28"/>
          <w:szCs w:val="28"/>
        </w:rPr>
      </w:pPr>
      <w:r>
        <w:rPr>
          <w:rFonts w:ascii="Times" w:eastAsia="Times" w:hAnsi="Times" w:cs="Times"/>
          <w:b/>
          <w:sz w:val="28"/>
          <w:szCs w:val="28"/>
        </w:rPr>
        <w:t xml:space="preserve">ÚNICO. – </w:t>
      </w:r>
      <w:r>
        <w:rPr>
          <w:rFonts w:ascii="Times" w:eastAsia="Times" w:hAnsi="Times" w:cs="Times"/>
          <w:sz w:val="28"/>
          <w:szCs w:val="28"/>
        </w:rPr>
        <w:t>El presente Decreto entrará en vigor al día siguiente de su publicación en el Periódico Oficial del Estado.</w:t>
      </w:r>
    </w:p>
    <w:p w14:paraId="66A91023" w14:textId="15205045" w:rsidR="00B437A2" w:rsidRPr="00B437A2" w:rsidRDefault="00B437A2" w:rsidP="00B437A2">
      <w:pPr>
        <w:spacing w:line="360" w:lineRule="auto"/>
        <w:ind w:firstLine="700"/>
        <w:jc w:val="center"/>
        <w:rPr>
          <w:rFonts w:ascii="Times" w:eastAsia="Times" w:hAnsi="Times" w:cs="Times"/>
          <w:sz w:val="24"/>
          <w:szCs w:val="28"/>
        </w:rPr>
      </w:pPr>
      <w:r w:rsidRPr="00B437A2">
        <w:rPr>
          <w:rFonts w:ascii="Times" w:eastAsia="Times" w:hAnsi="Times" w:cs="Times"/>
          <w:b/>
          <w:bCs/>
          <w:i/>
          <w:iCs/>
          <w:sz w:val="24"/>
          <w:szCs w:val="28"/>
        </w:rPr>
        <w:t>D a d o</w:t>
      </w:r>
      <w:r w:rsidRPr="00B437A2">
        <w:rPr>
          <w:rFonts w:ascii="Times" w:eastAsia="Times" w:hAnsi="Times" w:cs="Times"/>
          <w:sz w:val="24"/>
          <w:szCs w:val="28"/>
        </w:rPr>
        <w:t xml:space="preserve"> en Oficialía de Partes del Poder Legislativo, al día vigésimo tercero del mes de octubre del año dos mil veinticinco.</w:t>
      </w:r>
    </w:p>
    <w:p w14:paraId="119D5C41" w14:textId="77777777" w:rsidR="00D70C59" w:rsidRDefault="00D70C59">
      <w:pPr>
        <w:spacing w:before="240" w:after="240" w:line="360" w:lineRule="auto"/>
        <w:rPr>
          <w:rFonts w:ascii="Times" w:eastAsia="Times" w:hAnsi="Times" w:cs="Times"/>
          <w:sz w:val="28"/>
          <w:szCs w:val="28"/>
        </w:rPr>
      </w:pPr>
    </w:p>
    <w:p w14:paraId="6E7ED59E" w14:textId="14EEDC6A" w:rsidR="00D70C59" w:rsidRPr="00781661" w:rsidRDefault="003F7238" w:rsidP="00781661">
      <w:pPr>
        <w:spacing w:before="240" w:after="240" w:line="360" w:lineRule="auto"/>
        <w:jc w:val="center"/>
        <w:rPr>
          <w:rFonts w:ascii="Times" w:eastAsia="Times" w:hAnsi="Times" w:cs="Times"/>
          <w:b/>
          <w:sz w:val="32"/>
          <w:szCs w:val="28"/>
        </w:rPr>
      </w:pPr>
      <w:r w:rsidRPr="00781661">
        <w:rPr>
          <w:rFonts w:ascii="Times" w:eastAsia="Times" w:hAnsi="Times" w:cs="Times"/>
          <w:b/>
          <w:sz w:val="32"/>
          <w:szCs w:val="28"/>
        </w:rPr>
        <w:t xml:space="preserve">A T E N T A M E N T E </w:t>
      </w:r>
    </w:p>
    <w:p w14:paraId="2A8A7E63" w14:textId="77777777" w:rsidR="00781661" w:rsidRDefault="00781661" w:rsidP="00781661">
      <w:pPr>
        <w:spacing w:before="240" w:after="240" w:line="360" w:lineRule="auto"/>
        <w:rPr>
          <w:rFonts w:ascii="Times" w:eastAsia="Times" w:hAnsi="Times" w:cs="Times"/>
          <w:b/>
          <w:sz w:val="28"/>
          <w:szCs w:val="28"/>
        </w:rPr>
      </w:pPr>
    </w:p>
    <w:p w14:paraId="12D5FD25" w14:textId="77777777" w:rsidR="00D70C59" w:rsidRPr="00B437A2" w:rsidRDefault="003F7238" w:rsidP="00B437A2">
      <w:pPr>
        <w:spacing w:before="240" w:after="240" w:line="240" w:lineRule="auto"/>
        <w:jc w:val="center"/>
        <w:rPr>
          <w:rFonts w:ascii="Times" w:eastAsia="Times" w:hAnsi="Times" w:cs="Times"/>
          <w:b/>
          <w:sz w:val="28"/>
          <w:szCs w:val="28"/>
        </w:rPr>
      </w:pPr>
      <w:r w:rsidRPr="00B437A2">
        <w:rPr>
          <w:rFonts w:ascii="Times" w:eastAsia="Times" w:hAnsi="Times" w:cs="Times"/>
          <w:b/>
          <w:sz w:val="28"/>
          <w:szCs w:val="28"/>
        </w:rPr>
        <w:t>DIP. ROSANA DIAZ REYES</w:t>
      </w:r>
    </w:p>
    <w:p w14:paraId="260BA164" w14:textId="77777777" w:rsidR="00781661" w:rsidRPr="00781661" w:rsidRDefault="00781661" w:rsidP="00B437A2">
      <w:pPr>
        <w:spacing w:line="240" w:lineRule="auto"/>
        <w:jc w:val="center"/>
        <w:rPr>
          <w:rFonts w:ascii="Times" w:eastAsia="Times" w:hAnsi="Times" w:cs="Times"/>
          <w:b/>
          <w:sz w:val="29"/>
          <w:szCs w:val="29"/>
        </w:rPr>
      </w:pPr>
      <w:r w:rsidRPr="00781661">
        <w:rPr>
          <w:rFonts w:ascii="Times" w:eastAsia="Times" w:hAnsi="Times" w:cs="Times"/>
          <w:sz w:val="29"/>
          <w:szCs w:val="29"/>
        </w:rPr>
        <w:t>GRUPO PARLAMENTARIO DE</w:t>
      </w:r>
      <w:r w:rsidRPr="00781661">
        <w:rPr>
          <w:rFonts w:ascii="Times" w:eastAsia="Times" w:hAnsi="Times" w:cs="Times"/>
          <w:b/>
          <w:sz w:val="29"/>
          <w:szCs w:val="29"/>
        </w:rPr>
        <w:t xml:space="preserve"> </w:t>
      </w:r>
    </w:p>
    <w:p w14:paraId="569C3F7D" w14:textId="273B41DC" w:rsidR="00781661" w:rsidRPr="00B437A2" w:rsidRDefault="00781661" w:rsidP="00B437A2">
      <w:pPr>
        <w:spacing w:line="240" w:lineRule="auto"/>
        <w:jc w:val="center"/>
        <w:rPr>
          <w:rFonts w:ascii="Times" w:eastAsia="Times" w:hAnsi="Times" w:cs="Times"/>
          <w:b/>
          <w:sz w:val="32"/>
          <w:szCs w:val="28"/>
          <w:u w:val="single"/>
        </w:rPr>
      </w:pPr>
      <w:r w:rsidRPr="00B437A2">
        <w:rPr>
          <w:rFonts w:ascii="Times" w:eastAsia="Times" w:hAnsi="Times" w:cs="Times"/>
          <w:b/>
          <w:sz w:val="34"/>
          <w:szCs w:val="30"/>
          <w:u w:val="single"/>
        </w:rPr>
        <w:t>MORENA</w:t>
      </w:r>
    </w:p>
    <w:sectPr w:rsidR="00781661" w:rsidRPr="00B437A2">
      <w:headerReference w:type="default" r:id="rId7"/>
      <w:footerReference w:type="default" r:id="rId8"/>
      <w:pgSz w:w="11909" w:h="16834"/>
      <w:pgMar w:top="2976" w:right="1440" w:bottom="181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F855" w14:textId="77777777" w:rsidR="00E369AB" w:rsidRDefault="00E369AB">
      <w:pPr>
        <w:spacing w:line="240" w:lineRule="auto"/>
      </w:pPr>
      <w:r>
        <w:separator/>
      </w:r>
    </w:p>
  </w:endnote>
  <w:endnote w:type="continuationSeparator" w:id="0">
    <w:p w14:paraId="19C732D5" w14:textId="77777777" w:rsidR="00E369AB" w:rsidRDefault="00E36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15652"/>
      <w:docPartObj>
        <w:docPartGallery w:val="Page Numbers (Bottom of Page)"/>
        <w:docPartUnique/>
      </w:docPartObj>
    </w:sdtPr>
    <w:sdtEndPr/>
    <w:sdtContent>
      <w:p w14:paraId="0CD70B9E" w14:textId="6C50D263" w:rsidR="00977EB0" w:rsidRDefault="00977EB0">
        <w:pPr>
          <w:pStyle w:val="Piedepgina"/>
          <w:jc w:val="right"/>
        </w:pPr>
        <w:r>
          <w:fldChar w:fldCharType="begin"/>
        </w:r>
        <w:r>
          <w:instrText>PAGE   \* MERGEFORMAT</w:instrText>
        </w:r>
        <w:r>
          <w:fldChar w:fldCharType="separate"/>
        </w:r>
        <w:r w:rsidRPr="00977EB0">
          <w:rPr>
            <w:noProof/>
            <w:lang w:val="es-ES"/>
          </w:rPr>
          <w:t>5</w:t>
        </w:r>
        <w:r>
          <w:fldChar w:fldCharType="end"/>
        </w:r>
      </w:p>
    </w:sdtContent>
  </w:sdt>
  <w:p w14:paraId="392D9C78" w14:textId="093A82EC" w:rsidR="00D70C59" w:rsidRDefault="00D70C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A793" w14:textId="77777777" w:rsidR="00E369AB" w:rsidRDefault="00E369AB">
      <w:pPr>
        <w:spacing w:line="240" w:lineRule="auto"/>
      </w:pPr>
      <w:r>
        <w:separator/>
      </w:r>
    </w:p>
  </w:footnote>
  <w:footnote w:type="continuationSeparator" w:id="0">
    <w:p w14:paraId="269C6A0F" w14:textId="77777777" w:rsidR="00E369AB" w:rsidRDefault="00E36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8078" w14:textId="51D096D0" w:rsidR="00D70C59" w:rsidRDefault="00781661">
    <w:r>
      <w:rPr>
        <w:noProof/>
        <w:lang w:val="es-MX"/>
      </w:rPr>
      <w:drawing>
        <wp:anchor distT="114300" distB="114300" distL="114300" distR="114300" simplePos="0" relativeHeight="251658240" behindDoc="1" locked="0" layoutInCell="1" hidden="0" allowOverlap="1" wp14:anchorId="23957885" wp14:editId="65AAD4A5">
          <wp:simplePos x="0" y="0"/>
          <wp:positionH relativeFrom="page">
            <wp:posOffset>28575</wp:posOffset>
          </wp:positionH>
          <wp:positionV relativeFrom="page">
            <wp:posOffset>19203</wp:posOffset>
          </wp:positionV>
          <wp:extent cx="7515225" cy="10701338"/>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5225" cy="10701338"/>
                  </a:xfrm>
                  <a:prstGeom prst="rect">
                    <a:avLst/>
                  </a:prstGeom>
                  <a:ln/>
                </pic:spPr>
              </pic:pic>
            </a:graphicData>
          </a:graphic>
        </wp:anchor>
      </w:drawing>
    </w:r>
  </w:p>
  <w:p w14:paraId="65ACA9E9" w14:textId="7506F5C3" w:rsidR="00781661" w:rsidRPr="00781661" w:rsidRDefault="00781661" w:rsidP="00781661">
    <w:pPr>
      <w:spacing w:line="360" w:lineRule="auto"/>
      <w:jc w:val="right"/>
      <w:rPr>
        <w:rFonts w:ascii="Times New Roman" w:hAnsi="Times New Roman" w:cs="Times New Roman"/>
        <w:b/>
        <w:i/>
        <w:sz w:val="24"/>
      </w:rPr>
    </w:pPr>
    <w:proofErr w:type="spellStart"/>
    <w:r w:rsidRPr="00781661">
      <w:rPr>
        <w:rFonts w:ascii="Times New Roman" w:hAnsi="Times New Roman" w:cs="Times New Roman"/>
        <w:b/>
        <w:i/>
        <w:sz w:val="24"/>
      </w:rPr>
      <w:t>Dip</w:t>
    </w:r>
    <w:proofErr w:type="spellEnd"/>
    <w:r w:rsidRPr="00781661">
      <w:rPr>
        <w:rFonts w:ascii="Times New Roman" w:hAnsi="Times New Roman" w:cs="Times New Roman"/>
        <w:b/>
        <w:i/>
        <w:sz w:val="24"/>
      </w:rPr>
      <w:t>. Rosana Díaz Reyes</w:t>
    </w:r>
    <w:r>
      <w:t xml:space="preserve">                                                                                                                    </w:t>
    </w:r>
  </w:p>
  <w:p w14:paraId="3F7FD47B" w14:textId="75B4D80E" w:rsidR="00D70C59" w:rsidRPr="00781661" w:rsidRDefault="00781661" w:rsidP="00781661">
    <w:pPr>
      <w:tabs>
        <w:tab w:val="left" w:pos="7258"/>
      </w:tabs>
      <w:spacing w:line="360" w:lineRule="auto"/>
      <w:jc w:val="right"/>
      <w:rPr>
        <w:rFonts w:ascii="Times New Roman" w:hAnsi="Times New Roman" w:cs="Times New Roman"/>
        <w:b/>
        <w:sz w:val="24"/>
      </w:rPr>
    </w:pPr>
    <w:r w:rsidRPr="00781661">
      <w:rPr>
        <w:rFonts w:ascii="Times New Roman" w:hAnsi="Times New Roman" w:cs="Times New Roman"/>
        <w:b/>
        <w:sz w:val="24"/>
      </w:rPr>
      <w:t>Grupo Parlamentario de Morena</w:t>
    </w:r>
  </w:p>
  <w:p w14:paraId="26073B97" w14:textId="77777777" w:rsidR="00D70C59" w:rsidRDefault="00D70C59"/>
  <w:p w14:paraId="7E85DF93" w14:textId="77777777" w:rsidR="00D70C59" w:rsidRDefault="00D70C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59"/>
    <w:rsid w:val="00082CF6"/>
    <w:rsid w:val="002F02DE"/>
    <w:rsid w:val="003F7238"/>
    <w:rsid w:val="00565C27"/>
    <w:rsid w:val="00587857"/>
    <w:rsid w:val="00781661"/>
    <w:rsid w:val="00794071"/>
    <w:rsid w:val="008871FB"/>
    <w:rsid w:val="008D65EE"/>
    <w:rsid w:val="00977EB0"/>
    <w:rsid w:val="00AF7AE0"/>
    <w:rsid w:val="00B10F3A"/>
    <w:rsid w:val="00B437A2"/>
    <w:rsid w:val="00BE31C5"/>
    <w:rsid w:val="00C80C0D"/>
    <w:rsid w:val="00D015EE"/>
    <w:rsid w:val="00D70C59"/>
    <w:rsid w:val="00E36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951C"/>
  <w15:docId w15:val="{AE4C7B19-F2B4-474D-95D6-14BAF67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Encabezado">
    <w:name w:val="header"/>
    <w:basedOn w:val="Normal"/>
    <w:link w:val="EncabezadoCar"/>
    <w:uiPriority w:val="99"/>
    <w:unhideWhenUsed/>
    <w:rsid w:val="0078166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81661"/>
  </w:style>
  <w:style w:type="paragraph" w:styleId="Piedepgina">
    <w:name w:val="footer"/>
    <w:basedOn w:val="Normal"/>
    <w:link w:val="PiedepginaCar"/>
    <w:uiPriority w:val="99"/>
    <w:unhideWhenUsed/>
    <w:rsid w:val="0078166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8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021C-1BF3-4F8C-875F-C9B47BC5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Yahir de Villalobos</dc:creator>
  <cp:lastModifiedBy>Andrea Daniela Flores Chacon</cp:lastModifiedBy>
  <cp:revision>2</cp:revision>
  <dcterms:created xsi:type="dcterms:W3CDTF">2025-10-30T22:24:00Z</dcterms:created>
  <dcterms:modified xsi:type="dcterms:W3CDTF">2025-10-30T22:24:00Z</dcterms:modified>
</cp:coreProperties>
</file>