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118BE" w:rsidRDefault="001E42BE" w:rsidP="008F0FD6">
      <w:pPr>
        <w:spacing w:after="0"/>
        <w:jc w:val="both"/>
        <w:rPr>
          <w:rFonts w:ascii="Century Gothic" w:hAnsi="Century Gothic" w:cs="Arial"/>
          <w:sz w:val="26"/>
          <w:szCs w:val="26"/>
          <w:lang w:val="es-MX"/>
        </w:rPr>
      </w:pPr>
    </w:p>
    <w:p w14:paraId="7F89C0F1" w14:textId="77777777" w:rsidR="001E42BE" w:rsidRPr="008118BE" w:rsidRDefault="001E42BE" w:rsidP="008F0FD6">
      <w:pPr>
        <w:spacing w:after="0" w:line="240" w:lineRule="auto"/>
        <w:jc w:val="both"/>
        <w:rPr>
          <w:rFonts w:ascii="Century Gothic" w:hAnsi="Century Gothic" w:cs="Arial"/>
          <w:sz w:val="26"/>
          <w:szCs w:val="26"/>
          <w:lang w:val="es-MX"/>
        </w:rPr>
      </w:pPr>
    </w:p>
    <w:p w14:paraId="62BBD19D" w14:textId="77777777" w:rsidR="001E42BE" w:rsidRPr="008118BE" w:rsidRDefault="001E42BE" w:rsidP="008F0FD6">
      <w:pPr>
        <w:spacing w:after="0" w:line="240" w:lineRule="auto"/>
        <w:jc w:val="both"/>
        <w:rPr>
          <w:rFonts w:ascii="Century Gothic" w:hAnsi="Century Gothic" w:cs="Arial"/>
          <w:sz w:val="26"/>
          <w:szCs w:val="26"/>
          <w:lang w:val="es-MX"/>
        </w:rPr>
      </w:pPr>
    </w:p>
    <w:p w14:paraId="3AA78EB9" w14:textId="77777777" w:rsidR="005E7853" w:rsidRPr="008118BE" w:rsidRDefault="005E7853" w:rsidP="005E7853">
      <w:pPr>
        <w:rPr>
          <w:rFonts w:ascii="Century Gothic" w:hAnsi="Century Gothic"/>
          <w:b/>
          <w:sz w:val="26"/>
          <w:szCs w:val="26"/>
        </w:rPr>
      </w:pPr>
      <w:r w:rsidRPr="008118BE">
        <w:rPr>
          <w:rFonts w:ascii="Century Gothic" w:hAnsi="Century Gothic"/>
          <w:b/>
          <w:sz w:val="26"/>
          <w:szCs w:val="26"/>
        </w:rPr>
        <w:t>H. CONGRESO DEL ESTADO DE CHIHUAHUA.</w:t>
      </w:r>
    </w:p>
    <w:p w14:paraId="491B1F74" w14:textId="77777777" w:rsidR="005E7853" w:rsidRPr="008118BE" w:rsidRDefault="005E7853" w:rsidP="005E7853">
      <w:pPr>
        <w:rPr>
          <w:rFonts w:ascii="Century Gothic" w:hAnsi="Century Gothic"/>
          <w:b/>
          <w:sz w:val="26"/>
          <w:szCs w:val="26"/>
        </w:rPr>
      </w:pPr>
      <w:r w:rsidRPr="008118BE">
        <w:rPr>
          <w:rFonts w:ascii="Century Gothic" w:hAnsi="Century Gothic"/>
          <w:b/>
          <w:sz w:val="26"/>
          <w:szCs w:val="26"/>
        </w:rPr>
        <w:t>PRESENTE. –</w:t>
      </w:r>
    </w:p>
    <w:p w14:paraId="3A824EE2" w14:textId="018E158C" w:rsidR="005E7853" w:rsidRPr="008118BE" w:rsidRDefault="005E7853" w:rsidP="005E7853">
      <w:pPr>
        <w:jc w:val="both"/>
        <w:rPr>
          <w:rFonts w:ascii="Century Gothic" w:hAnsi="Century Gothic"/>
          <w:sz w:val="26"/>
          <w:szCs w:val="26"/>
        </w:rPr>
      </w:pPr>
      <w:r w:rsidRPr="008118BE">
        <w:rPr>
          <w:rFonts w:ascii="Century Gothic" w:hAnsi="Century Gothic"/>
          <w:sz w:val="26"/>
          <w:szCs w:val="26"/>
        </w:rPr>
        <w:t xml:space="preserve">Quien suscribe, </w:t>
      </w:r>
      <w:r w:rsidRPr="008118BE">
        <w:rPr>
          <w:rFonts w:ascii="Century Gothic" w:hAnsi="Century Gothic"/>
          <w:b/>
          <w:sz w:val="26"/>
          <w:szCs w:val="26"/>
        </w:rPr>
        <w:t>Herminia Gómez Carrasco</w:t>
      </w:r>
      <w:r w:rsidRPr="008118BE">
        <w:rPr>
          <w:rFonts w:ascii="Century Gothic" w:hAnsi="Century Gothic"/>
          <w:sz w:val="26"/>
          <w:szCs w:val="26"/>
        </w:rPr>
        <w:t xml:space="preserve">, Diputada integrante del Grupo Parlamentario de </w:t>
      </w:r>
      <w:r w:rsidRPr="008118BE">
        <w:rPr>
          <w:rFonts w:ascii="Century Gothic" w:hAnsi="Century Gothic"/>
          <w:b/>
          <w:sz w:val="26"/>
          <w:szCs w:val="26"/>
        </w:rPr>
        <w:t>MORENA</w:t>
      </w:r>
      <w:r w:rsidRPr="008118BE">
        <w:rPr>
          <w:rFonts w:ascii="Century Gothic" w:hAnsi="Century Gothic"/>
          <w:sz w:val="26"/>
          <w:szCs w:val="26"/>
        </w:rPr>
        <w:t xml:space="preserve">, con fundamento en lo dispuesto por el </w:t>
      </w:r>
      <w:r w:rsidRPr="008118BE">
        <w:rPr>
          <w:rFonts w:ascii="Century Gothic" w:hAnsi="Century Gothic"/>
          <w:b/>
          <w:sz w:val="26"/>
          <w:szCs w:val="26"/>
        </w:rPr>
        <w:t>artículo 66</w:t>
      </w:r>
      <w:r w:rsidRPr="008118BE">
        <w:rPr>
          <w:rFonts w:ascii="Century Gothic" w:hAnsi="Century Gothic"/>
          <w:sz w:val="26"/>
          <w:szCs w:val="26"/>
        </w:rPr>
        <w:t xml:space="preserve"> de la Constitución Política del Estado Libre y Soberano de Chihuahua me permito formular las siguientes </w:t>
      </w:r>
      <w:r w:rsidRPr="008118BE">
        <w:rPr>
          <w:rFonts w:ascii="Century Gothic" w:hAnsi="Century Gothic"/>
          <w:b/>
          <w:sz w:val="26"/>
          <w:szCs w:val="26"/>
        </w:rPr>
        <w:t xml:space="preserve">preguntas a autoridades: AL SECRETARIO DE </w:t>
      </w:r>
      <w:r w:rsidR="00C42AF6" w:rsidRPr="008118BE">
        <w:rPr>
          <w:rFonts w:ascii="Century Gothic" w:hAnsi="Century Gothic"/>
          <w:b/>
          <w:sz w:val="26"/>
          <w:szCs w:val="26"/>
        </w:rPr>
        <w:t xml:space="preserve">DESARROLLO HUMANO Y BIEN COMÚN DEL </w:t>
      </w:r>
      <w:r w:rsidRPr="008118BE">
        <w:rPr>
          <w:rFonts w:ascii="Century Gothic" w:hAnsi="Century Gothic"/>
          <w:b/>
          <w:sz w:val="26"/>
          <w:szCs w:val="26"/>
        </w:rPr>
        <w:t>ESTADO DE CHIHUAHUA</w:t>
      </w:r>
      <w:r w:rsidRPr="008118BE">
        <w:rPr>
          <w:rFonts w:ascii="Century Gothic" w:hAnsi="Century Gothic"/>
          <w:sz w:val="26"/>
          <w:szCs w:val="26"/>
        </w:rPr>
        <w:t>, cumpliendo con los requerimientos del artículo anteriormente citado, al tenor de la siguiente:</w:t>
      </w:r>
    </w:p>
    <w:p w14:paraId="3BA68CD2" w14:textId="77777777" w:rsidR="001A79C0" w:rsidRPr="008118BE" w:rsidRDefault="001A79C0" w:rsidP="005E7853">
      <w:pPr>
        <w:jc w:val="both"/>
        <w:rPr>
          <w:rFonts w:ascii="Century Gothic" w:hAnsi="Century Gothic"/>
          <w:sz w:val="26"/>
          <w:szCs w:val="26"/>
        </w:rPr>
      </w:pPr>
    </w:p>
    <w:p w14:paraId="3418F644" w14:textId="77777777" w:rsidR="005E7853" w:rsidRPr="008118BE" w:rsidRDefault="005E7853" w:rsidP="005E7853">
      <w:pPr>
        <w:spacing w:line="240" w:lineRule="auto"/>
        <w:jc w:val="center"/>
        <w:rPr>
          <w:rFonts w:ascii="Century Gothic" w:hAnsi="Century Gothic"/>
          <w:b/>
          <w:sz w:val="26"/>
          <w:szCs w:val="26"/>
        </w:rPr>
      </w:pPr>
      <w:r w:rsidRPr="008118BE">
        <w:rPr>
          <w:rFonts w:ascii="Century Gothic" w:hAnsi="Century Gothic"/>
          <w:b/>
          <w:sz w:val="26"/>
          <w:szCs w:val="26"/>
        </w:rPr>
        <w:t>EXPOSICIÓN DE MOTIVOS</w:t>
      </w:r>
    </w:p>
    <w:p w14:paraId="7B0F9EB9" w14:textId="77777777" w:rsidR="00254CBE" w:rsidRPr="008118BE" w:rsidRDefault="00254CBE" w:rsidP="00254CBE">
      <w:pPr>
        <w:spacing w:line="240" w:lineRule="auto"/>
        <w:jc w:val="both"/>
        <w:rPr>
          <w:rFonts w:ascii="Century Gothic" w:hAnsi="Century Gothic"/>
          <w:sz w:val="26"/>
          <w:szCs w:val="26"/>
        </w:rPr>
      </w:pPr>
      <w:r w:rsidRPr="008118BE">
        <w:rPr>
          <w:rFonts w:ascii="Century Gothic" w:hAnsi="Century Gothic"/>
          <w:sz w:val="26"/>
          <w:szCs w:val="26"/>
        </w:rPr>
        <w:t>En Chihuahua, garantizar una vejez digna, activa y protegida requiere no sólo del reconocimiento legal de los derechos de las personas mayores, sino de la existencia de mecanismos institucionales eficaces que aseguren su cumplimiento.</w:t>
      </w:r>
    </w:p>
    <w:p w14:paraId="21490C88" w14:textId="76AD1EBA" w:rsidR="00254CBE" w:rsidRPr="008118BE" w:rsidRDefault="00254CBE" w:rsidP="00254CBE">
      <w:pPr>
        <w:spacing w:line="240" w:lineRule="auto"/>
        <w:jc w:val="both"/>
        <w:rPr>
          <w:rFonts w:ascii="Century Gothic" w:hAnsi="Century Gothic"/>
          <w:sz w:val="26"/>
          <w:szCs w:val="26"/>
        </w:rPr>
      </w:pPr>
      <w:r w:rsidRPr="008118BE">
        <w:rPr>
          <w:rFonts w:ascii="Century Gothic" w:hAnsi="Century Gothic"/>
          <w:sz w:val="26"/>
          <w:szCs w:val="26"/>
        </w:rPr>
        <w:t>La Ley de los derechos de las Personas Mayores en el Estado de Chihuahua establece la creación del Consejo de Protección de los Derechos de las Personas Mayores, como un órgano de carácter consultivo, de coordinación, vigilancia y promoción, encargado de formular propuestas, políticas públicas y acciones tendientes a garantizar el pl</w:t>
      </w:r>
      <w:r w:rsidR="00E4342A">
        <w:rPr>
          <w:rFonts w:ascii="Century Gothic" w:hAnsi="Century Gothic"/>
          <w:sz w:val="26"/>
          <w:szCs w:val="26"/>
        </w:rPr>
        <w:t>e</w:t>
      </w:r>
      <w:r w:rsidRPr="008118BE">
        <w:rPr>
          <w:rFonts w:ascii="Century Gothic" w:hAnsi="Century Gothic"/>
          <w:sz w:val="26"/>
          <w:szCs w:val="26"/>
        </w:rPr>
        <w:t>no ejercicio de los derechos de este grupo poblacional; dicho Consejo debe depender directamente del titular del Poder Ejecutivo del Estado, quien lo preside, y opera a través de la Secretaría de Desarrollo Humano y Bien Común; en el Reglamento de la Ley se establece la obligación de que el Consejo deberá sesionar por lo menos una vez cada tres meses, asegurando así la continuidad, seguimiento y evaluación de los acuerdos y estrategias en favor de las personas mayores.</w:t>
      </w:r>
    </w:p>
    <w:p w14:paraId="6B4FEF9E" w14:textId="77777777" w:rsidR="008118BE" w:rsidRDefault="00254CBE" w:rsidP="00254CBE">
      <w:pPr>
        <w:spacing w:line="240" w:lineRule="auto"/>
        <w:jc w:val="both"/>
        <w:rPr>
          <w:rFonts w:ascii="Century Gothic" w:hAnsi="Century Gothic"/>
          <w:sz w:val="26"/>
          <w:szCs w:val="26"/>
        </w:rPr>
      </w:pPr>
      <w:r w:rsidRPr="008118BE">
        <w:rPr>
          <w:rFonts w:ascii="Century Gothic" w:hAnsi="Century Gothic"/>
          <w:sz w:val="26"/>
          <w:szCs w:val="26"/>
        </w:rPr>
        <w:t xml:space="preserve">Sin embargo, no existe información pública que confirme que el Consejo haya sido formalmente instalado ni que haya sesionado en los últimos años, pese a que en 2022 se emitió una convocatoria dirigida a personas mayores y organizaciones interesadas en participar. Más allá de esa </w:t>
      </w:r>
    </w:p>
    <w:p w14:paraId="7C410962" w14:textId="77777777" w:rsidR="008118BE" w:rsidRDefault="008118BE" w:rsidP="00254CBE">
      <w:pPr>
        <w:spacing w:line="240" w:lineRule="auto"/>
        <w:jc w:val="both"/>
        <w:rPr>
          <w:rFonts w:ascii="Century Gothic" w:hAnsi="Century Gothic"/>
          <w:sz w:val="26"/>
          <w:szCs w:val="26"/>
        </w:rPr>
      </w:pPr>
    </w:p>
    <w:p w14:paraId="5FB1E364" w14:textId="6611EDE9" w:rsidR="008118BE" w:rsidRPr="008118BE" w:rsidRDefault="00254CBE" w:rsidP="00254CBE">
      <w:pPr>
        <w:spacing w:line="240" w:lineRule="auto"/>
        <w:jc w:val="both"/>
        <w:rPr>
          <w:rFonts w:ascii="Century Gothic" w:hAnsi="Century Gothic"/>
          <w:sz w:val="26"/>
          <w:szCs w:val="26"/>
        </w:rPr>
      </w:pPr>
      <w:r w:rsidRPr="008118BE">
        <w:rPr>
          <w:rFonts w:ascii="Century Gothic" w:hAnsi="Century Gothic"/>
          <w:sz w:val="26"/>
          <w:szCs w:val="26"/>
        </w:rPr>
        <w:t>convocatoria, no se ha documentado la integración definitiva ni la operación del Consejo, lo cual impide el cumplimiento de las atribuciones que la propia ley le confiere.</w:t>
      </w:r>
    </w:p>
    <w:p w14:paraId="63785EBD" w14:textId="77777777" w:rsidR="00254CBE" w:rsidRPr="008118BE" w:rsidRDefault="00254CBE" w:rsidP="00254CBE">
      <w:pPr>
        <w:spacing w:line="240" w:lineRule="auto"/>
        <w:jc w:val="both"/>
        <w:rPr>
          <w:rFonts w:ascii="Century Gothic" w:hAnsi="Century Gothic"/>
          <w:sz w:val="26"/>
          <w:szCs w:val="26"/>
        </w:rPr>
      </w:pPr>
      <w:r w:rsidRPr="008118BE">
        <w:rPr>
          <w:rFonts w:ascii="Century Gothic" w:hAnsi="Century Gothic"/>
          <w:sz w:val="26"/>
          <w:szCs w:val="26"/>
        </w:rPr>
        <w:t>El funcionamiento efectivo de este Consejo no es un acto meramente administrativo, sino un paso indispensable para la planeación, ejecución y evaluación de las políticas públicas en materia de envejecimiento, así como para no contravenir el principio de progresividad de los derechos humanos, evitando cualquier forma de regresión institucional en la protección de este sector</w:t>
      </w:r>
      <w:bookmarkStart w:id="0" w:name="_Hlk214218765"/>
      <w:r w:rsidRPr="008118BE">
        <w:rPr>
          <w:rFonts w:ascii="Century Gothic" w:hAnsi="Century Gothic"/>
          <w:sz w:val="26"/>
          <w:szCs w:val="26"/>
        </w:rPr>
        <w:t>. Su instalación y el cumplimiento de las sesiones por año permitirían fortalecer la coordinación entre instituciones gubernamentales, sociedad civil y academia, así como asegurar la participación activa de las personas mayores en la toma de decisiones que les afectan.</w:t>
      </w:r>
    </w:p>
    <w:bookmarkEnd w:id="0"/>
    <w:p w14:paraId="25742029" w14:textId="77777777" w:rsidR="00254CBE" w:rsidRPr="008118BE" w:rsidRDefault="00254CBE" w:rsidP="00254CBE">
      <w:pPr>
        <w:spacing w:line="240" w:lineRule="auto"/>
        <w:jc w:val="both"/>
        <w:rPr>
          <w:rFonts w:ascii="Century Gothic" w:hAnsi="Century Gothic"/>
          <w:sz w:val="26"/>
          <w:szCs w:val="26"/>
        </w:rPr>
      </w:pPr>
      <w:r w:rsidRPr="008118BE">
        <w:rPr>
          <w:rFonts w:ascii="Century Gothic" w:hAnsi="Century Gothic"/>
          <w:sz w:val="26"/>
          <w:szCs w:val="26"/>
        </w:rPr>
        <w:t>Además, dar cumplimiento a esta obligación legal representa un compromiso con los principios de dignidad, autonomía, inclusión y no discriminación que inspiran tanto la legislación estatal como los estándares internacionales en materia de derechos humanos.</w:t>
      </w:r>
    </w:p>
    <w:p w14:paraId="4CD34040" w14:textId="4B0B24FF" w:rsidR="005E7853" w:rsidRPr="008118BE" w:rsidRDefault="00254CBE" w:rsidP="00254CBE">
      <w:pPr>
        <w:spacing w:line="240" w:lineRule="auto"/>
        <w:jc w:val="both"/>
        <w:rPr>
          <w:rFonts w:ascii="Century Gothic" w:hAnsi="Century Gothic"/>
          <w:sz w:val="26"/>
          <w:szCs w:val="26"/>
        </w:rPr>
      </w:pPr>
      <w:bookmarkStart w:id="1" w:name="_Hlk214218835"/>
      <w:r w:rsidRPr="008118BE">
        <w:rPr>
          <w:rFonts w:ascii="Century Gothic" w:hAnsi="Century Gothic"/>
          <w:sz w:val="26"/>
          <w:szCs w:val="26"/>
        </w:rPr>
        <w:t>P</w:t>
      </w:r>
      <w:r w:rsidR="005E7853" w:rsidRPr="008118BE">
        <w:rPr>
          <w:rFonts w:ascii="Century Gothic" w:hAnsi="Century Gothic"/>
          <w:sz w:val="26"/>
          <w:szCs w:val="26"/>
        </w:rPr>
        <w:t xml:space="preserve">or lo anterior expuesto me permito </w:t>
      </w:r>
      <w:r w:rsidR="00FB342F" w:rsidRPr="008118BE">
        <w:rPr>
          <w:rFonts w:ascii="Century Gothic" w:hAnsi="Century Gothic"/>
          <w:sz w:val="26"/>
          <w:szCs w:val="26"/>
        </w:rPr>
        <w:t xml:space="preserve">formular las </w:t>
      </w:r>
      <w:r w:rsidR="005E7853" w:rsidRPr="008118BE">
        <w:rPr>
          <w:rFonts w:ascii="Century Gothic" w:hAnsi="Century Gothic"/>
          <w:sz w:val="26"/>
          <w:szCs w:val="26"/>
        </w:rPr>
        <w:t>siguientes preguntas</w:t>
      </w:r>
      <w:r w:rsidR="00894E34">
        <w:rPr>
          <w:rFonts w:ascii="Century Gothic" w:hAnsi="Century Gothic"/>
          <w:sz w:val="26"/>
          <w:szCs w:val="26"/>
        </w:rPr>
        <w:t xml:space="preserve"> al Secretaria de Desarrollo Humano y Bien Común</w:t>
      </w:r>
      <w:r w:rsidR="005E7853" w:rsidRPr="008118BE">
        <w:rPr>
          <w:rFonts w:ascii="Century Gothic" w:hAnsi="Century Gothic"/>
          <w:sz w:val="26"/>
          <w:szCs w:val="26"/>
        </w:rPr>
        <w:t>:</w:t>
      </w:r>
    </w:p>
    <w:p w14:paraId="79AFD7AE" w14:textId="77777777" w:rsidR="008118BE" w:rsidRPr="008118BE" w:rsidRDefault="00254CBE" w:rsidP="00254CBE">
      <w:pPr>
        <w:pStyle w:val="Prrafodelista"/>
        <w:numPr>
          <w:ilvl w:val="0"/>
          <w:numId w:val="3"/>
        </w:numPr>
        <w:spacing w:line="240" w:lineRule="auto"/>
        <w:jc w:val="both"/>
        <w:rPr>
          <w:rFonts w:ascii="Century Gothic" w:hAnsi="Century Gothic"/>
          <w:b/>
          <w:sz w:val="26"/>
          <w:szCs w:val="26"/>
        </w:rPr>
      </w:pPr>
      <w:r w:rsidRPr="008118BE">
        <w:rPr>
          <w:rFonts w:ascii="Century Gothic" w:hAnsi="Century Gothic"/>
          <w:b/>
          <w:sz w:val="26"/>
          <w:szCs w:val="26"/>
        </w:rPr>
        <w:t xml:space="preserve">¿Cuándo se instaló formalmente el Consejo de Protección de los Derechos de las Personas Mayores del Estado de Chihuahua, y dónde se encuentra publicada el acta de instalación correspondiente? </w:t>
      </w:r>
    </w:p>
    <w:p w14:paraId="5D65704D" w14:textId="79562AAB" w:rsidR="00254CBE" w:rsidRPr="008118BE" w:rsidRDefault="00254CBE" w:rsidP="00254CBE">
      <w:pPr>
        <w:pStyle w:val="Prrafodelista"/>
        <w:numPr>
          <w:ilvl w:val="0"/>
          <w:numId w:val="3"/>
        </w:numPr>
        <w:spacing w:line="240" w:lineRule="auto"/>
        <w:jc w:val="both"/>
        <w:rPr>
          <w:rFonts w:ascii="Century Gothic" w:hAnsi="Century Gothic"/>
          <w:b/>
          <w:sz w:val="26"/>
          <w:szCs w:val="26"/>
        </w:rPr>
      </w:pPr>
      <w:r w:rsidRPr="008118BE">
        <w:rPr>
          <w:rFonts w:ascii="Century Gothic" w:hAnsi="Century Gothic"/>
          <w:b/>
          <w:sz w:val="26"/>
          <w:szCs w:val="26"/>
        </w:rPr>
        <w:t>¿Cuántas sesiones ordinarias y extraordinarias ha celebrado el Consejo durante el presente año, especificando fechas, modalidad y asistencia?</w:t>
      </w:r>
    </w:p>
    <w:p w14:paraId="17922DAA" w14:textId="77777777" w:rsidR="00254CBE" w:rsidRPr="008118BE" w:rsidRDefault="00254CBE" w:rsidP="00254CBE">
      <w:pPr>
        <w:pStyle w:val="Prrafodelista"/>
        <w:numPr>
          <w:ilvl w:val="0"/>
          <w:numId w:val="3"/>
        </w:numPr>
        <w:spacing w:line="240" w:lineRule="auto"/>
        <w:jc w:val="both"/>
        <w:rPr>
          <w:rFonts w:ascii="Century Gothic" w:hAnsi="Century Gothic"/>
          <w:b/>
          <w:sz w:val="26"/>
          <w:szCs w:val="26"/>
        </w:rPr>
      </w:pPr>
      <w:r w:rsidRPr="008118BE">
        <w:rPr>
          <w:rFonts w:ascii="Century Gothic" w:hAnsi="Century Gothic"/>
          <w:b/>
          <w:sz w:val="26"/>
          <w:szCs w:val="26"/>
        </w:rPr>
        <w:t>¿Qué actividades, programas o acciones ha llevado a cabo el Consejo en el último año para la protección, promoción o garantía de los derechos de las personas mayores, y cuáles son los resultados obtenidos?</w:t>
      </w:r>
    </w:p>
    <w:p w14:paraId="5DEE979E" w14:textId="58E0E07B" w:rsidR="00254CBE" w:rsidRDefault="00254CBE" w:rsidP="00254CBE">
      <w:pPr>
        <w:pStyle w:val="Prrafodelista"/>
        <w:numPr>
          <w:ilvl w:val="0"/>
          <w:numId w:val="3"/>
        </w:numPr>
        <w:spacing w:line="240" w:lineRule="auto"/>
        <w:jc w:val="both"/>
        <w:rPr>
          <w:rFonts w:ascii="Century Gothic" w:hAnsi="Century Gothic"/>
          <w:b/>
          <w:sz w:val="26"/>
          <w:szCs w:val="26"/>
        </w:rPr>
      </w:pPr>
      <w:r w:rsidRPr="008118BE">
        <w:rPr>
          <w:rFonts w:ascii="Century Gothic" w:hAnsi="Century Gothic"/>
          <w:b/>
          <w:sz w:val="26"/>
          <w:szCs w:val="26"/>
        </w:rPr>
        <w:t xml:space="preserve">¿Cuántas acciones preventivas o recomendaciones ha emitido el Consejo para evitar la vulneración de derechos de personas mayores por parte de instituciones gubernamentales, organizaciones civiles o particulares, y dónde se encuentran disponibles dichas recomendaciones? </w:t>
      </w:r>
    </w:p>
    <w:p w14:paraId="4610AA8C" w14:textId="5D2EA180" w:rsidR="008118BE" w:rsidRDefault="008118BE" w:rsidP="008118BE">
      <w:pPr>
        <w:spacing w:line="240" w:lineRule="auto"/>
        <w:jc w:val="both"/>
        <w:rPr>
          <w:rFonts w:ascii="Century Gothic" w:hAnsi="Century Gothic"/>
          <w:b/>
          <w:sz w:val="26"/>
          <w:szCs w:val="26"/>
        </w:rPr>
      </w:pPr>
    </w:p>
    <w:p w14:paraId="60F69752" w14:textId="77777777" w:rsidR="008118BE" w:rsidRPr="008118BE" w:rsidRDefault="008118BE" w:rsidP="008118BE">
      <w:pPr>
        <w:spacing w:line="240" w:lineRule="auto"/>
        <w:jc w:val="both"/>
        <w:rPr>
          <w:rFonts w:ascii="Century Gothic" w:hAnsi="Century Gothic"/>
          <w:b/>
          <w:sz w:val="26"/>
          <w:szCs w:val="26"/>
        </w:rPr>
      </w:pPr>
    </w:p>
    <w:p w14:paraId="60728528" w14:textId="253B5F78" w:rsidR="00254CBE" w:rsidRPr="008118BE" w:rsidRDefault="00254CBE" w:rsidP="00254CBE">
      <w:pPr>
        <w:pStyle w:val="Prrafodelista"/>
        <w:numPr>
          <w:ilvl w:val="0"/>
          <w:numId w:val="3"/>
        </w:numPr>
        <w:spacing w:line="240" w:lineRule="auto"/>
        <w:jc w:val="both"/>
        <w:rPr>
          <w:rFonts w:ascii="Century Gothic" w:hAnsi="Century Gothic"/>
          <w:b/>
          <w:sz w:val="26"/>
          <w:szCs w:val="26"/>
        </w:rPr>
      </w:pPr>
      <w:r w:rsidRPr="008118BE">
        <w:rPr>
          <w:rFonts w:ascii="Century Gothic" w:hAnsi="Century Gothic"/>
          <w:b/>
          <w:sz w:val="26"/>
          <w:szCs w:val="26"/>
        </w:rPr>
        <w:t>¿Qué acciones ha realizado el Consejo para impulsar la instalación de defensorías públicas de personas mayores en los ayuntamientos del Estado?</w:t>
      </w:r>
    </w:p>
    <w:p w14:paraId="3F0208F8" w14:textId="77777777" w:rsidR="00254CBE" w:rsidRPr="008118BE" w:rsidRDefault="00254CBE" w:rsidP="005E7853">
      <w:pPr>
        <w:spacing w:line="240" w:lineRule="auto"/>
        <w:jc w:val="both"/>
        <w:rPr>
          <w:rFonts w:ascii="Century Gothic" w:hAnsi="Century Gothic"/>
          <w:sz w:val="26"/>
          <w:szCs w:val="26"/>
        </w:rPr>
      </w:pPr>
    </w:p>
    <w:p w14:paraId="6AEA06CF" w14:textId="246B2F4B" w:rsidR="005E7853" w:rsidRPr="008118BE" w:rsidRDefault="005E7853" w:rsidP="005E7853">
      <w:pPr>
        <w:spacing w:line="240" w:lineRule="auto"/>
        <w:jc w:val="both"/>
        <w:rPr>
          <w:rFonts w:ascii="Century Gothic" w:hAnsi="Century Gothic"/>
          <w:sz w:val="26"/>
          <w:szCs w:val="26"/>
        </w:rPr>
      </w:pPr>
      <w:r w:rsidRPr="008118BE">
        <w:rPr>
          <w:rFonts w:ascii="Century Gothic" w:hAnsi="Century Gothic"/>
          <w:sz w:val="26"/>
          <w:szCs w:val="26"/>
        </w:rPr>
        <w:t xml:space="preserve">En virtud de lo dispuesto por las fracciones III, IV y V del artículo 66 de la Constitución Política del Estado de Chihuahua, solicito se le dé el trámite correspondiente en tiempo y forma. </w:t>
      </w:r>
    </w:p>
    <w:p w14:paraId="2F14288A" w14:textId="77777777" w:rsidR="005E7853" w:rsidRPr="008118BE" w:rsidRDefault="005E7853" w:rsidP="005E7853">
      <w:pPr>
        <w:spacing w:line="240" w:lineRule="auto"/>
        <w:jc w:val="both"/>
        <w:rPr>
          <w:rFonts w:ascii="Century Gothic" w:hAnsi="Century Gothic"/>
          <w:sz w:val="26"/>
          <w:szCs w:val="26"/>
        </w:rPr>
      </w:pPr>
    </w:p>
    <w:p w14:paraId="3363FAFE" w14:textId="519CE361" w:rsidR="005E7853" w:rsidRPr="008118BE" w:rsidRDefault="005E7853" w:rsidP="005E7853">
      <w:pPr>
        <w:spacing w:line="240" w:lineRule="auto"/>
        <w:jc w:val="both"/>
        <w:rPr>
          <w:rFonts w:ascii="Century Gothic" w:hAnsi="Century Gothic"/>
          <w:sz w:val="26"/>
          <w:szCs w:val="26"/>
        </w:rPr>
      </w:pPr>
      <w:r w:rsidRPr="008118BE">
        <w:rPr>
          <w:rFonts w:ascii="Century Gothic" w:hAnsi="Century Gothic"/>
          <w:b/>
          <w:sz w:val="26"/>
          <w:szCs w:val="26"/>
        </w:rPr>
        <w:t>D A D O</w:t>
      </w:r>
      <w:r w:rsidRPr="008118BE">
        <w:rPr>
          <w:rFonts w:ascii="Century Gothic" w:hAnsi="Century Gothic"/>
          <w:sz w:val="26"/>
          <w:szCs w:val="26"/>
        </w:rPr>
        <w:t xml:space="preserve"> en el salón de sesiones</w:t>
      </w:r>
      <w:r w:rsidR="004C5B98" w:rsidRPr="008118BE">
        <w:rPr>
          <w:rFonts w:ascii="Century Gothic" w:hAnsi="Century Gothic"/>
          <w:sz w:val="26"/>
          <w:szCs w:val="26"/>
        </w:rPr>
        <w:t xml:space="preserve"> </w:t>
      </w:r>
      <w:r w:rsidRPr="008118BE">
        <w:rPr>
          <w:rFonts w:ascii="Century Gothic" w:hAnsi="Century Gothic"/>
          <w:sz w:val="26"/>
          <w:szCs w:val="26"/>
        </w:rPr>
        <w:t>del Poder Legislativo,</w:t>
      </w:r>
      <w:r w:rsidR="00E54A32" w:rsidRPr="008118BE">
        <w:rPr>
          <w:rFonts w:ascii="Century Gothic" w:hAnsi="Century Gothic"/>
          <w:sz w:val="26"/>
          <w:szCs w:val="26"/>
        </w:rPr>
        <w:t xml:space="preserve"> en la ciudad de Chihuahua, Chihuahua</w:t>
      </w:r>
      <w:r w:rsidRPr="008118BE">
        <w:rPr>
          <w:rFonts w:ascii="Century Gothic" w:hAnsi="Century Gothic"/>
          <w:sz w:val="26"/>
          <w:szCs w:val="26"/>
        </w:rPr>
        <w:t xml:space="preserve"> a los </w:t>
      </w:r>
      <w:r w:rsidR="00881595">
        <w:rPr>
          <w:rFonts w:ascii="Century Gothic" w:hAnsi="Century Gothic"/>
          <w:sz w:val="26"/>
          <w:szCs w:val="26"/>
        </w:rPr>
        <w:t>25</w:t>
      </w:r>
      <w:r w:rsidRPr="008118BE">
        <w:rPr>
          <w:rFonts w:ascii="Century Gothic" w:hAnsi="Century Gothic"/>
          <w:sz w:val="26"/>
          <w:szCs w:val="26"/>
        </w:rPr>
        <w:t xml:space="preserve"> días del mes de </w:t>
      </w:r>
      <w:r w:rsidR="008118BE" w:rsidRPr="008118BE">
        <w:rPr>
          <w:rFonts w:ascii="Century Gothic" w:hAnsi="Century Gothic"/>
          <w:sz w:val="26"/>
          <w:szCs w:val="26"/>
        </w:rPr>
        <w:t>noviembre</w:t>
      </w:r>
      <w:r w:rsidRPr="008118BE">
        <w:rPr>
          <w:rFonts w:ascii="Century Gothic" w:hAnsi="Century Gothic"/>
          <w:sz w:val="26"/>
          <w:szCs w:val="26"/>
        </w:rPr>
        <w:t xml:space="preserve"> del año dos mil veinticinco.</w:t>
      </w:r>
    </w:p>
    <w:p w14:paraId="1DA0B958" w14:textId="77777777" w:rsidR="005E7853" w:rsidRPr="008118BE" w:rsidRDefault="005E7853" w:rsidP="005E7853">
      <w:pPr>
        <w:spacing w:line="240" w:lineRule="auto"/>
        <w:jc w:val="both"/>
        <w:rPr>
          <w:rFonts w:ascii="Century Gothic" w:hAnsi="Century Gothic"/>
          <w:sz w:val="26"/>
          <w:szCs w:val="26"/>
        </w:rPr>
      </w:pPr>
    </w:p>
    <w:p w14:paraId="39F31AFE" w14:textId="77777777" w:rsidR="005E7853" w:rsidRPr="008118BE" w:rsidRDefault="005E7853" w:rsidP="005E7853">
      <w:pPr>
        <w:jc w:val="center"/>
        <w:rPr>
          <w:rFonts w:ascii="Century Gothic" w:hAnsi="Century Gothic"/>
          <w:b/>
          <w:sz w:val="26"/>
          <w:szCs w:val="26"/>
        </w:rPr>
      </w:pPr>
      <w:r w:rsidRPr="008118BE">
        <w:rPr>
          <w:rFonts w:ascii="Century Gothic" w:hAnsi="Century Gothic"/>
          <w:b/>
          <w:sz w:val="26"/>
          <w:szCs w:val="26"/>
        </w:rPr>
        <w:t>ATENTAMENTE</w:t>
      </w:r>
    </w:p>
    <w:p w14:paraId="3E5F5AB0" w14:textId="77777777" w:rsidR="005E7853" w:rsidRPr="008118BE" w:rsidRDefault="005E7853" w:rsidP="005E7853">
      <w:pPr>
        <w:jc w:val="center"/>
        <w:rPr>
          <w:rFonts w:ascii="Century Gothic" w:hAnsi="Century Gothic"/>
          <w:sz w:val="26"/>
          <w:szCs w:val="26"/>
        </w:rPr>
      </w:pPr>
    </w:p>
    <w:p w14:paraId="6B26F8A9" w14:textId="77777777" w:rsidR="005E7853" w:rsidRPr="008118BE" w:rsidRDefault="005E7853" w:rsidP="005E7853">
      <w:pPr>
        <w:jc w:val="center"/>
        <w:rPr>
          <w:rFonts w:ascii="Century Gothic" w:hAnsi="Century Gothic"/>
          <w:sz w:val="26"/>
          <w:szCs w:val="26"/>
        </w:rPr>
      </w:pPr>
    </w:p>
    <w:p w14:paraId="511E6CB8" w14:textId="77777777" w:rsidR="005E7853" w:rsidRPr="008118BE" w:rsidRDefault="005E7853" w:rsidP="005E7853">
      <w:pPr>
        <w:jc w:val="center"/>
        <w:rPr>
          <w:rFonts w:ascii="Century Gothic" w:hAnsi="Century Gothic"/>
          <w:sz w:val="26"/>
          <w:szCs w:val="26"/>
        </w:rPr>
      </w:pPr>
      <w:r w:rsidRPr="008118BE">
        <w:rPr>
          <w:rFonts w:ascii="Century Gothic" w:hAnsi="Century Gothic"/>
          <w:sz w:val="26"/>
          <w:szCs w:val="26"/>
        </w:rPr>
        <w:t>DIP. HERMINIA GÓMEZ CARRASCO</w:t>
      </w:r>
    </w:p>
    <w:bookmarkEnd w:id="1"/>
    <w:p w14:paraId="71EFD0F0" w14:textId="26C3710E" w:rsidR="00550936" w:rsidRPr="008118BE" w:rsidRDefault="00550936" w:rsidP="005E7853">
      <w:pPr>
        <w:jc w:val="both"/>
        <w:rPr>
          <w:rFonts w:ascii="Century Gothic" w:hAnsi="Century Gothic"/>
          <w:sz w:val="26"/>
          <w:szCs w:val="26"/>
        </w:rPr>
      </w:pPr>
    </w:p>
    <w:sectPr w:rsidR="00550936" w:rsidRPr="008118BE" w:rsidSect="00035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1030" w14:textId="77777777" w:rsidR="0044113C" w:rsidRDefault="0044113C" w:rsidP="009326A5">
      <w:pPr>
        <w:spacing w:after="0" w:line="240" w:lineRule="auto"/>
      </w:pPr>
      <w:r>
        <w:separator/>
      </w:r>
    </w:p>
  </w:endnote>
  <w:endnote w:type="continuationSeparator" w:id="0">
    <w:p w14:paraId="32498F38" w14:textId="77777777" w:rsidR="0044113C" w:rsidRDefault="0044113C"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6"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8A1A" w14:textId="77777777" w:rsidR="0044113C" w:rsidRDefault="0044113C" w:rsidP="009326A5">
      <w:pPr>
        <w:spacing w:after="0" w:line="240" w:lineRule="auto"/>
      </w:pPr>
      <w:r>
        <w:separator/>
      </w:r>
    </w:p>
  </w:footnote>
  <w:footnote w:type="continuationSeparator" w:id="0">
    <w:p w14:paraId="2BD91272" w14:textId="77777777" w:rsidR="0044113C" w:rsidRDefault="0044113C"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0C6F39"/>
    <w:multiLevelType w:val="hybridMultilevel"/>
    <w:tmpl w:val="5DC4C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2153F"/>
    <w:rsid w:val="00035E39"/>
    <w:rsid w:val="00074EE4"/>
    <w:rsid w:val="00087208"/>
    <w:rsid w:val="000C16B4"/>
    <w:rsid w:val="001339FD"/>
    <w:rsid w:val="00145FE6"/>
    <w:rsid w:val="001A79C0"/>
    <w:rsid w:val="001E42BE"/>
    <w:rsid w:val="001E730F"/>
    <w:rsid w:val="002350D5"/>
    <w:rsid w:val="002360EA"/>
    <w:rsid w:val="00254CBE"/>
    <w:rsid w:val="00292BB1"/>
    <w:rsid w:val="002B5D1A"/>
    <w:rsid w:val="002D3521"/>
    <w:rsid w:val="00304C56"/>
    <w:rsid w:val="0031424A"/>
    <w:rsid w:val="003E2041"/>
    <w:rsid w:val="00427610"/>
    <w:rsid w:val="0044113C"/>
    <w:rsid w:val="004614B8"/>
    <w:rsid w:val="00467346"/>
    <w:rsid w:val="00475CEA"/>
    <w:rsid w:val="00475E1C"/>
    <w:rsid w:val="004C5B98"/>
    <w:rsid w:val="004E1F8B"/>
    <w:rsid w:val="004E5F23"/>
    <w:rsid w:val="00511E7E"/>
    <w:rsid w:val="00517712"/>
    <w:rsid w:val="00550936"/>
    <w:rsid w:val="005562D4"/>
    <w:rsid w:val="005D359B"/>
    <w:rsid w:val="005E2115"/>
    <w:rsid w:val="005E7853"/>
    <w:rsid w:val="00631204"/>
    <w:rsid w:val="006409C5"/>
    <w:rsid w:val="006953D0"/>
    <w:rsid w:val="006C6B4D"/>
    <w:rsid w:val="007C56A9"/>
    <w:rsid w:val="008118BE"/>
    <w:rsid w:val="008177A6"/>
    <w:rsid w:val="008612F2"/>
    <w:rsid w:val="00881595"/>
    <w:rsid w:val="00882BF3"/>
    <w:rsid w:val="00894E34"/>
    <w:rsid w:val="008A6A61"/>
    <w:rsid w:val="008D5F85"/>
    <w:rsid w:val="008F0FD6"/>
    <w:rsid w:val="009326A5"/>
    <w:rsid w:val="00990BBC"/>
    <w:rsid w:val="009B7AB3"/>
    <w:rsid w:val="009E3534"/>
    <w:rsid w:val="009F10D4"/>
    <w:rsid w:val="00A200B9"/>
    <w:rsid w:val="00B00286"/>
    <w:rsid w:val="00B459D7"/>
    <w:rsid w:val="00B60555"/>
    <w:rsid w:val="00B72EA6"/>
    <w:rsid w:val="00C42AF6"/>
    <w:rsid w:val="00C8712F"/>
    <w:rsid w:val="00CB1819"/>
    <w:rsid w:val="00CE6D74"/>
    <w:rsid w:val="00DA2F80"/>
    <w:rsid w:val="00E4342A"/>
    <w:rsid w:val="00E54A32"/>
    <w:rsid w:val="00E931DF"/>
    <w:rsid w:val="00F371D5"/>
    <w:rsid w:val="00FB3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2025-11-24T20:31:00Z</dcterms:created>
  <dcterms:modified xsi:type="dcterms:W3CDTF">2025-11-24T20:31:00Z</dcterms:modified>
</cp:coreProperties>
</file>