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F6A08" w14:textId="77777777" w:rsidR="00EC1877" w:rsidRDefault="00EC18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B385C1" w14:textId="77777777" w:rsidR="00EC1877" w:rsidRDefault="00EC18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1F1694" w14:textId="77777777" w:rsidR="00EC1877" w:rsidRDefault="00BB2E9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H. CONGRESO DEL ESTADO </w:t>
      </w:r>
    </w:p>
    <w:p w14:paraId="05B200F7" w14:textId="77777777" w:rsidR="00EC1877" w:rsidRDefault="00BB2E9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 R E S E N T E. –</w:t>
      </w:r>
    </w:p>
    <w:p w14:paraId="18DBA500" w14:textId="77777777" w:rsidR="00EC1877" w:rsidRDefault="00BB2E9B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Quienes suscribimos, en nuestro carácter de Diputadas y Diputados de la Sexagésima Octava Legislatura e integrantes del Grupo Parlamentario del Partido MORENA, con fundamento en los artículos 64 fracción II y 68 fracción I, de la Constitución Política del </w:t>
      </w:r>
      <w:r>
        <w:rPr>
          <w:rFonts w:ascii="Arial" w:hAnsi="Arial" w:cs="Arial"/>
        </w:rPr>
        <w:t xml:space="preserve">Estado de Chihuahua; </w:t>
      </w:r>
      <w:r>
        <w:rPr>
          <w:rFonts w:ascii="Arial" w:eastAsia="Century Gothic" w:hAnsi="Arial" w:cs="Arial"/>
        </w:rPr>
        <w:t>169 de la Ley Orgánica que nos rige; y numerales 2 fracción IX, 75, 76 y 77 del Reglamento Interior de Prácticas Parlamentarias del Poder Legislativo</w:t>
      </w:r>
      <w:r>
        <w:rPr>
          <w:rFonts w:ascii="Arial" w:hAnsi="Arial" w:cs="Arial"/>
        </w:rPr>
        <w:t>, acudimos ante esta Honorable Representación Popular con el fin de presentar la sigui</w:t>
      </w:r>
      <w:r>
        <w:rPr>
          <w:rFonts w:ascii="Arial" w:hAnsi="Arial" w:cs="Arial"/>
        </w:rPr>
        <w:t>ente</w:t>
      </w:r>
      <w:r>
        <w:rPr>
          <w:rFonts w:ascii="Arial" w:eastAsia="Verdana" w:hAnsi="Arial" w:cs="Arial"/>
        </w:rPr>
        <w:t xml:space="preserve">. </w:t>
      </w:r>
      <w:r>
        <w:rPr>
          <w:rFonts w:ascii="Arial" w:hAnsi="Arial" w:cs="Arial"/>
        </w:rPr>
        <w:t xml:space="preserve">Lo anterior en base a la siguiente: </w:t>
      </w:r>
      <w:r>
        <w:rPr>
          <w:rFonts w:ascii="Arial" w:hAnsi="Arial" w:cs="Arial"/>
          <w:b/>
          <w:bCs/>
        </w:rPr>
        <w:t>PROPOSICIÓN</w:t>
      </w:r>
      <w:r>
        <w:rPr>
          <w:rFonts w:ascii="Arial" w:hAnsi="Arial" w:cs="Arial"/>
          <w:b/>
          <w:bCs/>
        </w:rPr>
        <w:t xml:space="preserve"> CON CARÁCTER DE PUNTO DE ACUERDO, A EFECTO DE EXHORTAR A LA </w:t>
      </w:r>
      <w:r>
        <w:rPr>
          <w:rFonts w:ascii="Arial" w:hAnsi="Arial" w:cs="Arial"/>
          <w:b/>
          <w:bCs/>
        </w:rPr>
        <w:t>FISCALÍA</w:t>
      </w:r>
      <w:r>
        <w:rPr>
          <w:rFonts w:ascii="Arial" w:hAnsi="Arial" w:cs="Arial"/>
          <w:b/>
          <w:bCs/>
        </w:rPr>
        <w:t xml:space="preserve"> GENERAL DEL ESTADO DE CHIHUAHUA PARA QUE ELABORE Y PUBLIQUE UN PROTOCOLO DE </w:t>
      </w:r>
      <w:r>
        <w:rPr>
          <w:rFonts w:ascii="Arial" w:hAnsi="Arial" w:cs="Arial"/>
          <w:b/>
          <w:bCs/>
        </w:rPr>
        <w:t>ACTUACIÓN</w:t>
      </w:r>
      <w:r>
        <w:rPr>
          <w:rFonts w:ascii="Arial" w:hAnsi="Arial" w:cs="Arial"/>
          <w:b/>
          <w:bCs/>
        </w:rPr>
        <w:t xml:space="preserve"> EN DELITOS SEXUALES COMETIDOS EN CONTRA DE MENO</w:t>
      </w:r>
      <w:r>
        <w:rPr>
          <w:rFonts w:ascii="Arial" w:hAnsi="Arial" w:cs="Arial"/>
          <w:b/>
          <w:bCs/>
        </w:rPr>
        <w:t xml:space="preserve">RES DE EDAD DENTRO DE INSTITUCIONES DE CUSTODIA O CUIDADO, CON PERSPECTIVA DE INFANCIA, </w:t>
      </w:r>
      <w:r>
        <w:rPr>
          <w:rFonts w:ascii="Arial" w:hAnsi="Arial" w:cs="Arial"/>
          <w:b/>
          <w:bCs/>
        </w:rPr>
        <w:t>GÉNERO</w:t>
      </w:r>
      <w:r>
        <w:rPr>
          <w:rFonts w:ascii="Arial" w:hAnsi="Arial" w:cs="Arial"/>
          <w:b/>
          <w:bCs/>
        </w:rPr>
        <w:t xml:space="preserve"> Y DERECHOS HUMANOS. </w:t>
      </w:r>
    </w:p>
    <w:p w14:paraId="3D55BD5A" w14:textId="77777777" w:rsidR="00EC1877" w:rsidRDefault="00EC187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D4E030F" w14:textId="77777777" w:rsidR="00EC1877" w:rsidRDefault="00EC187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D8165D" w14:textId="77777777" w:rsidR="00EC1877" w:rsidRDefault="00BB2E9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EXPOSICIÓN DE MOTIVOS</w:t>
      </w:r>
    </w:p>
    <w:p w14:paraId="00DEC54E" w14:textId="77777777" w:rsidR="00EC1877" w:rsidRDefault="00EC187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43FACD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violencia sexual cometida dentro de instituciones educativas o de cuidado constituye una de las expresiones más </w:t>
      </w:r>
      <w:r>
        <w:rPr>
          <w:rFonts w:ascii="Arial" w:hAnsi="Arial" w:cs="Arial"/>
          <w:sz w:val="24"/>
          <w:szCs w:val="24"/>
        </w:rPr>
        <w:t xml:space="preserve">graves de abuso de poder, pues en ellas los agresores se valen de su posición jerárquica o de confianza para vulnerar la integridad y la dignidad de las víctimas. </w:t>
      </w:r>
    </w:p>
    <w:p w14:paraId="33F996E4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 estos espacios, las niñas, niños y adolescentes que sufren agresiones sexuales no solo pa</w:t>
      </w:r>
      <w:r>
        <w:rPr>
          <w:rFonts w:ascii="Arial" w:hAnsi="Arial" w:cs="Arial"/>
          <w:sz w:val="24"/>
          <w:szCs w:val="24"/>
        </w:rPr>
        <w:t>decen el trauma de la violencia, sino también las consecuencias de estructuras institucionales que muchas veces tienden al silencio, al descrédito o al encubrimiento.</w:t>
      </w:r>
    </w:p>
    <w:p w14:paraId="091E76FB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70C73FF7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historia de nuestro país, y particularmente la del Estado de Chihuahua, muestra que</w:t>
      </w:r>
      <w:r>
        <w:rPr>
          <w:rFonts w:ascii="Arial" w:hAnsi="Arial" w:cs="Arial"/>
          <w:sz w:val="24"/>
          <w:szCs w:val="24"/>
        </w:rPr>
        <w:t xml:space="preserve"> los entornos de formación académica, religiosa o social no están exentos de violencia sexual, y que la falta de protocolos claros ha contribuido a perpetuar la impunidad.</w:t>
      </w:r>
    </w:p>
    <w:p w14:paraId="26EDDD32" w14:textId="77777777" w:rsidR="00EC1877" w:rsidRDefault="00EC18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4B8163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los últimos años, medios de comunicación y organizaciones civiles han documentad</w:t>
      </w:r>
      <w:r>
        <w:rPr>
          <w:rFonts w:ascii="Arial" w:hAnsi="Arial" w:cs="Arial"/>
          <w:sz w:val="24"/>
          <w:szCs w:val="24"/>
        </w:rPr>
        <w:t xml:space="preserve">o un incremento alarmante de casos de violencia sexual en escuelas, guarderías y centros de atención infantil. Según la ficha técnica 'Infancia y Adolescencia en Chihuahua 2024', durante 2022 se registraron 915 casos de violencia sexual contra personas de </w:t>
      </w:r>
      <w:r>
        <w:rPr>
          <w:rFonts w:ascii="Arial" w:hAnsi="Arial" w:cs="Arial"/>
          <w:sz w:val="24"/>
          <w:szCs w:val="24"/>
        </w:rPr>
        <w:t>entre 1 y 17 años de edad, de los cuales el 97.4% correspondió a mujeres. Treinta de estos casos ocurrieron dentro de escuelas, colocando a Chihuahua entre las entidades con mayor incidencia.</w:t>
      </w:r>
    </w:p>
    <w:p w14:paraId="01AF6B9D" w14:textId="77777777" w:rsidR="00EC1877" w:rsidRDefault="00EC18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C025CD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con la encuesta realizada por FICOSEC en los municip</w:t>
      </w:r>
      <w:r>
        <w:rPr>
          <w:rFonts w:ascii="Arial" w:hAnsi="Arial" w:cs="Arial"/>
          <w:sz w:val="24"/>
          <w:szCs w:val="24"/>
        </w:rPr>
        <w:t xml:space="preserve">ios de Chihuahua, Ciudad Juárez, Delicias, Cuauhtémoc, Parral y Nuevo Casas Grandes sobre violencia familiar y sexual en el estado de Chihuahua, el 7.9 % de niñas, niños y adolescentes declaró haber sufrido violencia sexual en el entorno escolar, mientras </w:t>
      </w:r>
      <w:r>
        <w:rPr>
          <w:rFonts w:ascii="Arial" w:hAnsi="Arial" w:cs="Arial"/>
          <w:sz w:val="24"/>
          <w:szCs w:val="24"/>
        </w:rPr>
        <w:t>que en jóvenes</w:t>
      </w:r>
    </w:p>
    <w:p w14:paraId="0376F30F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y adultos la cifra fue del 4.1 %. </w:t>
      </w:r>
    </w:p>
    <w:p w14:paraId="055738CE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dato resulta particularmente relevante pues demuestra que, dentro de la escuela, que debería ser un espacio seguro para el desarrollo, existe una presencia detectada de violencia sexual hacia menores,</w:t>
      </w:r>
      <w:r>
        <w:rPr>
          <w:rFonts w:ascii="Arial" w:hAnsi="Arial" w:cs="Arial"/>
          <w:sz w:val="24"/>
          <w:szCs w:val="24"/>
        </w:rPr>
        <w:t xml:space="preserve"> lo que exige institucionalizar protocolos especializados de atención, denuncia y protección en dicho ámbito.</w:t>
      </w:r>
    </w:p>
    <w:p w14:paraId="7E2AECB5" w14:textId="77777777" w:rsidR="00EC1877" w:rsidRDefault="00EC18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C7CC98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abril de 2025, la </w:t>
      </w:r>
      <w:proofErr w:type="gramStart"/>
      <w:r>
        <w:rPr>
          <w:rFonts w:ascii="Arial" w:hAnsi="Arial" w:cs="Arial"/>
          <w:sz w:val="24"/>
          <w:szCs w:val="24"/>
        </w:rPr>
        <w:t>Fiscalía General</w:t>
      </w:r>
      <w:proofErr w:type="gramEnd"/>
      <w:r>
        <w:rPr>
          <w:rFonts w:ascii="Arial" w:hAnsi="Arial" w:cs="Arial"/>
          <w:sz w:val="24"/>
          <w:szCs w:val="24"/>
        </w:rPr>
        <w:t xml:space="preserve"> del Estado de Chihuahua informó la apertura de 71 carpetas de investigación por abuso sexual y maltrato inf</w:t>
      </w:r>
      <w:r>
        <w:rPr>
          <w:rFonts w:ascii="Arial" w:hAnsi="Arial" w:cs="Arial"/>
          <w:sz w:val="24"/>
          <w:szCs w:val="24"/>
        </w:rPr>
        <w:t xml:space="preserve">antil en guarderías de Ciudad Juárez, donde 218 menores fueron evaluados. </w:t>
      </w:r>
    </w:p>
    <w:p w14:paraId="3F00D256" w14:textId="77777777" w:rsidR="00EC1877" w:rsidRDefault="00EC18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921565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episodio evidenció la falta de protocolos ministeriales y periciales con perspectiva de infancia y </w:t>
      </w:r>
      <w:proofErr w:type="gramStart"/>
      <w:r>
        <w:rPr>
          <w:rFonts w:ascii="Arial" w:hAnsi="Arial" w:cs="Arial"/>
          <w:sz w:val="24"/>
          <w:szCs w:val="24"/>
        </w:rPr>
        <w:t>adolescencia ,</w:t>
      </w:r>
      <w:proofErr w:type="gramEnd"/>
      <w:r>
        <w:rPr>
          <w:rFonts w:ascii="Arial" w:hAnsi="Arial" w:cs="Arial"/>
          <w:sz w:val="24"/>
          <w:szCs w:val="24"/>
        </w:rPr>
        <w:t xml:space="preserve"> que garanticen la efectiva investigación, así como la protecc</w:t>
      </w:r>
      <w:r>
        <w:rPr>
          <w:rFonts w:ascii="Arial" w:hAnsi="Arial" w:cs="Arial"/>
          <w:sz w:val="24"/>
          <w:szCs w:val="24"/>
        </w:rPr>
        <w:t>ión de las víctimas y la sanción para él o los agresores.</w:t>
      </w:r>
    </w:p>
    <w:p w14:paraId="084B899A" w14:textId="77777777" w:rsidR="00EC1877" w:rsidRDefault="00EC18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EA9E7A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con el Secretariado Ejecutivo del Sistema Nacional de Seguridad Pública, Chihuahua se encuentra entre las cinco entidades con mayor tasa de delitos sexuales.</w:t>
      </w:r>
    </w:p>
    <w:p w14:paraId="47CE9DBD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municipios de </w:t>
      </w:r>
      <w:r>
        <w:rPr>
          <w:rFonts w:ascii="Arial" w:hAnsi="Arial" w:cs="Arial"/>
          <w:sz w:val="24"/>
          <w:szCs w:val="24"/>
        </w:rPr>
        <w:t>Juárez, Chihuahua y Delicias concentran cerca del setenta por ciento de las denuncias por violación y abuso sexual.  Sin embargo, muchos de los casos no se denuncian, ya sea por miedo, desconfianza o presión institucional.</w:t>
      </w:r>
    </w:p>
    <w:p w14:paraId="5C863952" w14:textId="77777777" w:rsidR="00EC1877" w:rsidRDefault="00EC18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51DA94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ámbito religioso, las denu</w:t>
      </w:r>
      <w:r>
        <w:rPr>
          <w:rFonts w:ascii="Arial" w:hAnsi="Arial" w:cs="Arial"/>
          <w:sz w:val="24"/>
          <w:szCs w:val="24"/>
        </w:rPr>
        <w:t>ncias son aún más complejas. Organizaciones como Justicia para Nuestras Hijas, Red Mesa de Mujeres y el Centro de Derechos Humanos Paso del Norte han documentado casos de abuso sexual dentro de seminarios, congregaciones y colegios confesionales, en los qu</w:t>
      </w:r>
      <w:r>
        <w:rPr>
          <w:rFonts w:ascii="Arial" w:hAnsi="Arial" w:cs="Arial"/>
          <w:sz w:val="24"/>
          <w:szCs w:val="24"/>
        </w:rPr>
        <w:t xml:space="preserve">e los agresores fueron clérigos, religiosos o personal laico que aprovechó su posición de autoridad y confianza. </w:t>
      </w:r>
    </w:p>
    <w:p w14:paraId="733B26CB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mayoría de los casos, las víctimas fueron menores de edad, y las instituciones optaron por guardar silencio o trasladar al agresor en lu</w:t>
      </w:r>
      <w:r>
        <w:rPr>
          <w:rFonts w:ascii="Arial" w:hAnsi="Arial" w:cs="Arial"/>
          <w:sz w:val="24"/>
          <w:szCs w:val="24"/>
        </w:rPr>
        <w:t>gar de denunciarlo ante las autoridades. Este patrón de encubrimiento reproduce la impunidad y genera una violencia estructural que erosiona la confianza social y normaliza la injusticia.</w:t>
      </w:r>
    </w:p>
    <w:p w14:paraId="3F4C4171" w14:textId="77777777" w:rsidR="00EC1877" w:rsidRDefault="00EC18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776417" w14:textId="77777777" w:rsidR="00EC1877" w:rsidRDefault="00EC18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47B09A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En el análisis de los instrumentos normativos de la </w:t>
      </w:r>
      <w:proofErr w:type="gramStart"/>
      <w:r>
        <w:rPr>
          <w:rFonts w:ascii="Arial" w:hAnsi="Arial" w:cs="Arial"/>
          <w:sz w:val="24"/>
          <w:szCs w:val="24"/>
        </w:rPr>
        <w:t>Fiscalía Gener</w:t>
      </w:r>
      <w:r>
        <w:rPr>
          <w:rFonts w:ascii="Arial" w:hAnsi="Arial" w:cs="Arial"/>
          <w:sz w:val="24"/>
          <w:szCs w:val="24"/>
        </w:rPr>
        <w:t>al</w:t>
      </w:r>
      <w:proofErr w:type="gramEnd"/>
      <w:r>
        <w:rPr>
          <w:rFonts w:ascii="Arial" w:hAnsi="Arial" w:cs="Arial"/>
          <w:sz w:val="24"/>
          <w:szCs w:val="24"/>
        </w:rPr>
        <w:t xml:space="preserve"> del Estado de Chihuahua, se identificó la existencia de nueve protocolos institucionales. No obstante, ninguno de ellos aborda de manera específica la atención de delitos sexuales cometidos contra niñas, niños y adolescentes en entornos institucionales.</w:t>
      </w:r>
      <w:r>
        <w:rPr>
          <w:rFonts w:ascii="Arial" w:hAnsi="Arial" w:cs="Arial"/>
          <w:sz w:val="24"/>
          <w:szCs w:val="24"/>
        </w:rPr>
        <w:t xml:space="preserve"> Esta ausencia de regulación evidencia un vacío normativo que hace necesaria la creación de un protocolo especializado con enfoque en la protección integral de la niñez, a fin de garantizar una atención adecuada, sensible y efectiva frente a este tipo de c</w:t>
      </w:r>
      <w:r>
        <w:rPr>
          <w:rFonts w:ascii="Arial" w:hAnsi="Arial" w:cs="Arial"/>
          <w:sz w:val="24"/>
          <w:szCs w:val="24"/>
        </w:rPr>
        <w:t>onductas delictivas.</w:t>
      </w:r>
    </w:p>
    <w:p w14:paraId="7F4EF3A9" w14:textId="77777777" w:rsidR="00EC1877" w:rsidRDefault="00EC18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E693EE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nivel internacional, existen instrumentos especializados que pueden servir como referencia para la creación de un protocolo estatal de investigación. Uno de los más destacados es el “New </w:t>
      </w:r>
      <w:proofErr w:type="spellStart"/>
      <w:r>
        <w:rPr>
          <w:rFonts w:ascii="Arial" w:hAnsi="Arial" w:cs="Arial"/>
          <w:sz w:val="24"/>
          <w:szCs w:val="24"/>
        </w:rPr>
        <w:t>Protocol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Investigation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Sexual </w:t>
      </w:r>
      <w:proofErr w:type="spellStart"/>
      <w:r>
        <w:rPr>
          <w:rFonts w:ascii="Arial" w:hAnsi="Arial" w:cs="Arial"/>
          <w:sz w:val="24"/>
          <w:szCs w:val="24"/>
        </w:rPr>
        <w:t>Viol</w:t>
      </w:r>
      <w:r>
        <w:rPr>
          <w:rFonts w:ascii="Arial" w:hAnsi="Arial" w:cs="Arial"/>
          <w:sz w:val="24"/>
          <w:szCs w:val="24"/>
        </w:rPr>
        <w:t>ence</w:t>
      </w:r>
      <w:proofErr w:type="spellEnd"/>
      <w:r>
        <w:rPr>
          <w:rFonts w:ascii="Arial" w:hAnsi="Arial" w:cs="Arial"/>
          <w:sz w:val="24"/>
          <w:szCs w:val="24"/>
        </w:rPr>
        <w:t>”, elaborado por “</w:t>
      </w:r>
      <w:proofErr w:type="spellStart"/>
      <w:r>
        <w:rPr>
          <w:rFonts w:ascii="Arial" w:hAnsi="Arial" w:cs="Arial"/>
          <w:sz w:val="24"/>
          <w:szCs w:val="24"/>
        </w:rPr>
        <w:t>Justice</w:t>
      </w:r>
      <w:proofErr w:type="spellEnd"/>
      <w:r>
        <w:rPr>
          <w:rFonts w:ascii="Arial" w:hAnsi="Arial" w:cs="Arial"/>
          <w:sz w:val="24"/>
          <w:szCs w:val="24"/>
        </w:rPr>
        <w:t xml:space="preserve"> Rapid Response” en colaboración con la “Red de Fiscales Iberoamericana”. Este documento propone estándares globales para la investigación de delitos sexuales con enfoque centrado en la víctima y metodología informada por traum</w:t>
      </w:r>
      <w:r>
        <w:rPr>
          <w:rFonts w:ascii="Arial" w:hAnsi="Arial" w:cs="Arial"/>
          <w:sz w:val="24"/>
          <w:szCs w:val="24"/>
        </w:rPr>
        <w:t>a.</w:t>
      </w:r>
    </w:p>
    <w:p w14:paraId="32C5DCEA" w14:textId="77777777" w:rsidR="00EC1877" w:rsidRDefault="00EC18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B8D379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 sus aportes se incluyen directrices sobre entrevistas seguras para menores, preservación adecuada de evidencias, coordinación interinstitucional, y mecanismos para evitar la revictimización durante el proceso penal. </w:t>
      </w:r>
    </w:p>
    <w:p w14:paraId="2C95BA53" w14:textId="77777777" w:rsidR="00EC1877" w:rsidRDefault="00EC18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19D540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 estructura resulta especialmente aplicable al contexto local, pues plantea una investigación que no solo persigue al agresor, sino que también protege de manera integral a la víctima, asegurando que las instituciones educativas, de cuidado o custodia cu</w:t>
      </w:r>
      <w:r>
        <w:rPr>
          <w:rFonts w:ascii="Arial" w:hAnsi="Arial" w:cs="Arial"/>
          <w:sz w:val="24"/>
          <w:szCs w:val="24"/>
        </w:rPr>
        <w:t xml:space="preserve">mplan con su deber de denunciar y colaborar con la autoridad ministerial. </w:t>
      </w:r>
    </w:p>
    <w:p w14:paraId="0516BC97" w14:textId="77777777" w:rsidR="00EC1877" w:rsidRDefault="00EC18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4D9325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Este exhorto no se contrapone con el Programa Nacional de Protección de Niñas, Niños y Adolescentes (PRONAPINNA); al contrario, lo complementa. </w:t>
      </w:r>
    </w:p>
    <w:p w14:paraId="3F12C550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propio PRONAPINNA, establece en </w:t>
      </w:r>
      <w:r>
        <w:rPr>
          <w:rFonts w:ascii="Arial" w:hAnsi="Arial" w:cs="Arial"/>
          <w:sz w:val="24"/>
          <w:szCs w:val="24"/>
        </w:rPr>
        <w:t>su</w:t>
      </w:r>
      <w:r>
        <w:t xml:space="preserve"> </w:t>
      </w:r>
      <w:r>
        <w:rPr>
          <w:rFonts w:ascii="Arial" w:hAnsi="Arial" w:cs="Arial"/>
          <w:sz w:val="24"/>
          <w:szCs w:val="24"/>
        </w:rPr>
        <w:t>Estrategia 3.5.8. establece la necesidad de fortalecer la disponibilidad, accesibilidad y calidad de los servicios de atención a niñas, niños y adolescentes víctimas de violencia sexual.</w:t>
      </w:r>
    </w:p>
    <w:p w14:paraId="4E2863DB" w14:textId="77777777" w:rsidR="00EC1877" w:rsidRDefault="00EC18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8BA192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esta manera, la creación de un protocolo estatal de investigac</w:t>
      </w:r>
      <w:r>
        <w:rPr>
          <w:rFonts w:ascii="Arial" w:hAnsi="Arial" w:cs="Arial"/>
          <w:sz w:val="24"/>
          <w:szCs w:val="24"/>
        </w:rPr>
        <w:t>ión, no solo cumple con los compromisos internacionales y nacionales de México, sino que fortalece la política de protección integral en el ámbito local.</w:t>
      </w:r>
    </w:p>
    <w:p w14:paraId="4DC25626" w14:textId="77777777" w:rsidR="00EC1877" w:rsidRDefault="00EC18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6FD03D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Adaptar un modelo de este tipo al Estado de Chihuahua permitiría fortalecer la respuesta instituciona</w:t>
      </w:r>
      <w:r>
        <w:rPr>
          <w:rFonts w:ascii="Arial" w:hAnsi="Arial" w:cs="Arial"/>
          <w:sz w:val="24"/>
          <w:szCs w:val="24"/>
        </w:rPr>
        <w:t>l frente a los delitos sexuales cometidos en entornos escolares y garantizar que las investigaciones se conduzcan bajo parámetros internacionales de derechos humanos, género y protección infantil.</w:t>
      </w:r>
    </w:p>
    <w:p w14:paraId="6394853B" w14:textId="77777777" w:rsidR="00EC1877" w:rsidRDefault="00EC18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C816CD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artículo 6, fracción II, de la Ley Orgánica de la </w:t>
      </w:r>
      <w:proofErr w:type="gramStart"/>
      <w:r>
        <w:rPr>
          <w:rFonts w:ascii="Arial" w:hAnsi="Arial" w:cs="Arial"/>
          <w:sz w:val="24"/>
          <w:szCs w:val="24"/>
        </w:rPr>
        <w:t>Fisca</w:t>
      </w:r>
      <w:r>
        <w:rPr>
          <w:rFonts w:ascii="Arial" w:hAnsi="Arial" w:cs="Arial"/>
          <w:sz w:val="24"/>
          <w:szCs w:val="24"/>
        </w:rPr>
        <w:t>lía General</w:t>
      </w:r>
      <w:proofErr w:type="gramEnd"/>
      <w:r>
        <w:rPr>
          <w:rFonts w:ascii="Arial" w:hAnsi="Arial" w:cs="Arial"/>
          <w:sz w:val="24"/>
          <w:szCs w:val="24"/>
        </w:rPr>
        <w:t xml:space="preserve"> del Estado de Chihuahua establece que corresponde al Fiscal General 'proponer al Ejecutivo del Estado los proyectos de reglamentos, decretos, acuerdos, convenios, protocolos, instrumentos y acciones relativas a los asuntos de la competencia de </w:t>
      </w:r>
      <w:r>
        <w:rPr>
          <w:rFonts w:ascii="Arial" w:hAnsi="Arial" w:cs="Arial"/>
          <w:sz w:val="24"/>
          <w:szCs w:val="24"/>
        </w:rPr>
        <w:t>la Fiscalía General'. Este precepto otorga la base legal para que la Fiscalía elabore y proponga un proyecto de protocolo especializado, dotando de plena viabilidad jurídica al presente exhorto.</w:t>
      </w:r>
    </w:p>
    <w:p w14:paraId="3E1FA5AB" w14:textId="77777777" w:rsidR="00EC1877" w:rsidRDefault="00EC18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2359E0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todo lo anteriormente expuesto, se somete a la considera</w:t>
      </w:r>
      <w:r>
        <w:rPr>
          <w:rFonts w:ascii="Arial" w:hAnsi="Arial" w:cs="Arial"/>
          <w:sz w:val="24"/>
          <w:szCs w:val="24"/>
        </w:rPr>
        <w:t>ción de esta Soberanía el siguiente:</w:t>
      </w:r>
    </w:p>
    <w:p w14:paraId="6A3BCE86" w14:textId="77777777" w:rsidR="00EC1877" w:rsidRDefault="00EC18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36ED6F4" w14:textId="77777777" w:rsidR="00EC1877" w:rsidRDefault="00BB2E9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PUNTO DE ACUERDO.</w:t>
      </w:r>
    </w:p>
    <w:p w14:paraId="1E39142D" w14:textId="77777777" w:rsidR="00EC1877" w:rsidRDefault="00EC18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EC7CB68" w14:textId="77777777" w:rsidR="00EC1877" w:rsidRDefault="00BB2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ÚNICO.– La Sexagésima Octava Legislatura del Honorable Congreso del Estado de Chihuahua exhorta respetuosamente a la Fiscalía General del Estado, para que, en coordinación con las </w:t>
      </w:r>
      <w:r>
        <w:rPr>
          <w:rFonts w:ascii="Arial" w:hAnsi="Arial" w:cs="Arial"/>
          <w:b/>
          <w:bCs/>
          <w:sz w:val="24"/>
          <w:szCs w:val="24"/>
        </w:rPr>
        <w:t>autoridades competentes y organismos especializados en materia de derechos humanos, educación y protección de niñas, niños y adolescentes, elabore, publique e implemente un Protocolo de Actuación para la investigación de delitos sexuales cometidos en contr</w:t>
      </w:r>
      <w:r>
        <w:rPr>
          <w:rFonts w:ascii="Arial" w:hAnsi="Arial" w:cs="Arial"/>
          <w:b/>
          <w:bCs/>
          <w:sz w:val="24"/>
          <w:szCs w:val="24"/>
        </w:rPr>
        <w:t>a de menores de edad dentro de instituciones educativas, de cuidado y custodia, con perspectiva de infancia, género y derechos humanos.</w:t>
      </w:r>
    </w:p>
    <w:p w14:paraId="21D30C15" w14:textId="77777777" w:rsidR="00EC1877" w:rsidRDefault="00EC1877">
      <w:pPr>
        <w:spacing w:after="0"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3883370E" w14:textId="77777777" w:rsidR="00EC1877" w:rsidRDefault="00BB2E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ECONÓMICO.</w:t>
      </w:r>
      <w:r>
        <w:rPr>
          <w:rFonts w:ascii="Arial" w:hAnsi="Arial" w:cs="Arial"/>
          <w:sz w:val="24"/>
          <w:szCs w:val="24"/>
        </w:rPr>
        <w:t xml:space="preserve"> Aprobado que sea, túrnese a la Secretaría para que elabore la Minuta de Acuerdo correspondiente</w:t>
      </w:r>
    </w:p>
    <w:p w14:paraId="1CE3DB1F" w14:textId="77777777" w:rsidR="00EC1877" w:rsidRDefault="00EC1877">
      <w:pPr>
        <w:autoSpaceDE w:val="0"/>
        <w:autoSpaceDN w:val="0"/>
        <w:adjustRightInd w:val="0"/>
        <w:spacing w:after="0" w:line="360" w:lineRule="auto"/>
        <w:ind w:right="49"/>
        <w:jc w:val="both"/>
        <w:rPr>
          <w:rFonts w:ascii="Century Gothic" w:hAnsi="Century Gothic" w:cs="Arial"/>
          <w:sz w:val="24"/>
          <w:szCs w:val="24"/>
        </w:rPr>
      </w:pPr>
    </w:p>
    <w:p w14:paraId="6C59EF3A" w14:textId="77777777" w:rsidR="00EC1877" w:rsidRDefault="00BB2E9B">
      <w:pPr>
        <w:autoSpaceDE w:val="0"/>
        <w:autoSpaceDN w:val="0"/>
        <w:adjustRightInd w:val="0"/>
        <w:spacing w:after="0"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Dado en el </w:t>
      </w:r>
      <w:r>
        <w:rPr>
          <w:rFonts w:ascii="Arial" w:hAnsi="Arial" w:cs="Arial"/>
          <w:sz w:val="24"/>
          <w:szCs w:val="24"/>
        </w:rPr>
        <w:t xml:space="preserve">H. Congreso del Estado de Chihuahua, a los </w:t>
      </w: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días del mes de </w:t>
      </w:r>
      <w:r>
        <w:rPr>
          <w:rFonts w:ascii="Arial" w:hAnsi="Arial" w:cs="Arial"/>
          <w:sz w:val="24"/>
          <w:szCs w:val="24"/>
        </w:rPr>
        <w:t>noviembre</w:t>
      </w:r>
      <w:r>
        <w:rPr>
          <w:rFonts w:ascii="Arial" w:hAnsi="Arial" w:cs="Arial"/>
          <w:sz w:val="24"/>
          <w:szCs w:val="24"/>
        </w:rPr>
        <w:t xml:space="preserve"> de dos mil veinticinco.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61"/>
        <w:gridCol w:w="4360"/>
      </w:tblGrid>
      <w:tr w:rsidR="00EC1877" w14:paraId="79FB3F5F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B8266" w14:textId="77777777" w:rsidR="00EC1877" w:rsidRDefault="00EC1877">
            <w:pPr>
              <w:spacing w:line="360" w:lineRule="auto"/>
              <w:jc w:val="center"/>
              <w:rPr>
                <w:rFonts w:ascii="Century Gothic" w:eastAsia="DengXian Light" w:hAnsi="Century Gothic" w:cs="Arial"/>
                <w:b/>
                <w:bCs/>
                <w:sz w:val="24"/>
                <w:szCs w:val="24"/>
              </w:rPr>
            </w:pPr>
          </w:p>
          <w:p w14:paraId="7306667B" w14:textId="77777777" w:rsidR="00EC1877" w:rsidRDefault="00EC1877">
            <w:pPr>
              <w:spacing w:line="360" w:lineRule="auto"/>
              <w:jc w:val="center"/>
              <w:rPr>
                <w:rFonts w:ascii="Century Gothic" w:eastAsia="DengXian Light" w:hAnsi="Century Gothic" w:cs="Arial"/>
                <w:b/>
                <w:bCs/>
                <w:sz w:val="24"/>
                <w:szCs w:val="24"/>
              </w:rPr>
            </w:pPr>
          </w:p>
          <w:p w14:paraId="57967E4F" w14:textId="77777777" w:rsidR="00EC1877" w:rsidRDefault="00EC1877">
            <w:pPr>
              <w:spacing w:line="360" w:lineRule="auto"/>
              <w:jc w:val="center"/>
              <w:rPr>
                <w:rFonts w:ascii="Century Gothic" w:eastAsia="DengXian Light" w:hAnsi="Century Gothic" w:cs="Arial"/>
                <w:b/>
                <w:bCs/>
                <w:sz w:val="24"/>
                <w:szCs w:val="24"/>
              </w:rPr>
            </w:pPr>
          </w:p>
          <w:p w14:paraId="43787FD4" w14:textId="77777777" w:rsidR="00EC1877" w:rsidRDefault="00EC1877">
            <w:pPr>
              <w:spacing w:line="360" w:lineRule="auto"/>
              <w:jc w:val="center"/>
              <w:rPr>
                <w:rFonts w:ascii="Century Gothic" w:eastAsia="DengXian Light" w:hAnsi="Century Gothic" w:cs="Arial"/>
                <w:b/>
                <w:bCs/>
                <w:sz w:val="24"/>
                <w:szCs w:val="24"/>
              </w:rPr>
            </w:pPr>
          </w:p>
          <w:p w14:paraId="00CCCDC6" w14:textId="77777777" w:rsidR="00EC1877" w:rsidRDefault="00EC1877">
            <w:pPr>
              <w:spacing w:line="360" w:lineRule="auto"/>
              <w:jc w:val="center"/>
              <w:rPr>
                <w:rFonts w:ascii="Century Gothic" w:eastAsia="DengXian Light" w:hAnsi="Century Gothic" w:cs="Arial"/>
                <w:b/>
                <w:bCs/>
                <w:sz w:val="24"/>
                <w:szCs w:val="24"/>
              </w:rPr>
            </w:pPr>
          </w:p>
          <w:p w14:paraId="4BFECBAB" w14:textId="77777777" w:rsidR="00EC1877" w:rsidRDefault="00EC1877">
            <w:pPr>
              <w:spacing w:line="360" w:lineRule="auto"/>
              <w:jc w:val="center"/>
              <w:rPr>
                <w:rFonts w:ascii="Century Gothic" w:eastAsia="DengXian Light" w:hAnsi="Century Gothic" w:cs="Arial"/>
                <w:b/>
                <w:bCs/>
                <w:sz w:val="24"/>
                <w:szCs w:val="24"/>
              </w:rPr>
            </w:pPr>
          </w:p>
          <w:p w14:paraId="08D83571" w14:textId="77777777" w:rsidR="00EC1877" w:rsidRDefault="00BB2E9B">
            <w:pPr>
              <w:spacing w:line="360" w:lineRule="auto"/>
              <w:jc w:val="center"/>
              <w:rPr>
                <w:rFonts w:ascii="Century Gothic" w:eastAsia="DengXian Light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eastAsia="DengXian Light" w:hAnsi="Century Gothic" w:cs="Arial"/>
                <w:b/>
                <w:bCs/>
                <w:sz w:val="24"/>
                <w:szCs w:val="24"/>
              </w:rPr>
              <w:lastRenderedPageBreak/>
              <w:t>ATENTAMENTE</w:t>
            </w:r>
          </w:p>
          <w:p w14:paraId="6986F894" w14:textId="77777777" w:rsidR="00EC1877" w:rsidRDefault="00EC1877">
            <w:pPr>
              <w:spacing w:line="36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</w:p>
        </w:tc>
      </w:tr>
      <w:tr w:rsidR="00EC1877" w14:paraId="2FF18758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B1826" w14:textId="77777777" w:rsidR="00EC1877" w:rsidRDefault="00BB2E9B">
            <w:pPr>
              <w:spacing w:line="360" w:lineRule="auto"/>
              <w:jc w:val="center"/>
              <w:rPr>
                <w:rFonts w:ascii="Century Gothic" w:eastAsia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Arial"/>
                <w:b/>
                <w:sz w:val="24"/>
                <w:szCs w:val="24"/>
              </w:rPr>
              <w:lastRenderedPageBreak/>
              <w:t>DIP. LETICIA ORTEGA MÁYNEZ</w:t>
            </w:r>
          </w:p>
          <w:p w14:paraId="429A2E5D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EC1877" w14:paraId="2DBACB2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E2017A" w14:textId="77777777" w:rsidR="00EC1877" w:rsidRDefault="00EC1877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</w:p>
          <w:p w14:paraId="7C5F7C3C" w14:textId="77777777" w:rsidR="00EC1877" w:rsidRDefault="00EC1877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</w:p>
          <w:p w14:paraId="762DFE9B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5D8D8767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19906771" w14:textId="77777777" w:rsidR="00EC1877" w:rsidRDefault="00BB2E9B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DIP. EDIN CUAUHTÉMOC ESTRADA SOTELO</w:t>
            </w:r>
          </w:p>
          <w:p w14:paraId="53DD188A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0352B4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6E88A4CB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0B27050C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72F9563A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626DEA1A" w14:textId="77777777" w:rsidR="00EC1877" w:rsidRDefault="00BB2E9B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DIP. ELIZABETH GUZMÁN ARGUETA</w:t>
            </w:r>
          </w:p>
        </w:tc>
      </w:tr>
      <w:tr w:rsidR="00EC1877" w14:paraId="655AE8E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114E1E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1CEECDC3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105864DF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2A2266E0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04D16B22" w14:textId="77777777" w:rsidR="00EC1877" w:rsidRDefault="00BB2E9B">
            <w:pPr>
              <w:spacing w:line="360" w:lineRule="auto"/>
              <w:jc w:val="center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  <w:r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 xml:space="preserve">DIP. MAGDALENA RENTERÍA </w:t>
            </w:r>
            <w:r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PÉREZ</w:t>
            </w:r>
          </w:p>
          <w:p w14:paraId="71079CF7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1D909D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2541ABA2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63621C19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45DCD867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4466C1C8" w14:textId="77777777" w:rsidR="00EC1877" w:rsidRDefault="00BB2E9B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DIP. OSCAR DANIEL AVITIA ARELLANES</w:t>
            </w:r>
          </w:p>
          <w:p w14:paraId="3524F1BE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EC1877" w14:paraId="16BDA22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A6C34E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779F8729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3E112B9A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33C28897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48FED3EF" w14:textId="77777777" w:rsidR="00EC1877" w:rsidRDefault="00BB2E9B">
            <w:pPr>
              <w:spacing w:after="120" w:line="360" w:lineRule="auto"/>
              <w:jc w:val="center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  <w:r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DIP. ROSANA DÍAZ REYES</w:t>
            </w:r>
          </w:p>
          <w:p w14:paraId="731551CF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F0782D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0B3F0123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0B1B4454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30190F3A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4C69ED33" w14:textId="77777777" w:rsidR="00EC1877" w:rsidRDefault="00BB2E9B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DIP. HERMINIA GÓMEZ CARRASCO</w:t>
            </w:r>
          </w:p>
        </w:tc>
      </w:tr>
      <w:tr w:rsidR="00EC1877" w14:paraId="30406FB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02B034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762E5BEE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6B89BDA2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1E3CD994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1F73C1A2" w14:textId="77777777" w:rsidR="00EC1877" w:rsidRDefault="00BB2E9B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 xml:space="preserve">DIP. </w:t>
            </w:r>
            <w:r>
              <w:rPr>
                <w:rFonts w:ascii="Century Gothic" w:eastAsia="Century Gothic" w:hAnsi="Century Gothic" w:cs="Arial"/>
                <w:b/>
                <w:sz w:val="24"/>
                <w:szCs w:val="24"/>
              </w:rPr>
              <w:t>EDITH PALMA ONTIVEROS</w:t>
            </w:r>
          </w:p>
          <w:p w14:paraId="36D8268A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4B48F0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6C39D9A1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025EE968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0E2CEE43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6CBD2BA6" w14:textId="77777777" w:rsidR="00EC1877" w:rsidRDefault="00BB2E9B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DIP. MARÍA ANTONIETA PÉREZ REYES</w:t>
            </w:r>
          </w:p>
        </w:tc>
      </w:tr>
      <w:tr w:rsidR="00EC1877" w14:paraId="15C58B7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09EB30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1E905D04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234D2E5C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62F832F9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66C85318" w14:textId="77777777" w:rsidR="00EC1877" w:rsidRDefault="00BB2E9B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>DIP. JAEL ARGÜELLES DÍAZ</w:t>
            </w:r>
          </w:p>
          <w:p w14:paraId="2E28BB5A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A83A4B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2FD13DD7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093E3ED8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33FDA0DD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24110133" w14:textId="77777777" w:rsidR="00EC1877" w:rsidRDefault="00BB2E9B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lastRenderedPageBreak/>
              <w:t>DIP. BRENDA FRANCISCA RÍOS PRIETO</w:t>
            </w:r>
          </w:p>
          <w:p w14:paraId="3B67BCDF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EC1877" w14:paraId="7EEAB41A" w14:textId="77777777"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3D62D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1ABC71EA" w14:textId="77777777" w:rsidR="00EC1877" w:rsidRDefault="00BB2E9B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DIP. PEDRO TORRES ESTRADA</w:t>
            </w:r>
          </w:p>
          <w:p w14:paraId="4A6AD142" w14:textId="77777777" w:rsidR="00EC1877" w:rsidRDefault="00EC1877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EC1877" w14:paraId="2D3B4291" w14:textId="77777777">
        <w:trPr>
          <w:trHeight w:val="2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5591" w14:textId="77777777" w:rsidR="00EC1877" w:rsidRDefault="00EC1877">
            <w:pPr>
              <w:spacing w:line="36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bookmarkStart w:id="0" w:name="_Hlk212621741"/>
    <w:p w14:paraId="55757291" w14:textId="77777777" w:rsidR="00EC1877" w:rsidRDefault="00BB2E9B">
      <w:pPr>
        <w:spacing w:line="360" w:lineRule="auto"/>
        <w:jc w:val="both"/>
        <w:rPr>
          <w:rFonts w:ascii="Century Gothic" w:hAnsi="Century Gothic" w:cs="Arial"/>
          <w:kern w:val="2"/>
          <w:sz w:val="24"/>
          <w:szCs w:val="24"/>
          <w14:ligatures w14:val="standardContextual"/>
        </w:rPr>
      </w:pPr>
      <w:r>
        <w:rPr>
          <w:rFonts w:ascii="Century Gothic" w:hAnsi="Century Gothic" w:cs="Arial"/>
          <w:kern w:val="2"/>
          <w:sz w:val="24"/>
          <w:szCs w:val="24"/>
          <w14:ligatures w14:val="standardContextual"/>
        </w:rPr>
        <w:fldChar w:fldCharType="begin"/>
      </w:r>
      <w:r>
        <w:rPr>
          <w:rFonts w:ascii="Century Gothic" w:hAnsi="Century Gothic" w:cs="Arial"/>
          <w:kern w:val="2"/>
          <w:sz w:val="24"/>
          <w:szCs w:val="24"/>
          <w14:ligatures w14:val="standardContextual"/>
        </w:rPr>
        <w:instrText xml:space="preserve"> HYPERLINK "https://blog.derechosinfancia.org.mx/2024/05/20/ficha-tecnica-infancia-y-adolescencia-en-chihuahua-mayo-2024/" </w:instrText>
      </w:r>
      <w:r>
        <w:rPr>
          <w:rFonts w:ascii="Century Gothic" w:hAnsi="Century Gothic" w:cs="Arial"/>
          <w:kern w:val="2"/>
          <w:sz w:val="24"/>
          <w:szCs w:val="24"/>
          <w14:ligatures w14:val="standardContextual"/>
        </w:rPr>
        <w:fldChar w:fldCharType="separate"/>
      </w:r>
      <w:r>
        <w:rPr>
          <w:rStyle w:val="Hipervnculo"/>
          <w:rFonts w:ascii="Century Gothic" w:hAnsi="Century Gothic" w:cs="Arial"/>
          <w:kern w:val="2"/>
          <w:sz w:val="24"/>
          <w:szCs w:val="24"/>
          <w14:ligatures w14:val="standardContextual"/>
        </w:rPr>
        <w:t>https://blog.derechosinfancia.org.mx/2024/05/20/ficha-tecnica-infancia-y-adolescencia-en-chihuahua-mayo-2024/</w:t>
      </w:r>
      <w:r>
        <w:rPr>
          <w:rFonts w:ascii="Century Gothic" w:hAnsi="Century Gothic" w:cs="Arial"/>
          <w:kern w:val="2"/>
          <w:sz w:val="24"/>
          <w:szCs w:val="24"/>
          <w14:ligatures w14:val="standardContextual"/>
        </w:rPr>
        <w:fldChar w:fldCharType="end"/>
      </w:r>
    </w:p>
    <w:p w14:paraId="15B8FFDE" w14:textId="77777777" w:rsidR="00EC1877" w:rsidRDefault="00BB2E9B">
      <w:pPr>
        <w:spacing w:line="360" w:lineRule="auto"/>
        <w:jc w:val="both"/>
        <w:rPr>
          <w:rFonts w:ascii="Century Gothic" w:hAnsi="Century Gothic" w:cs="Arial"/>
          <w:kern w:val="2"/>
          <w:sz w:val="24"/>
          <w:szCs w:val="24"/>
          <w14:ligatures w14:val="standardContextual"/>
        </w:rPr>
      </w:pPr>
      <w:hyperlink r:id="rId6" w:history="1">
        <w:r>
          <w:rPr>
            <w:rStyle w:val="Hipervnculo"/>
            <w:rFonts w:ascii="Century Gothic" w:hAnsi="Century Gothic" w:cs="Arial"/>
            <w:kern w:val="2"/>
            <w:sz w:val="24"/>
            <w:szCs w:val="24"/>
            <w14:ligatures w14:val="standardContextual"/>
          </w:rPr>
          <w:t>https://ficosec.org/violencia-en-el-ambito-escolar-en-el-estado-de-chihuahua/?utm_source=</w:t>
        </w:r>
      </w:hyperlink>
    </w:p>
    <w:p w14:paraId="753C9D4B" w14:textId="77777777" w:rsidR="00EC1877" w:rsidRDefault="00BB2E9B">
      <w:pPr>
        <w:spacing w:line="360" w:lineRule="auto"/>
        <w:jc w:val="both"/>
        <w:rPr>
          <w:rFonts w:ascii="Century Gothic" w:hAnsi="Century Gothic" w:cs="Arial"/>
          <w:kern w:val="2"/>
          <w:sz w:val="24"/>
          <w:szCs w:val="24"/>
          <w14:ligatures w14:val="standardContextual"/>
        </w:rPr>
      </w:pPr>
      <w:hyperlink r:id="rId7" w:history="1">
        <w:r>
          <w:rPr>
            <w:rStyle w:val="Hipervnculo"/>
            <w:rFonts w:ascii="Century Gothic" w:hAnsi="Century Gothic" w:cs="Arial"/>
            <w:kern w:val="2"/>
            <w:sz w:val="24"/>
            <w:szCs w:val="24"/>
            <w14:ligatures w14:val="standardContextual"/>
          </w:rPr>
          <w:t>https://www.jornada.com.mx/noticia/2025/04/11/estados/investigan-71-delitos-de-abuso-sexual-y-maltrato-infantil-en-chihuahua</w:t>
        </w:r>
      </w:hyperlink>
    </w:p>
    <w:bookmarkEnd w:id="0"/>
    <w:p w14:paraId="316B488C" w14:textId="77777777" w:rsidR="00EC1877" w:rsidRDefault="00EC1877">
      <w:pPr>
        <w:spacing w:line="360" w:lineRule="auto"/>
        <w:jc w:val="both"/>
        <w:rPr>
          <w:rFonts w:ascii="Century Gothic" w:hAnsi="Century Gothic" w:cs="Arial"/>
          <w:kern w:val="2"/>
          <w:sz w:val="24"/>
          <w:szCs w:val="24"/>
          <w14:ligatures w14:val="standardContextual"/>
        </w:rPr>
      </w:pPr>
    </w:p>
    <w:p w14:paraId="7BCAF7E6" w14:textId="77777777" w:rsidR="00EC1877" w:rsidRDefault="00EC1877">
      <w:pPr>
        <w:spacing w:line="360" w:lineRule="auto"/>
        <w:jc w:val="both"/>
        <w:rPr>
          <w:rFonts w:ascii="Century Gothic" w:hAnsi="Century Gothic" w:cs="Arial"/>
          <w:kern w:val="2"/>
          <w:sz w:val="24"/>
          <w:szCs w:val="24"/>
          <w14:ligatures w14:val="standardContextual"/>
        </w:rPr>
      </w:pPr>
    </w:p>
    <w:p w14:paraId="349538FA" w14:textId="77777777" w:rsidR="00EC1877" w:rsidRDefault="00EC1877">
      <w:pPr>
        <w:spacing w:line="360" w:lineRule="auto"/>
        <w:rPr>
          <w:rFonts w:ascii="Century Gothic" w:hAnsi="Century Gothic" w:cs="Arial"/>
          <w:sz w:val="24"/>
          <w:szCs w:val="24"/>
        </w:rPr>
      </w:pPr>
    </w:p>
    <w:p w14:paraId="5BB7A390" w14:textId="77777777" w:rsidR="00EC1877" w:rsidRDefault="00EC1877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2F0AB5DD" w14:textId="77777777" w:rsidR="00EC1877" w:rsidRDefault="00EC1877">
      <w:pPr>
        <w:rPr>
          <w:rFonts w:ascii="Century Gothic" w:hAnsi="Century Gothic"/>
          <w:sz w:val="24"/>
          <w:szCs w:val="24"/>
        </w:rPr>
      </w:pPr>
    </w:p>
    <w:p w14:paraId="48EF9E00" w14:textId="77777777" w:rsidR="00EC1877" w:rsidRDefault="00EC1877">
      <w:pPr>
        <w:spacing w:line="360" w:lineRule="auto"/>
        <w:ind w:right="-91"/>
        <w:jc w:val="both"/>
        <w:rPr>
          <w:b/>
          <w:bCs/>
        </w:rPr>
      </w:pPr>
    </w:p>
    <w:p w14:paraId="2B8D411D" w14:textId="77777777" w:rsidR="00EC1877" w:rsidRDefault="00EC1877">
      <w:pPr>
        <w:spacing w:line="360" w:lineRule="auto"/>
        <w:ind w:right="-91"/>
        <w:jc w:val="both"/>
        <w:rPr>
          <w:b/>
          <w:bCs/>
        </w:rPr>
      </w:pPr>
    </w:p>
    <w:p w14:paraId="6507CA94" w14:textId="77777777" w:rsidR="00EC1877" w:rsidRDefault="00EC1877"/>
    <w:p w14:paraId="76F36FD2" w14:textId="77777777" w:rsidR="00EC1877" w:rsidRDefault="00EC1877">
      <w:pPr>
        <w:autoSpaceDE w:val="0"/>
        <w:autoSpaceDN w:val="0"/>
        <w:adjustRightInd w:val="0"/>
        <w:spacing w:after="0" w:line="360" w:lineRule="auto"/>
        <w:ind w:right="49"/>
        <w:jc w:val="both"/>
        <w:rPr>
          <w:rFonts w:ascii="Century Gothic" w:hAnsi="Century Gothic" w:cs="Arial"/>
          <w:sz w:val="24"/>
          <w:szCs w:val="24"/>
        </w:rPr>
      </w:pPr>
    </w:p>
    <w:p w14:paraId="7415C63E" w14:textId="77777777" w:rsidR="00EC1877" w:rsidRDefault="00EC1877">
      <w:pPr>
        <w:spacing w:line="360" w:lineRule="auto"/>
        <w:rPr>
          <w:rFonts w:ascii="Century Gothic" w:hAnsi="Century Gothic"/>
        </w:rPr>
      </w:pPr>
    </w:p>
    <w:p w14:paraId="02633B94" w14:textId="77777777" w:rsidR="00EC1877" w:rsidRDefault="00EC1877"/>
    <w:sectPr w:rsidR="00EC1877">
      <w:headerReference w:type="default" r:id="rId8"/>
      <w:footerReference w:type="default" r:id="rId9"/>
      <w:pgSz w:w="12240" w:h="15840"/>
      <w:pgMar w:top="238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BD373" w14:textId="77777777" w:rsidR="00EC1877" w:rsidRDefault="00BB2E9B">
      <w:pPr>
        <w:spacing w:line="240" w:lineRule="auto"/>
      </w:pPr>
      <w:r>
        <w:separator/>
      </w:r>
    </w:p>
  </w:endnote>
  <w:endnote w:type="continuationSeparator" w:id="0">
    <w:p w14:paraId="63DFEC2D" w14:textId="77777777" w:rsidR="00EC1877" w:rsidRDefault="00BB2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061953"/>
    </w:sdtPr>
    <w:sdtEndPr/>
    <w:sdtContent>
      <w:p w14:paraId="735E7C0D" w14:textId="77777777" w:rsidR="00EC1877" w:rsidRDefault="00BB2E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8</w:t>
        </w:r>
        <w:r>
          <w:fldChar w:fldCharType="end"/>
        </w:r>
      </w:p>
    </w:sdtContent>
  </w:sdt>
  <w:p w14:paraId="0AC9E78D" w14:textId="77777777" w:rsidR="00EC1877" w:rsidRDefault="00BB2E9B">
    <w:pPr>
      <w:pStyle w:val="Piedepgina"/>
    </w:pPr>
    <w:hyperlink r:id="rId1" w:history="1">
      <w:r>
        <w:rPr>
          <w:rStyle w:val="Hipervnculo"/>
        </w:rPr>
        <w:t>https://blog.derechosinfancia.org.mx/2024/05/20/ficha-tecnica-infancia-y-adolescencia-en-chihuahua-mayo-2024/</w:t>
      </w:r>
    </w:hyperlink>
  </w:p>
  <w:p w14:paraId="7EC4C431" w14:textId="77777777" w:rsidR="00EC1877" w:rsidRDefault="00BB2E9B">
    <w:pPr>
      <w:pStyle w:val="Piedepgina"/>
    </w:pPr>
    <w:hyperlink r:id="rId2" w:history="1">
      <w:r>
        <w:rPr>
          <w:rStyle w:val="Hipervnculo"/>
        </w:rPr>
        <w:t>https://ficosec.org/violencia-en-el-ambito-escolar-en-el-estado-de-chihuahua/?utm_source=</w:t>
      </w:r>
    </w:hyperlink>
  </w:p>
  <w:p w14:paraId="5DA77FF0" w14:textId="77777777" w:rsidR="00EC1877" w:rsidRDefault="00BB2E9B">
    <w:pPr>
      <w:pStyle w:val="Piedepgina"/>
    </w:pPr>
    <w:hyperlink r:id="rId3" w:history="1">
      <w:r>
        <w:rPr>
          <w:rStyle w:val="Hipervnculo"/>
        </w:rPr>
        <w:t>https://www.jornada.com.mx/noticia/2025/04/11/estados/investigan-71-delitos-de-abuso-sexual-y-maltrato-infantil-en-chihuahua</w:t>
      </w:r>
    </w:hyperlink>
  </w:p>
  <w:p w14:paraId="7DE40901" w14:textId="77777777" w:rsidR="00EC1877" w:rsidRDefault="00EC18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4467" w14:textId="77777777" w:rsidR="00EC1877" w:rsidRDefault="00BB2E9B">
      <w:pPr>
        <w:spacing w:after="0"/>
      </w:pPr>
      <w:r>
        <w:separator/>
      </w:r>
    </w:p>
  </w:footnote>
  <w:footnote w:type="continuationSeparator" w:id="0">
    <w:p w14:paraId="4B570FD5" w14:textId="77777777" w:rsidR="00EC1877" w:rsidRDefault="00BB2E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26C8" w14:textId="77777777" w:rsidR="00EC1877" w:rsidRDefault="00EC1877">
    <w:pPr>
      <w:pStyle w:val="Encabezado"/>
      <w:jc w:val="right"/>
      <w:rPr>
        <w:rFonts w:ascii="Bodoni MT Condensed" w:hAnsi="Bodoni MT Condensed" w:cs="Arial"/>
        <w:sz w:val="28"/>
        <w:szCs w:val="28"/>
      </w:rPr>
    </w:pPr>
  </w:p>
  <w:p w14:paraId="23E57F3B" w14:textId="77777777" w:rsidR="00EC1877" w:rsidRDefault="00EC1877">
    <w:pPr>
      <w:pStyle w:val="Encabezado"/>
      <w:jc w:val="right"/>
      <w:rPr>
        <w:rFonts w:ascii="Bodoni MT Condensed" w:hAnsi="Bodoni MT Condensed" w:cs="Arial"/>
        <w:sz w:val="28"/>
        <w:szCs w:val="28"/>
      </w:rPr>
    </w:pPr>
  </w:p>
  <w:p w14:paraId="364EB33B" w14:textId="77777777" w:rsidR="00EC1877" w:rsidRDefault="00EC1877">
    <w:pPr>
      <w:pStyle w:val="Encabezad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CBD"/>
    <w:rsid w:val="00031156"/>
    <w:rsid w:val="00053790"/>
    <w:rsid w:val="001B58DA"/>
    <w:rsid w:val="001F3263"/>
    <w:rsid w:val="00242E8A"/>
    <w:rsid w:val="002464CE"/>
    <w:rsid w:val="002F127B"/>
    <w:rsid w:val="00333A11"/>
    <w:rsid w:val="003C17C7"/>
    <w:rsid w:val="003E0911"/>
    <w:rsid w:val="0040763A"/>
    <w:rsid w:val="00434D03"/>
    <w:rsid w:val="004B6428"/>
    <w:rsid w:val="005170A5"/>
    <w:rsid w:val="006B6610"/>
    <w:rsid w:val="00717CBD"/>
    <w:rsid w:val="007428A6"/>
    <w:rsid w:val="00756A69"/>
    <w:rsid w:val="00904659"/>
    <w:rsid w:val="00954673"/>
    <w:rsid w:val="00A23385"/>
    <w:rsid w:val="00A56F3D"/>
    <w:rsid w:val="00B42FF1"/>
    <w:rsid w:val="00B707D1"/>
    <w:rsid w:val="00BB2E9B"/>
    <w:rsid w:val="00C77CD2"/>
    <w:rsid w:val="00D434E3"/>
    <w:rsid w:val="00D62144"/>
    <w:rsid w:val="00E31EAB"/>
    <w:rsid w:val="00E86FCA"/>
    <w:rsid w:val="00EB73CB"/>
    <w:rsid w:val="00EC1877"/>
    <w:rsid w:val="00ED0C30"/>
    <w:rsid w:val="00EF3041"/>
    <w:rsid w:val="00F147F9"/>
    <w:rsid w:val="00F9485A"/>
    <w:rsid w:val="00FC7DE3"/>
    <w:rsid w:val="43BD1ABF"/>
    <w:rsid w:val="55D932E4"/>
    <w:rsid w:val="6FE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5BC83"/>
  <w15:docId w15:val="{637A344C-2E38-435B-A588-9A370DB7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uv3um">
    <w:name w:val="uv3um"/>
    <w:basedOn w:val="Fuentedeprrafopredeter"/>
    <w:qFormat/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Pr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jornada.com.mx/noticia/2025/04/11/estados/investigan-71-delitos-de-abuso-sexual-y-maltrato-infantil-en-chihuah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cosec.org/violencia-en-el-ambito-escolar-en-el-estado-de-chihuahua/?utm_source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ornada.com.mx/noticia/2025/04/11/estados/investigan-71-delitos-de-abuso-sexual-y-maltrato-infantil-en-chihuahua" TargetMode="External"/><Relationship Id="rId2" Type="http://schemas.openxmlformats.org/officeDocument/2006/relationships/hyperlink" Target="https://ficosec.org/violencia-en-el-ambito-escolar-en-el-estado-de-chihuahua/?utm_source=" TargetMode="External"/><Relationship Id="rId1" Type="http://schemas.openxmlformats.org/officeDocument/2006/relationships/hyperlink" Target="https://blog.derechosinfancia.org.mx/2024/05/20/ficha-tecnica-infancia-y-adolescencia-en-chihuahua-mayo-2024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1488</Words>
  <Characters>8187</Characters>
  <Application>Microsoft Office Word</Application>
  <DocSecurity>0</DocSecurity>
  <Lines>68</Lines>
  <Paragraphs>19</Paragraphs>
  <ScaleCrop>false</ScaleCrop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Ivonne</dc:creator>
  <cp:lastModifiedBy>Andrea Daniela Flores Chacon</cp:lastModifiedBy>
  <cp:revision>2</cp:revision>
  <cp:lastPrinted>2025-10-29T15:16:00Z</cp:lastPrinted>
  <dcterms:created xsi:type="dcterms:W3CDTF">2025-11-10T17:22:00Z</dcterms:created>
  <dcterms:modified xsi:type="dcterms:W3CDTF">2025-11-10T17:22:00Z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2058-12.2.0.23131</vt:lpwstr>
  </property>
  <property fmtid="{D5CDD505-2E9C-101B-9397-08002B2CF9AE}" pid="3" name="ICV">
    <vt:lpwstr>FD6E8D18758B42298748E236EF223041_13</vt:lpwstr>
  </property>
</Properties>
</file>