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F0FD6" w:rsidRDefault="001E42BE" w:rsidP="008F0FD6">
      <w:pPr>
        <w:spacing w:after="0"/>
        <w:jc w:val="both"/>
        <w:rPr>
          <w:rFonts w:ascii="Century Gothic" w:hAnsi="Century Gothic" w:cs="Arial"/>
          <w:sz w:val="28"/>
          <w:szCs w:val="28"/>
          <w:lang w:val="es-MX"/>
        </w:rPr>
      </w:pPr>
    </w:p>
    <w:p w14:paraId="7F89C0F1" w14:textId="77777777" w:rsidR="001E42BE" w:rsidRPr="008F0FD6" w:rsidRDefault="001E42BE" w:rsidP="008F0FD6">
      <w:pPr>
        <w:spacing w:after="0" w:line="240" w:lineRule="auto"/>
        <w:jc w:val="both"/>
        <w:rPr>
          <w:rFonts w:ascii="Century Gothic" w:hAnsi="Century Gothic" w:cs="Arial"/>
          <w:sz w:val="28"/>
          <w:szCs w:val="28"/>
          <w:lang w:val="es-MX"/>
        </w:rPr>
      </w:pPr>
    </w:p>
    <w:p w14:paraId="62BBD19D" w14:textId="77777777" w:rsidR="001E42BE" w:rsidRPr="008F0FD6" w:rsidRDefault="001E42BE" w:rsidP="008F0FD6">
      <w:pPr>
        <w:spacing w:after="0" w:line="240" w:lineRule="auto"/>
        <w:jc w:val="both"/>
        <w:rPr>
          <w:rFonts w:ascii="Century Gothic" w:hAnsi="Century Gothic" w:cs="Arial"/>
          <w:sz w:val="28"/>
          <w:szCs w:val="28"/>
          <w:lang w:val="es-MX"/>
        </w:rPr>
      </w:pPr>
    </w:p>
    <w:p w14:paraId="4FA4B166" w14:textId="77777777" w:rsidR="002360EA" w:rsidRPr="002360EA" w:rsidRDefault="002360EA" w:rsidP="002360EA">
      <w:pPr>
        <w:jc w:val="both"/>
        <w:rPr>
          <w:rFonts w:ascii="Century Gothic" w:hAnsi="Century Gothic"/>
          <w:b/>
          <w:sz w:val="28"/>
          <w:szCs w:val="28"/>
        </w:rPr>
      </w:pPr>
      <w:bookmarkStart w:id="0" w:name="_Hlk196750993"/>
      <w:r w:rsidRPr="002360EA">
        <w:rPr>
          <w:rFonts w:ascii="Century Gothic" w:hAnsi="Century Gothic"/>
          <w:b/>
          <w:sz w:val="28"/>
          <w:szCs w:val="28"/>
        </w:rPr>
        <w:t xml:space="preserve">H. CONGRESO DEL ESTADO DE CHIHUAHUA </w:t>
      </w:r>
    </w:p>
    <w:p w14:paraId="7C3666F9" w14:textId="77777777" w:rsidR="002360EA" w:rsidRPr="002360EA" w:rsidRDefault="002360EA" w:rsidP="002360EA">
      <w:pPr>
        <w:jc w:val="both"/>
        <w:rPr>
          <w:rFonts w:ascii="Century Gothic" w:hAnsi="Century Gothic"/>
          <w:b/>
          <w:sz w:val="28"/>
          <w:szCs w:val="28"/>
        </w:rPr>
      </w:pPr>
      <w:proofErr w:type="gramStart"/>
      <w:r w:rsidRPr="002360EA">
        <w:rPr>
          <w:rFonts w:ascii="Century Gothic" w:hAnsi="Century Gothic"/>
          <w:b/>
          <w:sz w:val="28"/>
          <w:szCs w:val="28"/>
        </w:rPr>
        <w:t>PRESENTE.-</w:t>
      </w:r>
      <w:proofErr w:type="gramEnd"/>
    </w:p>
    <w:bookmarkEnd w:id="0"/>
    <w:p w14:paraId="08318C3B" w14:textId="7E4C52EF" w:rsidR="00A126E3" w:rsidRDefault="00A126E3" w:rsidP="00A126E3">
      <w:pPr>
        <w:jc w:val="both"/>
        <w:rPr>
          <w:rFonts w:ascii="Century Gothic" w:hAnsi="Century Gothic"/>
          <w:sz w:val="28"/>
          <w:szCs w:val="28"/>
        </w:rPr>
      </w:pPr>
      <w:r w:rsidRPr="00A126E3">
        <w:rPr>
          <w:rFonts w:ascii="Century Gothic" w:hAnsi="Century Gothic"/>
          <w:sz w:val="28"/>
          <w:szCs w:val="28"/>
        </w:rPr>
        <w:t xml:space="preserve">Los suscritos en nuestro carácter de diputadas y diputados de la Sexagésima Octava Legislatura de H. Congreso del Estado de Chihuahua integrantes del Grupo Parlamentario de </w:t>
      </w:r>
      <w:r w:rsidRPr="00256DD7">
        <w:rPr>
          <w:rFonts w:ascii="Century Gothic" w:hAnsi="Century Gothic"/>
          <w:b/>
          <w:sz w:val="28"/>
          <w:szCs w:val="28"/>
        </w:rPr>
        <w:t>MORENA</w:t>
      </w:r>
      <w:r w:rsidRPr="00A126E3">
        <w:rPr>
          <w:rFonts w:ascii="Century Gothic" w:hAnsi="Century Gothic"/>
          <w:sz w:val="28"/>
          <w:szCs w:val="28"/>
        </w:rPr>
        <w:t xml:space="preserve"> con fundamento en lo dispuesto por los </w:t>
      </w:r>
      <w:r w:rsidRPr="00256DD7">
        <w:rPr>
          <w:rFonts w:ascii="Century Gothic" w:hAnsi="Century Gothic"/>
          <w:b/>
          <w:sz w:val="28"/>
          <w:szCs w:val="28"/>
        </w:rPr>
        <w:t xml:space="preserve">artículos 68 fracción </w:t>
      </w:r>
      <w:r w:rsidR="009201C9">
        <w:rPr>
          <w:rFonts w:ascii="Century Gothic" w:hAnsi="Century Gothic"/>
          <w:b/>
          <w:sz w:val="28"/>
          <w:szCs w:val="28"/>
        </w:rPr>
        <w:t>L</w:t>
      </w:r>
      <w:r w:rsidRPr="00256DD7">
        <w:rPr>
          <w:rFonts w:ascii="Century Gothic" w:hAnsi="Century Gothic"/>
          <w:b/>
          <w:sz w:val="28"/>
          <w:szCs w:val="28"/>
        </w:rPr>
        <w:t xml:space="preserve"> de la Constitución Política; 167 fracción I, 168 de la Ley Orgánica del Poder Legislativo; 75, 76 y 77 del Reglamento Interior de Prácticas Parlamentarias del Poder Legislativo;</w:t>
      </w:r>
      <w:r w:rsidRPr="00A126E3">
        <w:rPr>
          <w:rFonts w:ascii="Century Gothic" w:hAnsi="Century Gothic"/>
          <w:sz w:val="28"/>
          <w:szCs w:val="28"/>
        </w:rPr>
        <w:t xml:space="preserve"> todos ordenamientos del Estado de Chihuahua, comparecemos ante esta Soberanía, a fin de someter a consideración del Pleno el siguiente proyecto con carácter de </w:t>
      </w:r>
      <w:r w:rsidRPr="00256DD7">
        <w:rPr>
          <w:rFonts w:ascii="Century Gothic" w:hAnsi="Century Gothic"/>
          <w:b/>
          <w:sz w:val="28"/>
          <w:szCs w:val="28"/>
        </w:rPr>
        <w:t>DECRETO</w:t>
      </w:r>
      <w:r w:rsidRPr="00A126E3">
        <w:rPr>
          <w:rFonts w:ascii="Century Gothic" w:hAnsi="Century Gothic"/>
          <w:sz w:val="28"/>
          <w:szCs w:val="28"/>
        </w:rPr>
        <w:t xml:space="preserve">, a fin de </w:t>
      </w:r>
      <w:r w:rsidR="00ED6129">
        <w:rPr>
          <w:rFonts w:ascii="Century Gothic" w:hAnsi="Century Gothic"/>
          <w:b/>
          <w:sz w:val="28"/>
          <w:szCs w:val="28"/>
        </w:rPr>
        <w:t>adicionar</w:t>
      </w:r>
      <w:r w:rsidRPr="00A126E3">
        <w:rPr>
          <w:rFonts w:ascii="Century Gothic" w:hAnsi="Century Gothic"/>
          <w:sz w:val="28"/>
          <w:szCs w:val="28"/>
        </w:rPr>
        <w:t xml:space="preserve"> </w:t>
      </w:r>
      <w:r w:rsidR="00C73B8D">
        <w:rPr>
          <w:rFonts w:ascii="Century Gothic" w:hAnsi="Century Gothic"/>
          <w:sz w:val="28"/>
          <w:szCs w:val="28"/>
        </w:rPr>
        <w:t>una fracci</w:t>
      </w:r>
      <w:r w:rsidR="000E3E22">
        <w:rPr>
          <w:rFonts w:ascii="Century Gothic" w:hAnsi="Century Gothic"/>
          <w:sz w:val="28"/>
          <w:szCs w:val="28"/>
        </w:rPr>
        <w:t>ón XVIII</w:t>
      </w:r>
      <w:r w:rsidR="00C73B8D">
        <w:rPr>
          <w:rFonts w:ascii="Century Gothic" w:hAnsi="Century Gothic"/>
          <w:sz w:val="28"/>
          <w:szCs w:val="28"/>
        </w:rPr>
        <w:t xml:space="preserve"> al </w:t>
      </w:r>
      <w:r w:rsidR="000E3E22">
        <w:rPr>
          <w:rFonts w:ascii="Century Gothic" w:hAnsi="Century Gothic"/>
          <w:sz w:val="28"/>
          <w:szCs w:val="28"/>
        </w:rPr>
        <w:t>artículo 24</w:t>
      </w:r>
      <w:r w:rsidR="00C73B8D">
        <w:rPr>
          <w:rFonts w:ascii="Century Gothic" w:hAnsi="Century Gothic"/>
          <w:sz w:val="28"/>
          <w:szCs w:val="28"/>
        </w:rPr>
        <w:t xml:space="preserve"> de la </w:t>
      </w:r>
      <w:r w:rsidR="00C73B8D" w:rsidRPr="00D04B72">
        <w:rPr>
          <w:rFonts w:ascii="Century Gothic" w:hAnsi="Century Gothic"/>
          <w:b/>
          <w:sz w:val="28"/>
          <w:szCs w:val="28"/>
        </w:rPr>
        <w:t>Ley de Derechos de las Personas Mayores en el Estado de Chihuahua</w:t>
      </w:r>
      <w:r w:rsidR="00C73B8D">
        <w:rPr>
          <w:rFonts w:ascii="Century Gothic" w:hAnsi="Century Gothic"/>
          <w:sz w:val="28"/>
          <w:szCs w:val="28"/>
        </w:rPr>
        <w:t>, con el objeto de establecer como obligación de los servicios de salud la realización anua</w:t>
      </w:r>
      <w:r w:rsidR="004C7C94">
        <w:rPr>
          <w:rFonts w:ascii="Century Gothic" w:hAnsi="Century Gothic"/>
          <w:sz w:val="28"/>
          <w:szCs w:val="28"/>
        </w:rPr>
        <w:t xml:space="preserve">l </w:t>
      </w:r>
      <w:r w:rsidR="00C73B8D">
        <w:rPr>
          <w:rFonts w:ascii="Century Gothic" w:hAnsi="Century Gothic"/>
          <w:sz w:val="28"/>
          <w:szCs w:val="28"/>
        </w:rPr>
        <w:t xml:space="preserve">y prioritaria de evaluaciones geriátricas integrales a toda persona mayor de 60 años, independientemente de su afiliación a la seguridad social, </w:t>
      </w:r>
      <w:r w:rsidRPr="00A126E3">
        <w:rPr>
          <w:rFonts w:ascii="Century Gothic" w:hAnsi="Century Gothic"/>
          <w:sz w:val="28"/>
          <w:szCs w:val="28"/>
        </w:rPr>
        <w:t xml:space="preserve">con sustento en la siguiente: </w:t>
      </w:r>
    </w:p>
    <w:p w14:paraId="170D24C1" w14:textId="77777777" w:rsidR="00256DD7" w:rsidRDefault="00256DD7" w:rsidP="00A126E3">
      <w:pPr>
        <w:jc w:val="both"/>
        <w:rPr>
          <w:rFonts w:ascii="Century Gothic" w:hAnsi="Century Gothic"/>
          <w:sz w:val="28"/>
          <w:szCs w:val="28"/>
        </w:rPr>
      </w:pPr>
    </w:p>
    <w:p w14:paraId="3F4E3FC3" w14:textId="1778967A" w:rsidR="002360EA" w:rsidRPr="002360EA" w:rsidRDefault="002360EA" w:rsidP="002360EA">
      <w:pPr>
        <w:jc w:val="center"/>
        <w:rPr>
          <w:rFonts w:ascii="Century Gothic" w:hAnsi="Century Gothic" w:cs="Arial"/>
          <w:b/>
          <w:sz w:val="28"/>
          <w:szCs w:val="28"/>
        </w:rPr>
      </w:pPr>
      <w:r w:rsidRPr="002360EA">
        <w:rPr>
          <w:rFonts w:ascii="Century Gothic" w:hAnsi="Century Gothic" w:cs="Arial"/>
          <w:b/>
          <w:sz w:val="28"/>
          <w:szCs w:val="28"/>
        </w:rPr>
        <w:t>EXPOSICIÓN DE MOTIVOS</w:t>
      </w:r>
    </w:p>
    <w:p w14:paraId="4B62B884" w14:textId="12192A7D" w:rsidR="00005C0F" w:rsidRDefault="00556388" w:rsidP="006C2B8A">
      <w:pPr>
        <w:jc w:val="both"/>
        <w:rPr>
          <w:rFonts w:ascii="Century Gothic" w:hAnsi="Century Gothic"/>
          <w:sz w:val="28"/>
          <w:szCs w:val="28"/>
        </w:rPr>
      </w:pPr>
      <w:r>
        <w:rPr>
          <w:rFonts w:ascii="Century Gothic" w:hAnsi="Century Gothic"/>
          <w:sz w:val="28"/>
          <w:szCs w:val="28"/>
        </w:rPr>
        <w:t>El arte de envejecer es el arte de conservar alguna esperanza.</w:t>
      </w:r>
    </w:p>
    <w:p w14:paraId="5376AA8E" w14:textId="77FDA5B6" w:rsidR="00C73B8D" w:rsidRPr="009B434C" w:rsidRDefault="00556388" w:rsidP="006C2B8A">
      <w:pPr>
        <w:jc w:val="both"/>
        <w:rPr>
          <w:rFonts w:ascii="Century Gothic" w:hAnsi="Century Gothic"/>
          <w:i/>
          <w:sz w:val="28"/>
          <w:szCs w:val="28"/>
        </w:rPr>
      </w:pPr>
      <w:r>
        <w:rPr>
          <w:rFonts w:ascii="Century Gothic" w:hAnsi="Century Gothic"/>
          <w:sz w:val="28"/>
          <w:szCs w:val="28"/>
        </w:rPr>
        <w:tab/>
      </w:r>
      <w:r w:rsidRPr="009B434C">
        <w:rPr>
          <w:rFonts w:ascii="Century Gothic" w:hAnsi="Century Gothic"/>
          <w:i/>
          <w:sz w:val="24"/>
          <w:szCs w:val="28"/>
        </w:rPr>
        <w:t>André Mauris, novelista y ensayista francés (1885-1967)</w:t>
      </w:r>
    </w:p>
    <w:p w14:paraId="38EE24DE" w14:textId="5FE2E5BE" w:rsidR="00A07E59" w:rsidRDefault="00A07E59" w:rsidP="008A160B">
      <w:pPr>
        <w:jc w:val="both"/>
        <w:rPr>
          <w:rFonts w:ascii="Century Gothic" w:hAnsi="Century Gothic"/>
          <w:sz w:val="28"/>
          <w:szCs w:val="28"/>
        </w:rPr>
      </w:pPr>
      <w:r>
        <w:rPr>
          <w:rFonts w:ascii="Century Gothic" w:hAnsi="Century Gothic"/>
          <w:sz w:val="28"/>
          <w:szCs w:val="28"/>
        </w:rPr>
        <w:t>La vejez</w:t>
      </w:r>
      <w:r w:rsidR="00994249">
        <w:rPr>
          <w:rFonts w:ascii="Century Gothic" w:hAnsi="Century Gothic"/>
          <w:sz w:val="28"/>
          <w:szCs w:val="28"/>
        </w:rPr>
        <w:t xml:space="preserve"> </w:t>
      </w:r>
      <w:r>
        <w:rPr>
          <w:rFonts w:ascii="Century Gothic" w:hAnsi="Century Gothic"/>
          <w:sz w:val="28"/>
          <w:szCs w:val="28"/>
        </w:rPr>
        <w:t xml:space="preserve">debe </w:t>
      </w:r>
      <w:r w:rsidR="00994249">
        <w:rPr>
          <w:rFonts w:ascii="Century Gothic" w:hAnsi="Century Gothic"/>
          <w:sz w:val="28"/>
          <w:szCs w:val="28"/>
        </w:rPr>
        <w:t>entenderse</w:t>
      </w:r>
      <w:r>
        <w:rPr>
          <w:rFonts w:ascii="Century Gothic" w:hAnsi="Century Gothic"/>
          <w:sz w:val="28"/>
          <w:szCs w:val="28"/>
        </w:rPr>
        <w:t xml:space="preserve"> como una etapa </w:t>
      </w:r>
      <w:r w:rsidR="00994249">
        <w:rPr>
          <w:rFonts w:ascii="Century Gothic" w:hAnsi="Century Gothic"/>
          <w:sz w:val="28"/>
          <w:szCs w:val="28"/>
        </w:rPr>
        <w:t xml:space="preserve">natural </w:t>
      </w:r>
      <w:r>
        <w:rPr>
          <w:rFonts w:ascii="Century Gothic" w:hAnsi="Century Gothic"/>
          <w:sz w:val="28"/>
          <w:szCs w:val="28"/>
        </w:rPr>
        <w:t>de</w:t>
      </w:r>
      <w:r w:rsidR="00994249">
        <w:rPr>
          <w:rFonts w:ascii="Century Gothic" w:hAnsi="Century Gothic"/>
          <w:sz w:val="28"/>
          <w:szCs w:val="28"/>
        </w:rPr>
        <w:t>l ciclo vital en</w:t>
      </w:r>
      <w:r>
        <w:rPr>
          <w:rFonts w:ascii="Century Gothic" w:hAnsi="Century Gothic"/>
          <w:sz w:val="28"/>
          <w:szCs w:val="28"/>
        </w:rPr>
        <w:t xml:space="preserve"> la que las personas mayores tengan </w:t>
      </w:r>
      <w:r w:rsidR="00994249">
        <w:rPr>
          <w:rFonts w:ascii="Century Gothic" w:hAnsi="Century Gothic"/>
          <w:sz w:val="28"/>
          <w:szCs w:val="28"/>
        </w:rPr>
        <w:t>garantizado el acceso pleno, oportuno, integral y de calidad a los servicios de salud.</w:t>
      </w:r>
    </w:p>
    <w:p w14:paraId="047294DB" w14:textId="77777777" w:rsidR="007B4500" w:rsidRDefault="007B4500" w:rsidP="008A160B">
      <w:pPr>
        <w:jc w:val="both"/>
        <w:rPr>
          <w:rFonts w:ascii="Century Gothic" w:hAnsi="Century Gothic"/>
          <w:sz w:val="28"/>
          <w:szCs w:val="28"/>
        </w:rPr>
      </w:pPr>
      <w:bookmarkStart w:id="1" w:name="_Hlk213238311"/>
    </w:p>
    <w:p w14:paraId="3EE5C08D" w14:textId="77777777" w:rsidR="007B4500" w:rsidRDefault="007B4500" w:rsidP="008A160B">
      <w:pPr>
        <w:jc w:val="both"/>
        <w:rPr>
          <w:rFonts w:ascii="Century Gothic" w:hAnsi="Century Gothic"/>
          <w:sz w:val="28"/>
          <w:szCs w:val="28"/>
        </w:rPr>
      </w:pPr>
    </w:p>
    <w:p w14:paraId="3836D893" w14:textId="3AC551F4" w:rsidR="00307050" w:rsidRDefault="00567203" w:rsidP="008A160B">
      <w:pPr>
        <w:jc w:val="both"/>
        <w:rPr>
          <w:rFonts w:ascii="Century Gothic" w:hAnsi="Century Gothic"/>
          <w:sz w:val="28"/>
          <w:szCs w:val="28"/>
        </w:rPr>
      </w:pPr>
      <w:r>
        <w:rPr>
          <w:rFonts w:ascii="Century Gothic" w:hAnsi="Century Gothic"/>
          <w:sz w:val="28"/>
          <w:szCs w:val="28"/>
        </w:rPr>
        <w:t>Las personas mayores</w:t>
      </w:r>
      <w:r w:rsidR="00307050">
        <w:rPr>
          <w:rFonts w:ascii="Century Gothic" w:hAnsi="Century Gothic"/>
          <w:sz w:val="28"/>
          <w:szCs w:val="28"/>
        </w:rPr>
        <w:t xml:space="preserve"> constituyen un pilar fundamental de la sociedad, pues a lo largo de su vida han contribuido de manera significativa al desarrollo económico, social y cultural de sus comunidades y del país. </w:t>
      </w:r>
    </w:p>
    <w:p w14:paraId="45A163C8" w14:textId="63B4A4D5" w:rsidR="00994249" w:rsidRDefault="00307050" w:rsidP="008A160B">
      <w:pPr>
        <w:jc w:val="both"/>
        <w:rPr>
          <w:rFonts w:ascii="Century Gothic" w:hAnsi="Century Gothic"/>
          <w:sz w:val="28"/>
          <w:szCs w:val="28"/>
        </w:rPr>
      </w:pPr>
      <w:bookmarkStart w:id="2" w:name="_Hlk213238765"/>
      <w:bookmarkEnd w:id="1"/>
      <w:r>
        <w:rPr>
          <w:rFonts w:ascii="Century Gothic" w:hAnsi="Century Gothic"/>
          <w:sz w:val="28"/>
          <w:szCs w:val="28"/>
        </w:rPr>
        <w:t>No obstante, este sector de la población enfrenta con frecuencia situaciones de marginación, exclusión y una insuficiente protección de sus derechos humanos.</w:t>
      </w:r>
      <w:r w:rsidR="0078195C">
        <w:rPr>
          <w:rFonts w:ascii="Century Gothic" w:hAnsi="Century Gothic"/>
          <w:sz w:val="28"/>
          <w:szCs w:val="28"/>
        </w:rPr>
        <w:t xml:space="preserve"> </w:t>
      </w:r>
      <w:bookmarkEnd w:id="2"/>
    </w:p>
    <w:p w14:paraId="0DB58D7D" w14:textId="017438FE" w:rsidR="00CC60F4" w:rsidRDefault="0078195C" w:rsidP="008A160B">
      <w:pPr>
        <w:jc w:val="both"/>
        <w:rPr>
          <w:rFonts w:ascii="Century Gothic" w:hAnsi="Century Gothic"/>
          <w:sz w:val="28"/>
          <w:szCs w:val="28"/>
        </w:rPr>
      </w:pPr>
      <w:bookmarkStart w:id="3" w:name="_Hlk213239310"/>
      <w:r>
        <w:rPr>
          <w:rFonts w:ascii="Century Gothic" w:hAnsi="Century Gothic"/>
          <w:sz w:val="28"/>
          <w:szCs w:val="28"/>
        </w:rPr>
        <w:t xml:space="preserve">Entre estos derechos, el derecho a la salud ocupa un lugar central, ya que constituye la base para una vida digna y plena. </w:t>
      </w:r>
      <w:r w:rsidR="00994249">
        <w:rPr>
          <w:rFonts w:ascii="Century Gothic" w:hAnsi="Century Gothic"/>
          <w:sz w:val="28"/>
          <w:szCs w:val="28"/>
        </w:rPr>
        <w:t>En consecuencia, resulta imperativo que el Estado adopte las medidas necesarias para garantizar a las personas mayores el acceso efectivo a servicios de salud que respondan a sus necesidades específicas, bajo los principios de universalidad, igualdad y no discriminación.</w:t>
      </w:r>
    </w:p>
    <w:bookmarkEnd w:id="3"/>
    <w:p w14:paraId="647D462C" w14:textId="71898E8B" w:rsidR="008A160B" w:rsidRDefault="008A160B" w:rsidP="008A160B">
      <w:pPr>
        <w:jc w:val="both"/>
        <w:rPr>
          <w:rFonts w:ascii="Century Gothic" w:hAnsi="Century Gothic"/>
          <w:sz w:val="28"/>
          <w:szCs w:val="28"/>
        </w:rPr>
      </w:pPr>
      <w:r>
        <w:rPr>
          <w:rFonts w:ascii="Century Gothic" w:hAnsi="Century Gothic"/>
          <w:sz w:val="28"/>
          <w:szCs w:val="28"/>
        </w:rPr>
        <w:t xml:space="preserve">De acuerdo con datos del Instituto Nacional de Estadística y Geografía (INEGI), en 2023 México contaba con aproximadamente 19 millones de personas de 60 años o más, lo que representa el 14.7% de la población total del país. </w:t>
      </w:r>
      <w:r w:rsidR="002F791E">
        <w:rPr>
          <w:rFonts w:ascii="Century Gothic" w:hAnsi="Century Gothic"/>
          <w:sz w:val="28"/>
          <w:szCs w:val="28"/>
        </w:rPr>
        <w:t>Según datos del Consejo Nacional de Población, en el 2024 en Chihuahua hay 484,210 personas que tienen 60 años o más lo que representa a más del 12% de la población total.</w:t>
      </w:r>
    </w:p>
    <w:p w14:paraId="452E5C3D" w14:textId="791C95B5" w:rsidR="00C865AA" w:rsidRDefault="00C865AA" w:rsidP="008A160B">
      <w:pPr>
        <w:jc w:val="both"/>
        <w:rPr>
          <w:rFonts w:ascii="Century Gothic" w:hAnsi="Century Gothic"/>
          <w:sz w:val="28"/>
          <w:szCs w:val="28"/>
        </w:rPr>
      </w:pPr>
      <w:r>
        <w:rPr>
          <w:rFonts w:ascii="Century Gothic" w:hAnsi="Century Gothic"/>
          <w:sz w:val="28"/>
          <w:szCs w:val="28"/>
        </w:rPr>
        <w:t>En 2022, 20.9% de</w:t>
      </w:r>
      <w:r w:rsidR="002A3FA3">
        <w:rPr>
          <w:rFonts w:ascii="Century Gothic" w:hAnsi="Century Gothic"/>
          <w:sz w:val="28"/>
          <w:szCs w:val="28"/>
        </w:rPr>
        <w:t xml:space="preserve"> la población de</w:t>
      </w:r>
      <w:r>
        <w:rPr>
          <w:rFonts w:ascii="Century Gothic" w:hAnsi="Century Gothic"/>
          <w:sz w:val="28"/>
          <w:szCs w:val="28"/>
        </w:rPr>
        <w:t xml:space="preserve"> 60 años y más manifestó que se le negó injustamente alguno de sus derechos en los últimos cinco años. De este porcentaje, 42.5% declaró que se le negó injustificadamente</w:t>
      </w:r>
      <w:r w:rsidR="002A3FA3">
        <w:rPr>
          <w:rFonts w:ascii="Century Gothic" w:hAnsi="Century Gothic"/>
          <w:sz w:val="28"/>
          <w:szCs w:val="28"/>
        </w:rPr>
        <w:t xml:space="preserve"> atención médica o medicamentos.</w:t>
      </w:r>
    </w:p>
    <w:p w14:paraId="66D64A52" w14:textId="22690593" w:rsidR="005D21DB" w:rsidRDefault="008A160B" w:rsidP="006C2B8A">
      <w:pPr>
        <w:jc w:val="both"/>
        <w:rPr>
          <w:rFonts w:ascii="Century Gothic" w:hAnsi="Century Gothic"/>
          <w:sz w:val="28"/>
          <w:szCs w:val="28"/>
        </w:rPr>
      </w:pPr>
      <w:r>
        <w:rPr>
          <w:rFonts w:ascii="Century Gothic" w:hAnsi="Century Gothic"/>
          <w:sz w:val="28"/>
          <w:szCs w:val="28"/>
        </w:rPr>
        <w:t>Estos datos e</w:t>
      </w:r>
      <w:r w:rsidR="00307050">
        <w:rPr>
          <w:rFonts w:ascii="Century Gothic" w:hAnsi="Century Gothic"/>
          <w:sz w:val="28"/>
          <w:szCs w:val="28"/>
        </w:rPr>
        <w:t xml:space="preserve">videncian </w:t>
      </w:r>
      <w:r>
        <w:rPr>
          <w:rFonts w:ascii="Century Gothic" w:hAnsi="Century Gothic"/>
          <w:sz w:val="28"/>
          <w:szCs w:val="28"/>
        </w:rPr>
        <w:t xml:space="preserve">la </w:t>
      </w:r>
      <w:r w:rsidR="00307050">
        <w:rPr>
          <w:rFonts w:ascii="Century Gothic" w:hAnsi="Century Gothic"/>
          <w:sz w:val="28"/>
          <w:szCs w:val="28"/>
        </w:rPr>
        <w:t>necesidad</w:t>
      </w:r>
      <w:r>
        <w:rPr>
          <w:rFonts w:ascii="Century Gothic" w:hAnsi="Century Gothic"/>
          <w:sz w:val="28"/>
          <w:szCs w:val="28"/>
        </w:rPr>
        <w:t xml:space="preserve"> de</w:t>
      </w:r>
      <w:r w:rsidR="00307050">
        <w:rPr>
          <w:rFonts w:ascii="Century Gothic" w:hAnsi="Century Gothic"/>
          <w:sz w:val="28"/>
          <w:szCs w:val="28"/>
        </w:rPr>
        <w:t xml:space="preserve"> adoptar</w:t>
      </w:r>
      <w:r>
        <w:rPr>
          <w:rFonts w:ascii="Century Gothic" w:hAnsi="Century Gothic"/>
          <w:sz w:val="28"/>
          <w:szCs w:val="28"/>
        </w:rPr>
        <w:t xml:space="preserve"> políticas públicas orientadas a garantizar una vejez digna, saludable y </w:t>
      </w:r>
      <w:r w:rsidR="00D04B72">
        <w:rPr>
          <w:rFonts w:ascii="Century Gothic" w:hAnsi="Century Gothic"/>
          <w:sz w:val="28"/>
          <w:szCs w:val="28"/>
        </w:rPr>
        <w:t>activa,</w:t>
      </w:r>
      <w:r>
        <w:rPr>
          <w:rFonts w:ascii="Century Gothic" w:hAnsi="Century Gothic"/>
          <w:sz w:val="28"/>
          <w:szCs w:val="28"/>
        </w:rPr>
        <w:t xml:space="preserve"> </w:t>
      </w:r>
      <w:r w:rsidR="00307050">
        <w:rPr>
          <w:rFonts w:ascii="Century Gothic" w:hAnsi="Century Gothic"/>
          <w:sz w:val="28"/>
          <w:szCs w:val="28"/>
        </w:rPr>
        <w:t xml:space="preserve">con fundamento en los </w:t>
      </w:r>
      <w:r>
        <w:rPr>
          <w:rFonts w:ascii="Century Gothic" w:hAnsi="Century Gothic"/>
          <w:sz w:val="28"/>
          <w:szCs w:val="28"/>
        </w:rPr>
        <w:t>principios de equidad y justicia social.</w:t>
      </w:r>
    </w:p>
    <w:p w14:paraId="43FAF8E8" w14:textId="77777777" w:rsidR="007B4500" w:rsidRDefault="005A72F5" w:rsidP="008A160B">
      <w:pPr>
        <w:jc w:val="both"/>
        <w:rPr>
          <w:rFonts w:ascii="Century Gothic" w:hAnsi="Century Gothic"/>
          <w:sz w:val="28"/>
          <w:szCs w:val="28"/>
        </w:rPr>
      </w:pPr>
      <w:bookmarkStart w:id="4" w:name="_Hlk213239378"/>
      <w:r>
        <w:rPr>
          <w:rFonts w:ascii="Century Gothic" w:hAnsi="Century Gothic"/>
          <w:sz w:val="28"/>
          <w:szCs w:val="28"/>
        </w:rPr>
        <w:t>Uno de los principales desafíos que enfrenta el Estado mexicano</w:t>
      </w:r>
      <w:r w:rsidR="00307050">
        <w:rPr>
          <w:rFonts w:ascii="Century Gothic" w:hAnsi="Century Gothic"/>
          <w:sz w:val="28"/>
          <w:szCs w:val="28"/>
        </w:rPr>
        <w:t>,</w:t>
      </w:r>
      <w:r>
        <w:rPr>
          <w:rFonts w:ascii="Century Gothic" w:hAnsi="Century Gothic"/>
          <w:sz w:val="28"/>
          <w:szCs w:val="28"/>
        </w:rPr>
        <w:t xml:space="preserve"> </w:t>
      </w:r>
      <w:r w:rsidR="00307050">
        <w:rPr>
          <w:rFonts w:ascii="Century Gothic" w:hAnsi="Century Gothic"/>
          <w:sz w:val="28"/>
          <w:szCs w:val="28"/>
        </w:rPr>
        <w:t xml:space="preserve">así como </w:t>
      </w:r>
      <w:r>
        <w:rPr>
          <w:rFonts w:ascii="Century Gothic" w:hAnsi="Century Gothic"/>
          <w:sz w:val="28"/>
          <w:szCs w:val="28"/>
        </w:rPr>
        <w:t>sus entidades federativas</w:t>
      </w:r>
      <w:r w:rsidR="00307050">
        <w:rPr>
          <w:rFonts w:ascii="Century Gothic" w:hAnsi="Century Gothic"/>
          <w:sz w:val="28"/>
          <w:szCs w:val="28"/>
        </w:rPr>
        <w:t>, consiste en asegurar</w:t>
      </w:r>
      <w:r>
        <w:rPr>
          <w:rFonts w:ascii="Century Gothic" w:hAnsi="Century Gothic"/>
          <w:sz w:val="28"/>
          <w:szCs w:val="28"/>
        </w:rPr>
        <w:t xml:space="preserve"> que las </w:t>
      </w:r>
    </w:p>
    <w:p w14:paraId="3C4A4834" w14:textId="77777777" w:rsidR="007B4500" w:rsidRDefault="007B4500" w:rsidP="008A160B">
      <w:pPr>
        <w:jc w:val="both"/>
        <w:rPr>
          <w:rFonts w:ascii="Century Gothic" w:hAnsi="Century Gothic"/>
          <w:sz w:val="28"/>
          <w:szCs w:val="28"/>
        </w:rPr>
      </w:pPr>
    </w:p>
    <w:p w14:paraId="5B557297" w14:textId="0E2BAAF6" w:rsidR="004C7C94" w:rsidRDefault="005A72F5" w:rsidP="008A160B">
      <w:pPr>
        <w:jc w:val="both"/>
        <w:rPr>
          <w:rFonts w:ascii="Century Gothic" w:hAnsi="Century Gothic"/>
          <w:sz w:val="28"/>
          <w:szCs w:val="28"/>
        </w:rPr>
      </w:pPr>
      <w:r>
        <w:rPr>
          <w:rFonts w:ascii="Century Gothic" w:hAnsi="Century Gothic"/>
          <w:sz w:val="28"/>
          <w:szCs w:val="28"/>
        </w:rPr>
        <w:t>personas adultas mayores</w:t>
      </w:r>
      <w:r w:rsidR="00307050">
        <w:rPr>
          <w:rFonts w:ascii="Century Gothic" w:hAnsi="Century Gothic"/>
          <w:sz w:val="28"/>
          <w:szCs w:val="28"/>
        </w:rPr>
        <w:t xml:space="preserve"> tengan acceso efectivo </w:t>
      </w:r>
      <w:r>
        <w:rPr>
          <w:rFonts w:ascii="Century Gothic" w:hAnsi="Century Gothic"/>
          <w:sz w:val="28"/>
          <w:szCs w:val="28"/>
        </w:rPr>
        <w:t>a servicios de salud adecuados, oportuno</w:t>
      </w:r>
      <w:r w:rsidR="00307050">
        <w:rPr>
          <w:rFonts w:ascii="Century Gothic" w:hAnsi="Century Gothic"/>
          <w:sz w:val="28"/>
          <w:szCs w:val="28"/>
        </w:rPr>
        <w:t>s, integrales y con enfoque</w:t>
      </w:r>
      <w:r>
        <w:rPr>
          <w:rFonts w:ascii="Century Gothic" w:hAnsi="Century Gothic"/>
          <w:sz w:val="28"/>
          <w:szCs w:val="28"/>
        </w:rPr>
        <w:t xml:space="preserve"> preventivo</w:t>
      </w:r>
      <w:r w:rsidR="00307050">
        <w:rPr>
          <w:rFonts w:ascii="Century Gothic" w:hAnsi="Century Gothic"/>
          <w:sz w:val="28"/>
          <w:szCs w:val="28"/>
        </w:rPr>
        <w:t xml:space="preserve">, </w:t>
      </w:r>
      <w:r>
        <w:rPr>
          <w:rFonts w:ascii="Century Gothic" w:hAnsi="Century Gothic"/>
          <w:sz w:val="28"/>
          <w:szCs w:val="28"/>
        </w:rPr>
        <w:t xml:space="preserve">que les permitan </w:t>
      </w:r>
      <w:r w:rsidR="00307050">
        <w:rPr>
          <w:rFonts w:ascii="Century Gothic" w:hAnsi="Century Gothic"/>
          <w:sz w:val="28"/>
          <w:szCs w:val="28"/>
        </w:rPr>
        <w:t>preservar</w:t>
      </w:r>
      <w:r>
        <w:rPr>
          <w:rFonts w:ascii="Century Gothic" w:hAnsi="Century Gothic"/>
          <w:sz w:val="28"/>
          <w:szCs w:val="28"/>
        </w:rPr>
        <w:t xml:space="preserve"> su funcionalidad, autonomía y calidad de vida. </w:t>
      </w:r>
    </w:p>
    <w:p w14:paraId="25FFE623" w14:textId="2B10B0A9" w:rsidR="00861624" w:rsidRDefault="00307050" w:rsidP="008A160B">
      <w:pPr>
        <w:jc w:val="both"/>
        <w:rPr>
          <w:rFonts w:ascii="Century Gothic" w:hAnsi="Century Gothic"/>
          <w:sz w:val="28"/>
          <w:szCs w:val="28"/>
        </w:rPr>
      </w:pPr>
      <w:bookmarkStart w:id="5" w:name="_Hlk213239507"/>
      <w:bookmarkEnd w:id="4"/>
      <w:r>
        <w:rPr>
          <w:rFonts w:ascii="Century Gothic" w:hAnsi="Century Gothic"/>
          <w:sz w:val="28"/>
          <w:szCs w:val="28"/>
        </w:rPr>
        <w:t xml:space="preserve">En los diversos </w:t>
      </w:r>
      <w:r w:rsidR="004C7C94">
        <w:rPr>
          <w:rFonts w:ascii="Century Gothic" w:hAnsi="Century Gothic"/>
          <w:sz w:val="28"/>
          <w:szCs w:val="28"/>
        </w:rPr>
        <w:t xml:space="preserve">foros y espacios de participación ciudadana dirigidos a las personas adultas mayores, se ha </w:t>
      </w:r>
      <w:r>
        <w:rPr>
          <w:rFonts w:ascii="Century Gothic" w:hAnsi="Century Gothic"/>
          <w:sz w:val="28"/>
          <w:szCs w:val="28"/>
        </w:rPr>
        <w:t xml:space="preserve">expresado </w:t>
      </w:r>
      <w:r w:rsidR="004C7C94">
        <w:rPr>
          <w:rFonts w:ascii="Century Gothic" w:hAnsi="Century Gothic"/>
          <w:sz w:val="28"/>
          <w:szCs w:val="28"/>
        </w:rPr>
        <w:t>de manera reiterada la necesidad de fortalecer los servicios de salud</w:t>
      </w:r>
      <w:r w:rsidR="00AE3ACC">
        <w:rPr>
          <w:rFonts w:ascii="Century Gothic" w:hAnsi="Century Gothic"/>
          <w:sz w:val="28"/>
          <w:szCs w:val="28"/>
        </w:rPr>
        <w:t>, a fin de garantizar una atención integral, humanizada y acorde con las particularidades propias del proceso de envejecimiento.</w:t>
      </w:r>
      <w:r w:rsidR="004C7C94">
        <w:rPr>
          <w:rFonts w:ascii="Century Gothic" w:hAnsi="Century Gothic"/>
          <w:sz w:val="28"/>
          <w:szCs w:val="28"/>
        </w:rPr>
        <w:t xml:space="preserve"> </w:t>
      </w:r>
    </w:p>
    <w:p w14:paraId="34634778" w14:textId="78B07EDD" w:rsidR="00442386" w:rsidRDefault="00442386" w:rsidP="008A160B">
      <w:pPr>
        <w:jc w:val="both"/>
        <w:rPr>
          <w:rFonts w:ascii="Century Gothic" w:hAnsi="Century Gothic"/>
          <w:sz w:val="28"/>
          <w:szCs w:val="28"/>
        </w:rPr>
      </w:pPr>
      <w:r>
        <w:rPr>
          <w:rFonts w:ascii="Century Gothic" w:hAnsi="Century Gothic"/>
          <w:sz w:val="28"/>
          <w:szCs w:val="28"/>
        </w:rPr>
        <w:t xml:space="preserve">La Evaluación Geriátrica Integral (EGI) es un procedimiento diagnóstico multidimensional, sistemático e interdisciplinario, diseñado para valorar de forma integral el estado </w:t>
      </w:r>
      <w:r w:rsidR="004B4650">
        <w:rPr>
          <w:rFonts w:ascii="Century Gothic" w:hAnsi="Century Gothic"/>
          <w:sz w:val="28"/>
          <w:szCs w:val="28"/>
        </w:rPr>
        <w:t>de salud de la persona adulta mayor. A diferencia de una consulta médica tradicional</w:t>
      </w:r>
      <w:bookmarkEnd w:id="5"/>
      <w:r w:rsidR="004B4650">
        <w:rPr>
          <w:rFonts w:ascii="Century Gothic" w:hAnsi="Century Gothic"/>
          <w:sz w:val="28"/>
          <w:szCs w:val="28"/>
        </w:rPr>
        <w:t>, la EGI aborda múltiples esferas de la vida de la persona, incluyendo:</w:t>
      </w:r>
    </w:p>
    <w:p w14:paraId="18482D16" w14:textId="71109CE3" w:rsidR="004B4650" w:rsidRPr="00861624" w:rsidRDefault="004B4650" w:rsidP="00861624">
      <w:pPr>
        <w:pStyle w:val="Prrafodelista"/>
        <w:numPr>
          <w:ilvl w:val="0"/>
          <w:numId w:val="6"/>
        </w:numPr>
        <w:jc w:val="both"/>
        <w:rPr>
          <w:rFonts w:ascii="Century Gothic" w:hAnsi="Century Gothic"/>
          <w:sz w:val="28"/>
          <w:szCs w:val="28"/>
        </w:rPr>
      </w:pPr>
      <w:r w:rsidRPr="00861624">
        <w:rPr>
          <w:rFonts w:ascii="Century Gothic" w:hAnsi="Century Gothic"/>
          <w:b/>
          <w:sz w:val="28"/>
          <w:szCs w:val="28"/>
        </w:rPr>
        <w:t>Estado físico:</w:t>
      </w:r>
      <w:r w:rsidRPr="00861624">
        <w:rPr>
          <w:rFonts w:ascii="Century Gothic" w:hAnsi="Century Gothic"/>
          <w:sz w:val="28"/>
          <w:szCs w:val="28"/>
        </w:rPr>
        <w:t xml:space="preserve"> mediante pruebas clínicas, laboratorio y exploración funcional.</w:t>
      </w:r>
    </w:p>
    <w:p w14:paraId="255F9758" w14:textId="31076BEB" w:rsidR="004B4650" w:rsidRPr="00861624" w:rsidRDefault="004B4650" w:rsidP="00861624">
      <w:pPr>
        <w:pStyle w:val="Prrafodelista"/>
        <w:numPr>
          <w:ilvl w:val="0"/>
          <w:numId w:val="6"/>
        </w:numPr>
        <w:jc w:val="both"/>
        <w:rPr>
          <w:rFonts w:ascii="Century Gothic" w:hAnsi="Century Gothic"/>
          <w:sz w:val="28"/>
          <w:szCs w:val="28"/>
        </w:rPr>
      </w:pPr>
      <w:r w:rsidRPr="00861624">
        <w:rPr>
          <w:rFonts w:ascii="Century Gothic" w:hAnsi="Century Gothic"/>
          <w:b/>
          <w:sz w:val="28"/>
          <w:szCs w:val="28"/>
        </w:rPr>
        <w:t>Salud mental:</w:t>
      </w:r>
      <w:r w:rsidRPr="00861624">
        <w:rPr>
          <w:rFonts w:ascii="Century Gothic" w:hAnsi="Century Gothic"/>
          <w:sz w:val="28"/>
          <w:szCs w:val="28"/>
        </w:rPr>
        <w:t xml:space="preserve"> detección de deterioro cognitivo, depresión y trastornos afectivos.</w:t>
      </w:r>
    </w:p>
    <w:p w14:paraId="04C3E2E0" w14:textId="7C36650B" w:rsidR="004B4650" w:rsidRPr="00861624" w:rsidRDefault="004B4650" w:rsidP="00861624">
      <w:pPr>
        <w:pStyle w:val="Prrafodelista"/>
        <w:numPr>
          <w:ilvl w:val="0"/>
          <w:numId w:val="6"/>
        </w:numPr>
        <w:jc w:val="both"/>
        <w:rPr>
          <w:rFonts w:ascii="Century Gothic" w:hAnsi="Century Gothic"/>
          <w:sz w:val="28"/>
          <w:szCs w:val="28"/>
        </w:rPr>
      </w:pPr>
      <w:r w:rsidRPr="00861624">
        <w:rPr>
          <w:rFonts w:ascii="Century Gothic" w:hAnsi="Century Gothic"/>
          <w:b/>
          <w:sz w:val="28"/>
          <w:szCs w:val="28"/>
        </w:rPr>
        <w:t>Condición social:</w:t>
      </w:r>
      <w:r w:rsidRPr="00861624">
        <w:rPr>
          <w:rFonts w:ascii="Century Gothic" w:hAnsi="Century Gothic"/>
          <w:sz w:val="28"/>
          <w:szCs w:val="28"/>
        </w:rPr>
        <w:t xml:space="preserve"> redes de apoyo, entorno familiar, condiciones de vivienda.</w:t>
      </w:r>
    </w:p>
    <w:p w14:paraId="13A9A41C" w14:textId="571A0968" w:rsidR="00AE3ACC" w:rsidRPr="007B4500" w:rsidRDefault="004B4650" w:rsidP="008A160B">
      <w:pPr>
        <w:pStyle w:val="Prrafodelista"/>
        <w:numPr>
          <w:ilvl w:val="0"/>
          <w:numId w:val="6"/>
        </w:numPr>
        <w:jc w:val="both"/>
        <w:rPr>
          <w:rFonts w:ascii="Century Gothic" w:hAnsi="Century Gothic"/>
          <w:sz w:val="28"/>
          <w:szCs w:val="28"/>
        </w:rPr>
      </w:pPr>
      <w:r w:rsidRPr="00861624">
        <w:rPr>
          <w:rFonts w:ascii="Century Gothic" w:hAnsi="Century Gothic"/>
          <w:b/>
          <w:sz w:val="28"/>
          <w:szCs w:val="28"/>
        </w:rPr>
        <w:t>Capacidades funcionales:</w:t>
      </w:r>
      <w:r w:rsidRPr="00861624">
        <w:rPr>
          <w:rFonts w:ascii="Century Gothic" w:hAnsi="Century Gothic"/>
          <w:sz w:val="28"/>
          <w:szCs w:val="28"/>
        </w:rPr>
        <w:t xml:space="preserve"> evaluación de movilidad, autonomía, autocuidado.</w:t>
      </w:r>
    </w:p>
    <w:p w14:paraId="7882AA0A" w14:textId="3A56167E" w:rsidR="004B4650" w:rsidRPr="002A3FA3" w:rsidRDefault="004B4650" w:rsidP="008A160B">
      <w:pPr>
        <w:jc w:val="both"/>
        <w:rPr>
          <w:rFonts w:ascii="Century Gothic" w:hAnsi="Century Gothic"/>
          <w:sz w:val="28"/>
          <w:szCs w:val="28"/>
        </w:rPr>
      </w:pPr>
      <w:r>
        <w:rPr>
          <w:rFonts w:ascii="Century Gothic" w:hAnsi="Century Gothic"/>
          <w:sz w:val="28"/>
          <w:szCs w:val="28"/>
        </w:rPr>
        <w:t xml:space="preserve">El objetivo no es únicamente diagnosticar enfermedades, sino generar un plan personalizado de atención que promueva la autonomía y prevenga la discapacidad, con acciones que pueden ir desde intervenciones médicas, hasta orientación alimenticia, física o psicológica. </w:t>
      </w:r>
    </w:p>
    <w:p w14:paraId="003FA6FB" w14:textId="77777777" w:rsidR="007B4500" w:rsidRDefault="007B4500" w:rsidP="008A160B">
      <w:pPr>
        <w:jc w:val="both"/>
        <w:rPr>
          <w:rFonts w:ascii="Century Gothic" w:hAnsi="Century Gothic"/>
          <w:sz w:val="28"/>
          <w:szCs w:val="28"/>
        </w:rPr>
      </w:pPr>
    </w:p>
    <w:p w14:paraId="5577558D" w14:textId="1CE7B60C" w:rsidR="007B4500" w:rsidRDefault="008A160B" w:rsidP="008A160B">
      <w:pPr>
        <w:jc w:val="both"/>
        <w:rPr>
          <w:rFonts w:ascii="Century Gothic" w:hAnsi="Century Gothic"/>
          <w:sz w:val="28"/>
          <w:szCs w:val="28"/>
        </w:rPr>
      </w:pPr>
      <w:r>
        <w:rPr>
          <w:rFonts w:ascii="Century Gothic" w:hAnsi="Century Gothic"/>
          <w:sz w:val="28"/>
          <w:szCs w:val="28"/>
        </w:rPr>
        <w:t xml:space="preserve">El Derecho a la Protección de la Salud se encuentra consagrado en el artículo 4, párrafo cuarto de la Constitución Política de los Estados Unidos Mexicanos como un derecho humano, al establecer que “toda Persona tiene derecho a la protección de la salud. </w:t>
      </w:r>
      <w:r w:rsidRPr="002A3FA3">
        <w:rPr>
          <w:rFonts w:ascii="Century Gothic" w:hAnsi="Century Gothic"/>
          <w:sz w:val="28"/>
          <w:szCs w:val="28"/>
        </w:rPr>
        <w:t>En su segunda parte</w:t>
      </w:r>
      <w:r w:rsidRPr="00A865DD">
        <w:rPr>
          <w:rFonts w:ascii="Century Gothic" w:hAnsi="Century Gothic"/>
          <w:sz w:val="28"/>
          <w:szCs w:val="28"/>
          <w:u w:val="single"/>
        </w:rPr>
        <w:t>,</w:t>
      </w:r>
      <w:r>
        <w:rPr>
          <w:rFonts w:ascii="Century Gothic" w:hAnsi="Century Gothic"/>
          <w:sz w:val="28"/>
          <w:szCs w:val="28"/>
        </w:rPr>
        <w:t xml:space="preserve"> este artículo establece un mandato para la acción permanente del Estado mexicano a fin de darle cabal cumplimiento a este derecho humano, ordenando al legislador a definir las bases y modalidades para el acceso a los servicios de </w:t>
      </w:r>
      <w:r w:rsidR="00A865DD">
        <w:rPr>
          <w:rFonts w:ascii="Century Gothic" w:hAnsi="Century Gothic"/>
          <w:sz w:val="28"/>
          <w:szCs w:val="28"/>
        </w:rPr>
        <w:t>salud,</w:t>
      </w:r>
      <w:r>
        <w:rPr>
          <w:rFonts w:ascii="Century Gothic" w:hAnsi="Century Gothic"/>
          <w:sz w:val="28"/>
          <w:szCs w:val="28"/>
        </w:rPr>
        <w:t xml:space="preserve"> así como instituyendo la concurrencia entre los distintos niveles de gobierno. </w:t>
      </w:r>
    </w:p>
    <w:p w14:paraId="0005196C" w14:textId="2C169C66" w:rsidR="002A3FA3" w:rsidRDefault="008A160B" w:rsidP="008A160B">
      <w:pPr>
        <w:jc w:val="both"/>
        <w:rPr>
          <w:rFonts w:ascii="Century Gothic" w:hAnsi="Century Gothic"/>
          <w:sz w:val="28"/>
          <w:szCs w:val="28"/>
        </w:rPr>
      </w:pPr>
      <w:r>
        <w:rPr>
          <w:rFonts w:ascii="Century Gothic" w:hAnsi="Century Gothic"/>
          <w:sz w:val="28"/>
          <w:szCs w:val="28"/>
        </w:rPr>
        <w:t>Lineamientos Internacionales, como el Protocolo de San Salvador, preceptúa el derecho a la vejez como el “derecho a protección especial durante su ancianidad”, haciendo énfasis en el compromiso de los Estados parte a adoptar de manera progresiva las medidas necesarias para cumplir con tal derecho.</w:t>
      </w:r>
    </w:p>
    <w:p w14:paraId="0234722C" w14:textId="77BBD3B3" w:rsidR="007B4500" w:rsidRDefault="008A160B" w:rsidP="008A160B">
      <w:pPr>
        <w:jc w:val="both"/>
        <w:rPr>
          <w:rFonts w:ascii="Century Gothic" w:hAnsi="Century Gothic"/>
          <w:sz w:val="28"/>
          <w:szCs w:val="28"/>
        </w:rPr>
      </w:pPr>
      <w:r>
        <w:rPr>
          <w:rFonts w:ascii="Century Gothic" w:hAnsi="Century Gothic"/>
          <w:sz w:val="28"/>
          <w:szCs w:val="28"/>
        </w:rPr>
        <w:t>La Convención Interamericana sobre la protección de los Derechos Humanos de las Personas Mayores, firmada por México en 2015, establece que los Estados deben promover servicios integrales que incluyen la atención geriátrica preventiva.</w:t>
      </w:r>
    </w:p>
    <w:p w14:paraId="7817AA47" w14:textId="7BB58504" w:rsidR="007B4500" w:rsidRDefault="005A72F5" w:rsidP="008A160B">
      <w:pPr>
        <w:jc w:val="both"/>
        <w:rPr>
          <w:rFonts w:ascii="Century Gothic" w:hAnsi="Century Gothic"/>
          <w:sz w:val="28"/>
          <w:szCs w:val="28"/>
        </w:rPr>
      </w:pPr>
      <w:bookmarkStart w:id="6" w:name="_Hlk213239546"/>
      <w:r>
        <w:rPr>
          <w:rFonts w:ascii="Century Gothic" w:hAnsi="Century Gothic"/>
          <w:sz w:val="28"/>
          <w:szCs w:val="28"/>
        </w:rPr>
        <w:t xml:space="preserve">La reforma propuesta materializa este principio constitucional e internacional al traducirlo en una política pública concreta: la evaluación geriátrica como derecho anual y universal. </w:t>
      </w:r>
      <w:r w:rsidR="005F3A4F">
        <w:rPr>
          <w:rFonts w:ascii="Century Gothic" w:hAnsi="Century Gothic"/>
          <w:sz w:val="28"/>
          <w:szCs w:val="28"/>
        </w:rPr>
        <w:t xml:space="preserve"> </w:t>
      </w:r>
    </w:p>
    <w:p w14:paraId="16374C47" w14:textId="2D8073BB" w:rsidR="002A3FA3" w:rsidRDefault="00904BF3" w:rsidP="008A160B">
      <w:pPr>
        <w:jc w:val="both"/>
        <w:rPr>
          <w:rFonts w:ascii="Century Gothic" w:hAnsi="Century Gothic"/>
          <w:sz w:val="28"/>
          <w:szCs w:val="28"/>
        </w:rPr>
      </w:pPr>
      <w:r>
        <w:rPr>
          <w:rFonts w:ascii="Century Gothic" w:hAnsi="Century Gothic"/>
          <w:sz w:val="28"/>
          <w:szCs w:val="28"/>
        </w:rPr>
        <w:t>La implementación de esta reforma no debe entenderse como una carga aislada para el Estado. Por el contrario, su aplicación abre la</w:t>
      </w:r>
      <w:bookmarkStart w:id="7" w:name="_Hlk213239558"/>
      <w:bookmarkEnd w:id="6"/>
      <w:r w:rsidR="007B4500">
        <w:rPr>
          <w:rFonts w:ascii="Century Gothic" w:hAnsi="Century Gothic"/>
          <w:sz w:val="28"/>
          <w:szCs w:val="28"/>
        </w:rPr>
        <w:t xml:space="preserve"> </w:t>
      </w:r>
      <w:r>
        <w:rPr>
          <w:rFonts w:ascii="Century Gothic" w:hAnsi="Century Gothic"/>
          <w:sz w:val="28"/>
          <w:szCs w:val="28"/>
        </w:rPr>
        <w:t>puerta a esquemas de coordinación interinstitucional entre Secretaría de Salud, universidades, asociaciones geriátricas y organizaciones de la sociedad civil, generando un modelo colaborativo de salud pública.</w:t>
      </w:r>
    </w:p>
    <w:bookmarkEnd w:id="7"/>
    <w:p w14:paraId="53328466" w14:textId="77777777" w:rsidR="00A27D84" w:rsidRDefault="00A27D84" w:rsidP="00FF36EF">
      <w:pPr>
        <w:jc w:val="both"/>
        <w:rPr>
          <w:rFonts w:ascii="Century Gothic" w:hAnsi="Century Gothic"/>
          <w:sz w:val="28"/>
          <w:szCs w:val="28"/>
        </w:rPr>
      </w:pPr>
    </w:p>
    <w:p w14:paraId="3C9994F7" w14:textId="77777777" w:rsidR="00A27D84" w:rsidRDefault="00A27D84" w:rsidP="00FF36EF">
      <w:pPr>
        <w:jc w:val="both"/>
        <w:rPr>
          <w:rFonts w:ascii="Century Gothic" w:hAnsi="Century Gothic"/>
          <w:sz w:val="28"/>
          <w:szCs w:val="28"/>
        </w:rPr>
      </w:pPr>
    </w:p>
    <w:p w14:paraId="65644C16" w14:textId="540E1DC9" w:rsidR="00FF36EF" w:rsidRDefault="00FF36EF" w:rsidP="00FF36EF">
      <w:pPr>
        <w:jc w:val="both"/>
        <w:rPr>
          <w:rFonts w:ascii="Century Gothic" w:hAnsi="Century Gothic"/>
          <w:sz w:val="28"/>
          <w:szCs w:val="28"/>
        </w:rPr>
      </w:pPr>
      <w:r>
        <w:rPr>
          <w:rFonts w:ascii="Century Gothic" w:hAnsi="Century Gothic"/>
          <w:sz w:val="28"/>
          <w:szCs w:val="28"/>
        </w:rPr>
        <w:t>La presente iniciativa tiene como finalidad garantizar el ejercicio efectivo del derecho a la salud de las personas mayores de 60 años en el Estado de Chihuahua, mediante la incorporación en la Ley de Derechos de las Personas Mayores en el Estado de Chihuahua de la obligación de los servicios públicos de realizar evaluaciones geriátricas integrales, obligatorias y anuales.</w:t>
      </w:r>
    </w:p>
    <w:p w14:paraId="468268BA" w14:textId="703B62D1" w:rsidR="00A27D84" w:rsidRPr="005F3A4F" w:rsidRDefault="00FF36EF" w:rsidP="008A160B">
      <w:pPr>
        <w:jc w:val="both"/>
        <w:rPr>
          <w:rFonts w:ascii="Century Gothic" w:hAnsi="Century Gothic"/>
          <w:sz w:val="28"/>
          <w:szCs w:val="28"/>
        </w:rPr>
      </w:pPr>
      <w:r>
        <w:rPr>
          <w:rFonts w:ascii="Century Gothic" w:hAnsi="Century Gothic"/>
          <w:sz w:val="28"/>
          <w:szCs w:val="28"/>
        </w:rPr>
        <w:t>Esta propuesta no sólo responde a una necesidad médica y demográfica, sino también a un imperativo ético y social. El envejecimiento de población exige que el Estado asuma su responsabilidad en la protección y atención integral de quienes han contribuido con su esfuerzo y trabajo al desarrollo de nuestra entidad.</w:t>
      </w:r>
    </w:p>
    <w:p w14:paraId="443D862A" w14:textId="314ADE1E" w:rsidR="000523DB" w:rsidRPr="00A27D84" w:rsidRDefault="00A126E3" w:rsidP="00A27D84">
      <w:pPr>
        <w:jc w:val="both"/>
        <w:rPr>
          <w:rFonts w:ascii="Century Gothic" w:hAnsi="Century Gothic" w:cs="Arial"/>
          <w:sz w:val="28"/>
          <w:szCs w:val="28"/>
        </w:rPr>
      </w:pPr>
      <w:bookmarkStart w:id="8" w:name="_Hlk213239583"/>
      <w:r w:rsidRPr="00A126E3">
        <w:rPr>
          <w:rFonts w:ascii="Century Gothic" w:hAnsi="Century Gothic" w:cs="Arial"/>
          <w:sz w:val="28"/>
          <w:szCs w:val="28"/>
        </w:rPr>
        <w:t>Por lo anteriormente expuesto nos permitimos poner a consideración del Pleno el siguiente:</w:t>
      </w:r>
    </w:p>
    <w:p w14:paraId="0CDE2CEC" w14:textId="00D34653" w:rsidR="00B95334" w:rsidRPr="00B95334" w:rsidRDefault="00B95334" w:rsidP="00B95334">
      <w:pPr>
        <w:jc w:val="center"/>
        <w:rPr>
          <w:rFonts w:ascii="Century Gothic" w:hAnsi="Century Gothic" w:cs="Arial"/>
          <w:b/>
          <w:sz w:val="28"/>
          <w:szCs w:val="28"/>
        </w:rPr>
      </w:pPr>
      <w:r w:rsidRPr="00B95334">
        <w:rPr>
          <w:rFonts w:ascii="Century Gothic" w:hAnsi="Century Gothic" w:cs="Arial"/>
          <w:b/>
          <w:sz w:val="28"/>
          <w:szCs w:val="28"/>
        </w:rPr>
        <w:t>D</w:t>
      </w:r>
      <w:r>
        <w:rPr>
          <w:rFonts w:ascii="Century Gothic" w:hAnsi="Century Gothic" w:cs="Arial"/>
          <w:b/>
          <w:sz w:val="28"/>
          <w:szCs w:val="28"/>
        </w:rPr>
        <w:t xml:space="preserve"> </w:t>
      </w:r>
      <w:r w:rsidRPr="00B95334">
        <w:rPr>
          <w:rFonts w:ascii="Century Gothic" w:hAnsi="Century Gothic" w:cs="Arial"/>
          <w:b/>
          <w:sz w:val="28"/>
          <w:szCs w:val="28"/>
        </w:rPr>
        <w:t>E</w:t>
      </w:r>
      <w:r>
        <w:rPr>
          <w:rFonts w:ascii="Century Gothic" w:hAnsi="Century Gothic" w:cs="Arial"/>
          <w:b/>
          <w:sz w:val="28"/>
          <w:szCs w:val="28"/>
        </w:rPr>
        <w:t xml:space="preserve"> </w:t>
      </w:r>
      <w:r w:rsidRPr="00B95334">
        <w:rPr>
          <w:rFonts w:ascii="Century Gothic" w:hAnsi="Century Gothic" w:cs="Arial"/>
          <w:b/>
          <w:sz w:val="28"/>
          <w:szCs w:val="28"/>
        </w:rPr>
        <w:t>C</w:t>
      </w:r>
      <w:r>
        <w:rPr>
          <w:rFonts w:ascii="Century Gothic" w:hAnsi="Century Gothic" w:cs="Arial"/>
          <w:b/>
          <w:sz w:val="28"/>
          <w:szCs w:val="28"/>
        </w:rPr>
        <w:t xml:space="preserve"> </w:t>
      </w:r>
      <w:r w:rsidRPr="00B95334">
        <w:rPr>
          <w:rFonts w:ascii="Century Gothic" w:hAnsi="Century Gothic" w:cs="Arial"/>
          <w:b/>
          <w:sz w:val="28"/>
          <w:szCs w:val="28"/>
        </w:rPr>
        <w:t>R</w:t>
      </w:r>
      <w:r>
        <w:rPr>
          <w:rFonts w:ascii="Century Gothic" w:hAnsi="Century Gothic" w:cs="Arial"/>
          <w:b/>
          <w:sz w:val="28"/>
          <w:szCs w:val="28"/>
        </w:rPr>
        <w:t xml:space="preserve"> </w:t>
      </w:r>
      <w:r w:rsidRPr="00B95334">
        <w:rPr>
          <w:rFonts w:ascii="Century Gothic" w:hAnsi="Century Gothic" w:cs="Arial"/>
          <w:b/>
          <w:sz w:val="28"/>
          <w:szCs w:val="28"/>
        </w:rPr>
        <w:t>E</w:t>
      </w:r>
      <w:r>
        <w:rPr>
          <w:rFonts w:ascii="Century Gothic" w:hAnsi="Century Gothic" w:cs="Arial"/>
          <w:b/>
          <w:sz w:val="28"/>
          <w:szCs w:val="28"/>
        </w:rPr>
        <w:t xml:space="preserve"> </w:t>
      </w:r>
      <w:r w:rsidRPr="00B95334">
        <w:rPr>
          <w:rFonts w:ascii="Century Gothic" w:hAnsi="Century Gothic" w:cs="Arial"/>
          <w:b/>
          <w:sz w:val="28"/>
          <w:szCs w:val="28"/>
        </w:rPr>
        <w:t>T</w:t>
      </w:r>
      <w:r>
        <w:rPr>
          <w:rFonts w:ascii="Century Gothic" w:hAnsi="Century Gothic" w:cs="Arial"/>
          <w:b/>
          <w:sz w:val="28"/>
          <w:szCs w:val="28"/>
        </w:rPr>
        <w:t xml:space="preserve"> </w:t>
      </w:r>
      <w:r w:rsidRPr="00B95334">
        <w:rPr>
          <w:rFonts w:ascii="Century Gothic" w:hAnsi="Century Gothic" w:cs="Arial"/>
          <w:b/>
          <w:sz w:val="28"/>
          <w:szCs w:val="28"/>
        </w:rPr>
        <w:t>O:</w:t>
      </w:r>
    </w:p>
    <w:p w14:paraId="3153B1C1" w14:textId="3F3F88D5" w:rsidR="006C2B8A" w:rsidRPr="006C2B8A" w:rsidRDefault="006C2B8A" w:rsidP="006C2B8A">
      <w:pPr>
        <w:jc w:val="both"/>
        <w:rPr>
          <w:rFonts w:ascii="Century Gothic" w:hAnsi="Century Gothic" w:cs="Arial"/>
          <w:b/>
          <w:sz w:val="28"/>
          <w:szCs w:val="28"/>
        </w:rPr>
      </w:pPr>
      <w:r w:rsidRPr="006C2B8A">
        <w:rPr>
          <w:rFonts w:ascii="Century Gothic" w:hAnsi="Century Gothic" w:cs="Arial"/>
          <w:b/>
          <w:sz w:val="28"/>
          <w:szCs w:val="28"/>
        </w:rPr>
        <w:t xml:space="preserve">ARTÍCULO ÚNICO. </w:t>
      </w:r>
      <w:r w:rsidR="00C73B8D">
        <w:rPr>
          <w:rFonts w:ascii="Century Gothic" w:hAnsi="Century Gothic" w:cs="Arial"/>
          <w:sz w:val="28"/>
          <w:szCs w:val="28"/>
        </w:rPr>
        <w:t xml:space="preserve">Se adiciona una </w:t>
      </w:r>
      <w:r w:rsidR="00C73B8D">
        <w:rPr>
          <w:rFonts w:ascii="Century Gothic" w:hAnsi="Century Gothic" w:cs="Arial"/>
          <w:b/>
          <w:sz w:val="28"/>
          <w:szCs w:val="28"/>
        </w:rPr>
        <w:t xml:space="preserve">fracción </w:t>
      </w:r>
      <w:r w:rsidR="001A0C74">
        <w:rPr>
          <w:rFonts w:ascii="Century Gothic" w:hAnsi="Century Gothic" w:cs="Arial"/>
          <w:b/>
          <w:sz w:val="28"/>
          <w:szCs w:val="28"/>
        </w:rPr>
        <w:t>XVIII</w:t>
      </w:r>
      <w:r w:rsidR="00C73B8D">
        <w:rPr>
          <w:rFonts w:ascii="Century Gothic" w:hAnsi="Century Gothic" w:cs="Arial"/>
          <w:b/>
          <w:sz w:val="28"/>
          <w:szCs w:val="28"/>
        </w:rPr>
        <w:t xml:space="preserve"> </w:t>
      </w:r>
      <w:r w:rsidR="00C73B8D">
        <w:rPr>
          <w:rFonts w:ascii="Century Gothic" w:hAnsi="Century Gothic" w:cs="Arial"/>
          <w:sz w:val="28"/>
          <w:szCs w:val="28"/>
        </w:rPr>
        <w:t xml:space="preserve">al artículo </w:t>
      </w:r>
      <w:r w:rsidR="00A6638B">
        <w:rPr>
          <w:rFonts w:ascii="Century Gothic" w:hAnsi="Century Gothic" w:cs="Arial"/>
          <w:sz w:val="28"/>
          <w:szCs w:val="28"/>
        </w:rPr>
        <w:t>24</w:t>
      </w:r>
      <w:r w:rsidR="001D2886">
        <w:rPr>
          <w:rFonts w:ascii="Century Gothic" w:hAnsi="Century Gothic" w:cs="Arial"/>
          <w:sz w:val="28"/>
          <w:szCs w:val="28"/>
        </w:rPr>
        <w:t xml:space="preserve"> de la Ley de Derechos de las Personas Mayores en el Estado de Chihuahua</w:t>
      </w:r>
      <w:r w:rsidRPr="003A5136">
        <w:rPr>
          <w:rFonts w:ascii="Century Gothic" w:hAnsi="Century Gothic" w:cs="Arial"/>
          <w:sz w:val="28"/>
          <w:szCs w:val="28"/>
        </w:rPr>
        <w:t>, para quedar redactado de la siguiente manera:</w:t>
      </w:r>
      <w:r w:rsidRPr="006C2B8A">
        <w:rPr>
          <w:rFonts w:ascii="Century Gothic" w:hAnsi="Century Gothic" w:cs="Arial"/>
          <w:b/>
          <w:sz w:val="28"/>
          <w:szCs w:val="28"/>
        </w:rPr>
        <w:t xml:space="preserve"> </w:t>
      </w:r>
    </w:p>
    <w:p w14:paraId="36D21176" w14:textId="74A5371F" w:rsidR="001A0C74" w:rsidRDefault="000E3E22" w:rsidP="000E3E22">
      <w:pPr>
        <w:jc w:val="both"/>
        <w:rPr>
          <w:rFonts w:ascii="Century Gothic" w:hAnsi="Century Gothic"/>
          <w:sz w:val="28"/>
          <w:szCs w:val="28"/>
        </w:rPr>
      </w:pPr>
      <w:r>
        <w:rPr>
          <w:rFonts w:ascii="Century Gothic" w:hAnsi="Century Gothic" w:cs="Arial"/>
          <w:b/>
          <w:sz w:val="28"/>
          <w:szCs w:val="28"/>
        </w:rPr>
        <w:t>Artículo 24</w:t>
      </w:r>
      <w:r w:rsidR="006C2B8A" w:rsidRPr="001D2886">
        <w:rPr>
          <w:rFonts w:ascii="Century Gothic" w:hAnsi="Century Gothic" w:cs="Arial"/>
          <w:b/>
          <w:sz w:val="28"/>
          <w:szCs w:val="28"/>
        </w:rPr>
        <w:t>.-</w:t>
      </w:r>
      <w:r w:rsidR="001D2886" w:rsidRPr="001D2886">
        <w:rPr>
          <w:rFonts w:ascii="Century Gothic" w:hAnsi="Century Gothic"/>
          <w:sz w:val="28"/>
          <w:szCs w:val="28"/>
        </w:rPr>
        <w:t xml:space="preserve"> </w:t>
      </w:r>
      <w:r w:rsidR="008131A1" w:rsidRPr="008131A1">
        <w:rPr>
          <w:rFonts w:ascii="Century Gothic" w:hAnsi="Century Gothic"/>
          <w:sz w:val="28"/>
          <w:szCs w:val="28"/>
        </w:rPr>
        <w:t>Las autoridades estatales y municipales, en el ámbito de su competencia, sin perjuicio de lo establecido en la Ley Estatal de Salud, deberán:</w:t>
      </w:r>
    </w:p>
    <w:p w14:paraId="63C823A7" w14:textId="77777777" w:rsidR="007B4500" w:rsidRDefault="007B4500" w:rsidP="000E3E22">
      <w:pPr>
        <w:jc w:val="both"/>
        <w:rPr>
          <w:rFonts w:ascii="Century Gothic" w:hAnsi="Century Gothic" w:cs="Arial"/>
          <w:sz w:val="28"/>
          <w:szCs w:val="28"/>
        </w:rPr>
      </w:pPr>
    </w:p>
    <w:p w14:paraId="409D5E67" w14:textId="2037F7D9" w:rsidR="00A27D84" w:rsidRPr="00A27D84" w:rsidRDefault="00A26B46" w:rsidP="000E3E22">
      <w:pPr>
        <w:jc w:val="both"/>
        <w:rPr>
          <w:rFonts w:ascii="Century Gothic" w:hAnsi="Century Gothic" w:cs="Arial"/>
          <w:sz w:val="28"/>
          <w:szCs w:val="28"/>
        </w:rPr>
      </w:pPr>
      <w:r>
        <w:rPr>
          <w:rFonts w:ascii="Century Gothic" w:hAnsi="Century Gothic" w:cs="Arial"/>
          <w:sz w:val="28"/>
          <w:szCs w:val="28"/>
        </w:rPr>
        <w:t>(I a XVII)</w:t>
      </w:r>
      <w:bookmarkStart w:id="9" w:name="_Hlk213239605"/>
      <w:bookmarkEnd w:id="8"/>
    </w:p>
    <w:p w14:paraId="46390799" w14:textId="13F8889B" w:rsidR="00F0099D" w:rsidRPr="000E3E22" w:rsidRDefault="000E3E22" w:rsidP="000E3E22">
      <w:pPr>
        <w:jc w:val="both"/>
        <w:rPr>
          <w:rFonts w:ascii="Century Gothic" w:hAnsi="Century Gothic" w:cs="Arial"/>
          <w:sz w:val="28"/>
          <w:szCs w:val="28"/>
        </w:rPr>
      </w:pPr>
      <w:r w:rsidRPr="00F14BEA">
        <w:rPr>
          <w:rFonts w:ascii="Century Gothic" w:hAnsi="Century Gothic" w:cs="Arial"/>
          <w:b/>
          <w:sz w:val="28"/>
          <w:szCs w:val="28"/>
        </w:rPr>
        <w:t>XVIII</w:t>
      </w:r>
      <w:r w:rsidR="001D2886" w:rsidRPr="00F14BEA">
        <w:rPr>
          <w:rFonts w:ascii="Century Gothic" w:hAnsi="Century Gothic" w:cs="Arial"/>
          <w:b/>
          <w:sz w:val="28"/>
          <w:szCs w:val="28"/>
        </w:rPr>
        <w:t>:</w:t>
      </w:r>
      <w:r w:rsidR="001D2886">
        <w:rPr>
          <w:rFonts w:ascii="Century Gothic" w:hAnsi="Century Gothic" w:cs="Arial"/>
          <w:sz w:val="28"/>
          <w:szCs w:val="28"/>
        </w:rPr>
        <w:t xml:space="preserve"> </w:t>
      </w:r>
      <w:r w:rsidR="00F0099D" w:rsidRPr="000E3E22">
        <w:rPr>
          <w:rFonts w:ascii="Century Gothic" w:hAnsi="Century Gothic" w:cs="Arial"/>
          <w:sz w:val="28"/>
          <w:szCs w:val="28"/>
        </w:rPr>
        <w:t xml:space="preserve">Realizar de manera </w:t>
      </w:r>
      <w:r w:rsidR="00F0099D" w:rsidRPr="009520A9">
        <w:rPr>
          <w:rFonts w:ascii="Century Gothic" w:hAnsi="Century Gothic" w:cs="Arial"/>
          <w:sz w:val="28"/>
          <w:szCs w:val="28"/>
        </w:rPr>
        <w:t>obligatoria</w:t>
      </w:r>
      <w:r w:rsidR="009520A9">
        <w:rPr>
          <w:rFonts w:ascii="Century Gothic" w:hAnsi="Century Gothic" w:cs="Arial"/>
          <w:sz w:val="28"/>
          <w:szCs w:val="28"/>
        </w:rPr>
        <w:t xml:space="preserve"> </w:t>
      </w:r>
      <w:r w:rsidR="00F0099D" w:rsidRPr="000E3E22">
        <w:rPr>
          <w:rFonts w:ascii="Century Gothic" w:hAnsi="Century Gothic" w:cs="Arial"/>
          <w:sz w:val="28"/>
          <w:szCs w:val="28"/>
        </w:rPr>
        <w:t>y anual, evaluaciones geriátricas integrales a todas las personas adultas mayores residentes en el Estado de Chihuahua que lo soliciten, independientemente de</w:t>
      </w:r>
      <w:r w:rsidR="00A26B46">
        <w:rPr>
          <w:rFonts w:ascii="Century Gothic" w:hAnsi="Century Gothic" w:cs="Arial"/>
          <w:sz w:val="28"/>
          <w:szCs w:val="28"/>
        </w:rPr>
        <w:t xml:space="preserve"> </w:t>
      </w:r>
      <w:r w:rsidR="00F0099D" w:rsidRPr="000E3E22">
        <w:rPr>
          <w:rFonts w:ascii="Century Gothic" w:hAnsi="Century Gothic" w:cs="Arial"/>
          <w:sz w:val="28"/>
          <w:szCs w:val="28"/>
        </w:rPr>
        <w:t xml:space="preserve">su condición de </w:t>
      </w:r>
      <w:proofErr w:type="spellStart"/>
      <w:r w:rsidR="00F0099D" w:rsidRPr="000E3E22">
        <w:rPr>
          <w:rFonts w:ascii="Century Gothic" w:hAnsi="Century Gothic" w:cs="Arial"/>
          <w:sz w:val="28"/>
          <w:szCs w:val="28"/>
        </w:rPr>
        <w:t>derechohabiencia</w:t>
      </w:r>
      <w:proofErr w:type="spellEnd"/>
      <w:r w:rsidR="00F0099D" w:rsidRPr="000E3E22">
        <w:rPr>
          <w:rFonts w:ascii="Century Gothic" w:hAnsi="Century Gothic" w:cs="Arial"/>
          <w:sz w:val="28"/>
          <w:szCs w:val="28"/>
        </w:rPr>
        <w:t xml:space="preserve"> o afiliación a instituciones de seguridad social. </w:t>
      </w:r>
    </w:p>
    <w:p w14:paraId="17920A55" w14:textId="77777777" w:rsidR="00A27D84" w:rsidRDefault="00A27D84" w:rsidP="000E3E22">
      <w:pPr>
        <w:jc w:val="both"/>
        <w:rPr>
          <w:rFonts w:ascii="Century Gothic" w:hAnsi="Century Gothic" w:cs="Arial"/>
          <w:sz w:val="28"/>
          <w:szCs w:val="28"/>
        </w:rPr>
      </w:pPr>
    </w:p>
    <w:p w14:paraId="5A27879D" w14:textId="58A30AA3" w:rsidR="00FF36EF" w:rsidRPr="00A27D84" w:rsidRDefault="00F0099D" w:rsidP="00A27D84">
      <w:pPr>
        <w:jc w:val="both"/>
        <w:rPr>
          <w:rFonts w:ascii="Century Gothic" w:hAnsi="Century Gothic" w:cs="Arial"/>
          <w:sz w:val="28"/>
          <w:szCs w:val="28"/>
        </w:rPr>
      </w:pPr>
      <w:r w:rsidRPr="000E3E22">
        <w:rPr>
          <w:rFonts w:ascii="Century Gothic" w:hAnsi="Century Gothic" w:cs="Arial"/>
          <w:sz w:val="28"/>
          <w:szCs w:val="28"/>
        </w:rPr>
        <w:t xml:space="preserve">Estas evaluaciones deberán ser priorizadas en los calendarios de atención, y tendrán como </w:t>
      </w:r>
      <w:r w:rsidR="00BF3076" w:rsidRPr="000E3E22">
        <w:rPr>
          <w:rFonts w:ascii="Century Gothic" w:hAnsi="Century Gothic" w:cs="Arial"/>
          <w:sz w:val="28"/>
          <w:szCs w:val="28"/>
        </w:rPr>
        <w:t>objetivo la prevención, diagnóstico oportuno, control de enfermedades y la promoción de un envejecimiento saludable.</w:t>
      </w:r>
      <w:bookmarkEnd w:id="9"/>
    </w:p>
    <w:p w14:paraId="1DFFDC16" w14:textId="2AECD156" w:rsidR="00A126E3" w:rsidRPr="00683759" w:rsidRDefault="00A126E3" w:rsidP="00F0099D">
      <w:pPr>
        <w:jc w:val="center"/>
        <w:rPr>
          <w:rFonts w:ascii="Century Gothic" w:hAnsi="Century Gothic" w:cs="Arial"/>
          <w:b/>
          <w:sz w:val="28"/>
          <w:szCs w:val="28"/>
        </w:rPr>
      </w:pPr>
      <w:bookmarkStart w:id="10" w:name="_Hlk213239626"/>
      <w:r w:rsidRPr="00683759">
        <w:rPr>
          <w:rFonts w:ascii="Century Gothic" w:hAnsi="Century Gothic" w:cs="Arial"/>
          <w:b/>
          <w:sz w:val="28"/>
          <w:szCs w:val="28"/>
        </w:rPr>
        <w:t>TRANSITORIOS:</w:t>
      </w:r>
    </w:p>
    <w:p w14:paraId="594B1A99" w14:textId="1DCB316C" w:rsidR="006C2B8A" w:rsidRDefault="00A126E3" w:rsidP="005C75C8">
      <w:pPr>
        <w:jc w:val="both"/>
        <w:rPr>
          <w:rFonts w:ascii="Century Gothic" w:hAnsi="Century Gothic" w:cs="Arial"/>
          <w:sz w:val="28"/>
          <w:szCs w:val="28"/>
        </w:rPr>
      </w:pPr>
      <w:r w:rsidRPr="00683759">
        <w:rPr>
          <w:rFonts w:ascii="Century Gothic" w:hAnsi="Century Gothic" w:cs="Arial"/>
          <w:b/>
          <w:sz w:val="28"/>
          <w:szCs w:val="28"/>
        </w:rPr>
        <w:t xml:space="preserve">ARTÍCULO PRIMERO. </w:t>
      </w:r>
      <w:r w:rsidR="006C2B8A" w:rsidRPr="006C2B8A">
        <w:rPr>
          <w:rFonts w:ascii="Century Gothic" w:hAnsi="Century Gothic" w:cs="Arial"/>
          <w:sz w:val="28"/>
          <w:szCs w:val="28"/>
        </w:rPr>
        <w:t>El presente Decreto entrará en vigor al día siguiente de su publicación en el periódico Oficial del Estado.</w:t>
      </w:r>
    </w:p>
    <w:p w14:paraId="7A843D19" w14:textId="5D2F598D" w:rsidR="000F3A1B" w:rsidRPr="00BF3076" w:rsidRDefault="00A126E3" w:rsidP="005C75C8">
      <w:pPr>
        <w:jc w:val="both"/>
        <w:rPr>
          <w:rFonts w:ascii="Century Gothic" w:hAnsi="Century Gothic" w:cs="Arial"/>
          <w:sz w:val="28"/>
          <w:szCs w:val="28"/>
        </w:rPr>
      </w:pPr>
      <w:r w:rsidRPr="00683759">
        <w:rPr>
          <w:rFonts w:ascii="Century Gothic" w:hAnsi="Century Gothic" w:cs="Arial"/>
          <w:b/>
          <w:sz w:val="28"/>
          <w:szCs w:val="28"/>
        </w:rPr>
        <w:t xml:space="preserve">ECONÓMICO. - </w:t>
      </w:r>
      <w:r w:rsidRPr="00A126E3">
        <w:rPr>
          <w:rFonts w:ascii="Century Gothic" w:hAnsi="Century Gothic" w:cs="Arial"/>
          <w:sz w:val="28"/>
          <w:szCs w:val="28"/>
        </w:rPr>
        <w:t>Aprobado que sea túrnese a la Secretaría de Asuntos Legislativos y Jurídicos para que elabore la Minuta en los términos en que corresponda.</w:t>
      </w:r>
    </w:p>
    <w:p w14:paraId="745368A5" w14:textId="100CBCAD" w:rsidR="00744873" w:rsidRPr="007B4500" w:rsidRDefault="00A126E3" w:rsidP="007B4500">
      <w:pPr>
        <w:jc w:val="both"/>
        <w:rPr>
          <w:rFonts w:ascii="Century Gothic" w:hAnsi="Century Gothic" w:cs="Arial"/>
          <w:sz w:val="28"/>
          <w:szCs w:val="28"/>
        </w:rPr>
      </w:pPr>
      <w:r w:rsidRPr="00683759">
        <w:rPr>
          <w:rFonts w:ascii="Century Gothic" w:hAnsi="Century Gothic" w:cs="Arial"/>
          <w:b/>
          <w:i/>
          <w:sz w:val="28"/>
          <w:szCs w:val="28"/>
        </w:rPr>
        <w:t>Dado</w:t>
      </w:r>
      <w:r w:rsidRPr="00A126E3">
        <w:rPr>
          <w:rFonts w:ascii="Century Gothic" w:hAnsi="Century Gothic" w:cs="Arial"/>
          <w:sz w:val="28"/>
          <w:szCs w:val="28"/>
        </w:rPr>
        <w:t xml:space="preserve"> en el Salón de Sesiones del Poder Legislativo, en la ciudad de Chihuahua, Chihuahua a </w:t>
      </w:r>
      <w:r w:rsidR="009520A9">
        <w:rPr>
          <w:rFonts w:ascii="Century Gothic" w:hAnsi="Century Gothic" w:cs="Arial"/>
          <w:sz w:val="28"/>
          <w:szCs w:val="28"/>
        </w:rPr>
        <w:t>06</w:t>
      </w:r>
      <w:r w:rsidR="00556388">
        <w:rPr>
          <w:rFonts w:ascii="Century Gothic" w:hAnsi="Century Gothic" w:cs="Arial"/>
          <w:sz w:val="28"/>
          <w:szCs w:val="28"/>
        </w:rPr>
        <w:t xml:space="preserve"> </w:t>
      </w:r>
      <w:r w:rsidRPr="00A126E3">
        <w:rPr>
          <w:rFonts w:ascii="Century Gothic" w:hAnsi="Century Gothic" w:cs="Arial"/>
          <w:sz w:val="28"/>
          <w:szCs w:val="28"/>
        </w:rPr>
        <w:t xml:space="preserve">de </w:t>
      </w:r>
      <w:r w:rsidR="009520A9">
        <w:rPr>
          <w:rFonts w:ascii="Century Gothic" w:hAnsi="Century Gothic" w:cs="Arial"/>
          <w:sz w:val="28"/>
          <w:szCs w:val="28"/>
        </w:rPr>
        <w:t>noviembre</w:t>
      </w:r>
      <w:r w:rsidRPr="00A126E3">
        <w:rPr>
          <w:rFonts w:ascii="Century Gothic" w:hAnsi="Century Gothic" w:cs="Arial"/>
          <w:sz w:val="28"/>
          <w:szCs w:val="28"/>
        </w:rPr>
        <w:t xml:space="preserve"> de 2025.  </w:t>
      </w:r>
    </w:p>
    <w:p w14:paraId="3E4C417E" w14:textId="20E46069" w:rsidR="006C6B4D" w:rsidRPr="005D359B" w:rsidRDefault="006C6B4D" w:rsidP="00683759">
      <w:pPr>
        <w:jc w:val="center"/>
        <w:rPr>
          <w:rFonts w:ascii="Century Gothic" w:hAnsi="Century Gothic" w:cs="Arial"/>
          <w:b/>
          <w:bCs/>
          <w:sz w:val="28"/>
          <w:szCs w:val="28"/>
        </w:rPr>
      </w:pPr>
      <w:r w:rsidRPr="005D359B">
        <w:rPr>
          <w:rFonts w:ascii="Century Gothic" w:hAnsi="Century Gothic" w:cs="Arial"/>
          <w:b/>
          <w:bCs/>
          <w:sz w:val="28"/>
          <w:szCs w:val="28"/>
        </w:rPr>
        <w:t>ATENTAMENTE</w:t>
      </w:r>
    </w:p>
    <w:bookmarkEnd w:id="10"/>
    <w:p w14:paraId="00EB9CA8" w14:textId="77777777" w:rsidR="006409C5" w:rsidRDefault="006409C5" w:rsidP="00A27D84">
      <w:pPr>
        <w:rPr>
          <w:rFonts w:ascii="Century Gothic" w:hAnsi="Century Gothic" w:cs="Arial"/>
          <w:b/>
          <w:bCs/>
          <w:sz w:val="28"/>
          <w:szCs w:val="28"/>
        </w:rPr>
      </w:pPr>
    </w:p>
    <w:p w14:paraId="5D583297" w14:textId="2DCC110A" w:rsidR="006C6B4D" w:rsidRDefault="006C6B4D" w:rsidP="005D359B">
      <w:pPr>
        <w:jc w:val="center"/>
        <w:rPr>
          <w:rFonts w:ascii="Century Gothic" w:hAnsi="Century Gothic" w:cs="Arial"/>
          <w:b/>
          <w:bCs/>
          <w:sz w:val="28"/>
          <w:szCs w:val="28"/>
        </w:rPr>
      </w:pPr>
      <w:r w:rsidRPr="005D359B">
        <w:rPr>
          <w:rFonts w:ascii="Century Gothic" w:hAnsi="Century Gothic" w:cs="Arial"/>
          <w:b/>
          <w:bCs/>
          <w:sz w:val="28"/>
          <w:szCs w:val="28"/>
        </w:rPr>
        <w:t>DIP</w:t>
      </w:r>
      <w:r w:rsidR="00744873">
        <w:rPr>
          <w:rFonts w:ascii="Century Gothic" w:hAnsi="Century Gothic" w:cs="Arial"/>
          <w:b/>
          <w:bCs/>
          <w:sz w:val="28"/>
          <w:szCs w:val="28"/>
        </w:rPr>
        <w:t>.</w:t>
      </w:r>
      <w:r w:rsidRPr="005D359B">
        <w:rPr>
          <w:rFonts w:ascii="Century Gothic" w:hAnsi="Century Gothic" w:cs="Arial"/>
          <w:b/>
          <w:bCs/>
          <w:sz w:val="28"/>
          <w:szCs w:val="28"/>
        </w:rPr>
        <w:t xml:space="preserve"> HERMINIA GÓMEZ CARRASCO</w:t>
      </w:r>
    </w:p>
    <w:p w14:paraId="26C20399" w14:textId="61042122" w:rsidR="006409C5" w:rsidRDefault="006409C5" w:rsidP="00FE586C">
      <w:pPr>
        <w:rPr>
          <w:rFonts w:ascii="Century Gothic" w:hAnsi="Century Gothic" w:cs="Arial"/>
          <w:b/>
          <w:bCs/>
          <w:sz w:val="28"/>
          <w:szCs w:val="28"/>
        </w:rPr>
      </w:pPr>
    </w:p>
    <w:p w14:paraId="7677F6C1" w14:textId="77777777" w:rsidR="00FE586C" w:rsidRDefault="00FE586C" w:rsidP="005D359B">
      <w:pPr>
        <w:jc w:val="center"/>
        <w:rPr>
          <w:rFonts w:ascii="Century Gothic" w:hAnsi="Century Gothic" w:cs="Arial"/>
          <w:b/>
          <w:bCs/>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3525C040" w14:textId="77777777" w:rsidTr="00550936">
        <w:tc>
          <w:tcPr>
            <w:tcW w:w="4675" w:type="dxa"/>
          </w:tcPr>
          <w:p w14:paraId="154A86D0" w14:textId="48E185B8" w:rsidR="00550936" w:rsidRPr="0026795D" w:rsidRDefault="00550936" w:rsidP="00550936">
            <w:pPr>
              <w:jc w:val="center"/>
              <w:rPr>
                <w:rFonts w:ascii="Century Gothic" w:hAnsi="Century Gothic"/>
                <w:b/>
                <w:sz w:val="28"/>
                <w:szCs w:val="24"/>
              </w:rPr>
            </w:pPr>
            <w:r w:rsidRPr="0026795D">
              <w:rPr>
                <w:rFonts w:ascii="Century Gothic" w:hAnsi="Century Gothic"/>
                <w:b/>
                <w:sz w:val="28"/>
                <w:szCs w:val="24"/>
              </w:rPr>
              <w:t>DIP. BRENDA FRANCISCA RÍOS</w:t>
            </w:r>
          </w:p>
          <w:p w14:paraId="510499C9" w14:textId="77777777" w:rsidR="00550936" w:rsidRDefault="00550936" w:rsidP="008F0FD6">
            <w:pPr>
              <w:jc w:val="both"/>
              <w:rPr>
                <w:rFonts w:ascii="Century Gothic" w:hAnsi="Century Gothic" w:cs="Arial"/>
                <w:bCs/>
                <w:sz w:val="28"/>
                <w:szCs w:val="28"/>
              </w:rPr>
            </w:pPr>
          </w:p>
          <w:p w14:paraId="2EFD7D1A" w14:textId="69DE7D76" w:rsidR="00550936" w:rsidRDefault="00550936" w:rsidP="008F0FD6">
            <w:pPr>
              <w:jc w:val="both"/>
              <w:rPr>
                <w:rFonts w:ascii="Century Gothic" w:hAnsi="Century Gothic" w:cs="Arial"/>
                <w:bCs/>
                <w:sz w:val="28"/>
                <w:szCs w:val="28"/>
              </w:rPr>
            </w:pPr>
          </w:p>
        </w:tc>
        <w:tc>
          <w:tcPr>
            <w:tcW w:w="4675" w:type="dxa"/>
          </w:tcPr>
          <w:p w14:paraId="49AEC736" w14:textId="77777777"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EDIN CUAUHTÉMOC ESTRADA SOTELO</w:t>
            </w:r>
          </w:p>
          <w:p w14:paraId="4DB508F7" w14:textId="77777777" w:rsidR="00550936" w:rsidRDefault="00550936" w:rsidP="008F0FD6">
            <w:pPr>
              <w:jc w:val="both"/>
              <w:rPr>
                <w:rFonts w:ascii="Century Gothic" w:hAnsi="Century Gothic" w:cs="Arial"/>
                <w:bCs/>
                <w:sz w:val="28"/>
                <w:szCs w:val="28"/>
              </w:rPr>
            </w:pPr>
          </w:p>
        </w:tc>
      </w:tr>
      <w:tr w:rsidR="00550936" w14:paraId="276FE90F" w14:textId="77777777" w:rsidTr="00550936">
        <w:tc>
          <w:tcPr>
            <w:tcW w:w="4675" w:type="dxa"/>
          </w:tcPr>
          <w:p w14:paraId="2D852EAB" w14:textId="254A7A78" w:rsidR="006409C5" w:rsidRDefault="006409C5" w:rsidP="00550936">
            <w:pPr>
              <w:jc w:val="center"/>
              <w:rPr>
                <w:rFonts w:ascii="Century Gothic" w:hAnsi="Century Gothic"/>
                <w:b/>
                <w:color w:val="000000"/>
                <w:sz w:val="28"/>
                <w:szCs w:val="24"/>
              </w:rPr>
            </w:pPr>
          </w:p>
          <w:p w14:paraId="044D2CE6" w14:textId="73424F68" w:rsidR="00550936" w:rsidRPr="00FE586C" w:rsidRDefault="00550936" w:rsidP="00FE586C">
            <w:pPr>
              <w:jc w:val="center"/>
              <w:rPr>
                <w:rFonts w:ascii="Century Gothic" w:hAnsi="Century Gothic"/>
                <w:b/>
                <w:color w:val="000000"/>
                <w:sz w:val="28"/>
                <w:szCs w:val="24"/>
              </w:rPr>
            </w:pPr>
            <w:r w:rsidRPr="0026795D">
              <w:rPr>
                <w:rFonts w:ascii="Century Gothic" w:hAnsi="Century Gothic"/>
                <w:b/>
                <w:color w:val="000000"/>
                <w:sz w:val="28"/>
                <w:szCs w:val="24"/>
              </w:rPr>
              <w:t>DIP. EDITH PALMA ONTIVEROS.</w:t>
            </w:r>
          </w:p>
        </w:tc>
        <w:tc>
          <w:tcPr>
            <w:tcW w:w="4675" w:type="dxa"/>
          </w:tcPr>
          <w:p w14:paraId="0D6CE74A" w14:textId="77777777" w:rsidR="006409C5" w:rsidRDefault="006409C5" w:rsidP="00550936">
            <w:pPr>
              <w:jc w:val="center"/>
              <w:rPr>
                <w:rFonts w:ascii="Century Gothic" w:hAnsi="Century Gothic"/>
                <w:b/>
                <w:color w:val="000000"/>
                <w:sz w:val="28"/>
                <w:szCs w:val="24"/>
              </w:rPr>
            </w:pPr>
          </w:p>
          <w:p w14:paraId="1FC01846" w14:textId="695C1A61" w:rsidR="00550936" w:rsidRDefault="00550936" w:rsidP="00550936">
            <w:pPr>
              <w:jc w:val="center"/>
              <w:rPr>
                <w:rFonts w:ascii="Century Gothic" w:hAnsi="Century Gothic" w:cs="Arial"/>
                <w:bCs/>
                <w:sz w:val="28"/>
                <w:szCs w:val="28"/>
              </w:rPr>
            </w:pPr>
            <w:r w:rsidRPr="0026795D">
              <w:rPr>
                <w:rFonts w:ascii="Century Gothic" w:hAnsi="Century Gothic"/>
                <w:b/>
                <w:color w:val="000000"/>
                <w:sz w:val="28"/>
                <w:szCs w:val="24"/>
              </w:rPr>
              <w:t>DIP. ELIZABETH GUZMÁN ARGUETA</w:t>
            </w:r>
          </w:p>
        </w:tc>
      </w:tr>
    </w:tbl>
    <w:p w14:paraId="136AB4EC" w14:textId="4D3CD986" w:rsidR="00550936" w:rsidRDefault="00550936" w:rsidP="008F0FD6">
      <w:pPr>
        <w:jc w:val="both"/>
        <w:rPr>
          <w:rFonts w:ascii="Century Gothic" w:hAnsi="Century Gothic"/>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936" w14:paraId="058C99FB" w14:textId="77777777" w:rsidTr="002350D5">
        <w:tc>
          <w:tcPr>
            <w:tcW w:w="4675" w:type="dxa"/>
          </w:tcPr>
          <w:p w14:paraId="0E05E93D" w14:textId="77777777" w:rsidR="00770B27" w:rsidRDefault="00770B27" w:rsidP="00FE586C">
            <w:pPr>
              <w:rPr>
                <w:rFonts w:ascii="Century Gothic" w:hAnsi="Century Gothic"/>
                <w:b/>
                <w:color w:val="000000"/>
                <w:sz w:val="28"/>
                <w:szCs w:val="24"/>
              </w:rPr>
            </w:pPr>
          </w:p>
          <w:p w14:paraId="0754CE33" w14:textId="77777777" w:rsidR="00770B27" w:rsidRDefault="00770B27" w:rsidP="00FE586C">
            <w:pPr>
              <w:rPr>
                <w:rFonts w:ascii="Century Gothic" w:hAnsi="Century Gothic"/>
                <w:b/>
                <w:color w:val="000000"/>
                <w:sz w:val="28"/>
                <w:szCs w:val="24"/>
              </w:rPr>
            </w:pPr>
          </w:p>
          <w:p w14:paraId="3C03B96D" w14:textId="7187F1D1"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LETICIA ORTEGA MÁYNEZ.</w:t>
            </w:r>
          </w:p>
          <w:p w14:paraId="306D2A41" w14:textId="77777777" w:rsidR="008317EC" w:rsidRDefault="008317EC" w:rsidP="008F0FD6">
            <w:pPr>
              <w:jc w:val="both"/>
              <w:rPr>
                <w:rFonts w:ascii="Century Gothic" w:hAnsi="Century Gothic"/>
                <w:sz w:val="28"/>
                <w:szCs w:val="28"/>
              </w:rPr>
            </w:pPr>
          </w:p>
          <w:p w14:paraId="712B7AD1" w14:textId="77777777" w:rsidR="002350D5" w:rsidRDefault="002350D5" w:rsidP="008F0FD6">
            <w:pPr>
              <w:jc w:val="both"/>
              <w:rPr>
                <w:rFonts w:ascii="Century Gothic" w:hAnsi="Century Gothic"/>
                <w:sz w:val="28"/>
                <w:szCs w:val="28"/>
              </w:rPr>
            </w:pPr>
          </w:p>
          <w:p w14:paraId="62D2BE0A" w14:textId="73A73865" w:rsidR="008317EC" w:rsidRDefault="008317EC" w:rsidP="008F0FD6">
            <w:pPr>
              <w:jc w:val="both"/>
              <w:rPr>
                <w:rFonts w:ascii="Century Gothic" w:hAnsi="Century Gothic"/>
                <w:sz w:val="28"/>
                <w:szCs w:val="28"/>
              </w:rPr>
            </w:pPr>
          </w:p>
        </w:tc>
        <w:tc>
          <w:tcPr>
            <w:tcW w:w="4675" w:type="dxa"/>
          </w:tcPr>
          <w:p w14:paraId="04AB7F5E" w14:textId="24B9063B" w:rsidR="00770B27" w:rsidRDefault="00770B27" w:rsidP="00FE586C">
            <w:pPr>
              <w:rPr>
                <w:rFonts w:ascii="Century Gothic" w:hAnsi="Century Gothic"/>
                <w:b/>
                <w:color w:val="000000"/>
                <w:sz w:val="28"/>
                <w:szCs w:val="24"/>
              </w:rPr>
            </w:pPr>
          </w:p>
          <w:p w14:paraId="30A1428B" w14:textId="1B03150D" w:rsidR="00770B27" w:rsidRDefault="00770B27" w:rsidP="00FE586C">
            <w:pPr>
              <w:rPr>
                <w:rFonts w:ascii="Century Gothic" w:hAnsi="Century Gothic"/>
                <w:b/>
                <w:color w:val="000000"/>
                <w:sz w:val="28"/>
                <w:szCs w:val="24"/>
              </w:rPr>
            </w:pPr>
          </w:p>
          <w:p w14:paraId="3483CB27" w14:textId="0099297D" w:rsidR="00550936"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MARÍA ANTONIETA PÉREZ REYES.</w:t>
            </w:r>
          </w:p>
          <w:p w14:paraId="49D1829D" w14:textId="77777777" w:rsidR="00550936" w:rsidRDefault="00550936" w:rsidP="008F0FD6">
            <w:pPr>
              <w:jc w:val="both"/>
              <w:rPr>
                <w:rFonts w:ascii="Century Gothic" w:hAnsi="Century Gothic"/>
                <w:sz w:val="28"/>
                <w:szCs w:val="28"/>
              </w:rPr>
            </w:pPr>
          </w:p>
        </w:tc>
      </w:tr>
      <w:tr w:rsidR="00550936" w14:paraId="49F77F9E" w14:textId="77777777" w:rsidTr="002350D5">
        <w:tc>
          <w:tcPr>
            <w:tcW w:w="4675" w:type="dxa"/>
          </w:tcPr>
          <w:p w14:paraId="339AE371" w14:textId="2D0B280A"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ROSANA DÍAZ REYES.</w:t>
            </w:r>
          </w:p>
          <w:p w14:paraId="5D3973A2" w14:textId="2F8EBB7B" w:rsidR="00550936" w:rsidRDefault="00550936" w:rsidP="008F0FD6">
            <w:pPr>
              <w:jc w:val="both"/>
              <w:rPr>
                <w:rFonts w:ascii="Century Gothic" w:hAnsi="Century Gothic"/>
                <w:sz w:val="28"/>
                <w:szCs w:val="28"/>
              </w:rPr>
            </w:pPr>
          </w:p>
          <w:p w14:paraId="632705D1" w14:textId="77777777" w:rsidR="002350D5" w:rsidRDefault="002350D5" w:rsidP="008F0FD6">
            <w:pPr>
              <w:jc w:val="both"/>
              <w:rPr>
                <w:rFonts w:ascii="Century Gothic" w:hAnsi="Century Gothic"/>
                <w:sz w:val="28"/>
                <w:szCs w:val="28"/>
              </w:rPr>
            </w:pPr>
          </w:p>
          <w:p w14:paraId="7DFBD698" w14:textId="0015E60C" w:rsidR="002350D5" w:rsidRDefault="002350D5" w:rsidP="008F0FD6">
            <w:pPr>
              <w:jc w:val="both"/>
              <w:rPr>
                <w:rFonts w:ascii="Century Gothic" w:hAnsi="Century Gothic"/>
                <w:sz w:val="28"/>
                <w:szCs w:val="28"/>
              </w:rPr>
            </w:pPr>
          </w:p>
        </w:tc>
        <w:tc>
          <w:tcPr>
            <w:tcW w:w="4675" w:type="dxa"/>
          </w:tcPr>
          <w:p w14:paraId="41649010" w14:textId="0F201A4E"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PEDRO TORRES ESTRADA</w:t>
            </w:r>
          </w:p>
        </w:tc>
      </w:tr>
      <w:tr w:rsidR="00550936" w14:paraId="29177679" w14:textId="77777777" w:rsidTr="002350D5">
        <w:tc>
          <w:tcPr>
            <w:tcW w:w="4675" w:type="dxa"/>
          </w:tcPr>
          <w:p w14:paraId="7F5F1A2D" w14:textId="1A432B25" w:rsidR="00550936" w:rsidRPr="0026795D" w:rsidRDefault="00550936" w:rsidP="00550936">
            <w:pPr>
              <w:jc w:val="center"/>
              <w:rPr>
                <w:rFonts w:ascii="Century Gothic" w:hAnsi="Century Gothic"/>
                <w:b/>
                <w:color w:val="000000"/>
                <w:sz w:val="28"/>
                <w:szCs w:val="24"/>
              </w:rPr>
            </w:pPr>
            <w:r w:rsidRPr="0026795D">
              <w:rPr>
                <w:rFonts w:ascii="Century Gothic" w:hAnsi="Century Gothic"/>
                <w:b/>
                <w:color w:val="000000"/>
                <w:sz w:val="28"/>
                <w:szCs w:val="24"/>
              </w:rPr>
              <w:t>DIP. MAGDALENA RENTERÍA PÉREZ.</w:t>
            </w:r>
          </w:p>
          <w:p w14:paraId="6DF1333B" w14:textId="6F109F43" w:rsidR="00550936" w:rsidRDefault="00550936" w:rsidP="008F0FD6">
            <w:pPr>
              <w:jc w:val="both"/>
              <w:rPr>
                <w:rFonts w:ascii="Century Gothic" w:hAnsi="Century Gothic"/>
                <w:sz w:val="28"/>
                <w:szCs w:val="28"/>
              </w:rPr>
            </w:pPr>
          </w:p>
          <w:p w14:paraId="4F0D5C8E" w14:textId="6ED77590" w:rsidR="002350D5" w:rsidRDefault="002350D5" w:rsidP="008F0FD6">
            <w:pPr>
              <w:jc w:val="both"/>
              <w:rPr>
                <w:rFonts w:ascii="Century Gothic" w:hAnsi="Century Gothic"/>
                <w:sz w:val="28"/>
                <w:szCs w:val="28"/>
              </w:rPr>
            </w:pPr>
          </w:p>
          <w:p w14:paraId="36E7A704" w14:textId="3EDA7077" w:rsidR="008317EC" w:rsidRDefault="008317EC" w:rsidP="008F0FD6">
            <w:pPr>
              <w:jc w:val="both"/>
              <w:rPr>
                <w:rFonts w:ascii="Century Gothic" w:hAnsi="Century Gothic"/>
                <w:sz w:val="28"/>
                <w:szCs w:val="28"/>
              </w:rPr>
            </w:pPr>
          </w:p>
        </w:tc>
        <w:tc>
          <w:tcPr>
            <w:tcW w:w="4675" w:type="dxa"/>
          </w:tcPr>
          <w:p w14:paraId="6FFF1D64" w14:textId="5F3AC4BF"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JAEL ARGÜELLES DÍAZ</w:t>
            </w:r>
          </w:p>
        </w:tc>
      </w:tr>
      <w:tr w:rsidR="00550936" w14:paraId="38AEF248" w14:textId="77777777" w:rsidTr="002350D5">
        <w:tc>
          <w:tcPr>
            <w:tcW w:w="4675" w:type="dxa"/>
          </w:tcPr>
          <w:p w14:paraId="0428BE3A" w14:textId="4290D18E" w:rsidR="00550936" w:rsidRDefault="00550936" w:rsidP="008F0FD6">
            <w:pPr>
              <w:jc w:val="both"/>
              <w:rPr>
                <w:rFonts w:ascii="Century Gothic" w:hAnsi="Century Gothic"/>
                <w:sz w:val="28"/>
                <w:szCs w:val="28"/>
              </w:rPr>
            </w:pPr>
            <w:r w:rsidRPr="0026795D">
              <w:rPr>
                <w:rFonts w:ascii="Century Gothic" w:hAnsi="Century Gothic"/>
                <w:b/>
                <w:color w:val="000000"/>
                <w:sz w:val="28"/>
                <w:szCs w:val="24"/>
              </w:rPr>
              <w:t>DIP. ÓSCAR DANIEL AVITIA ARELLANES</w:t>
            </w:r>
          </w:p>
        </w:tc>
        <w:tc>
          <w:tcPr>
            <w:tcW w:w="4675" w:type="dxa"/>
          </w:tcPr>
          <w:p w14:paraId="2A166860" w14:textId="3673EFBD" w:rsidR="00550936" w:rsidRDefault="00550936" w:rsidP="008F0FD6">
            <w:pPr>
              <w:jc w:val="both"/>
              <w:rPr>
                <w:rFonts w:ascii="Century Gothic" w:hAnsi="Century Gothic"/>
                <w:sz w:val="28"/>
                <w:szCs w:val="28"/>
              </w:rPr>
            </w:pPr>
          </w:p>
        </w:tc>
      </w:tr>
    </w:tbl>
    <w:p w14:paraId="71EFD0F0" w14:textId="1DDAFA18" w:rsidR="00550936" w:rsidRPr="008F0FD6" w:rsidRDefault="00A27D84" w:rsidP="008F0FD6">
      <w:pPr>
        <w:jc w:val="both"/>
        <w:rPr>
          <w:rFonts w:ascii="Century Gothic" w:hAnsi="Century Gothic"/>
          <w:sz w:val="28"/>
          <w:szCs w:val="28"/>
        </w:rPr>
      </w:pPr>
      <w:r>
        <w:rPr>
          <w:rFonts w:ascii="Century Gothic" w:hAnsi="Century Gothic"/>
          <w:noProof/>
          <w:sz w:val="28"/>
          <w:lang w:val="es-MX" w:eastAsia="es-MX"/>
        </w:rPr>
        <mc:AlternateContent>
          <mc:Choice Requires="wps">
            <w:drawing>
              <wp:anchor distT="0" distB="0" distL="114300" distR="114300" simplePos="0" relativeHeight="251667456" behindDoc="1" locked="0" layoutInCell="1" allowOverlap="1" wp14:anchorId="7867A82A" wp14:editId="74B9216A">
                <wp:simplePos x="0" y="0"/>
                <wp:positionH relativeFrom="margin">
                  <wp:align>center</wp:align>
                </wp:positionH>
                <wp:positionV relativeFrom="paragraph">
                  <wp:posOffset>694690</wp:posOffset>
                </wp:positionV>
                <wp:extent cx="7115175" cy="76200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7115175" cy="762000"/>
                        </a:xfrm>
                        <a:prstGeom prst="rect">
                          <a:avLst/>
                        </a:prstGeom>
                        <a:solidFill>
                          <a:schemeClr val="lt1"/>
                        </a:solidFill>
                        <a:ln w="6350">
                          <a:solidFill>
                            <a:prstClr val="black"/>
                          </a:solidFill>
                        </a:ln>
                      </wps:spPr>
                      <wps:txbx>
                        <w:txbxContent>
                          <w:p w14:paraId="07F97540" w14:textId="67124725" w:rsidR="00A97ED1" w:rsidRDefault="00A97ED1" w:rsidP="00FE586C">
                            <w:pPr>
                              <w:spacing w:line="240" w:lineRule="auto"/>
                              <w:jc w:val="both"/>
                            </w:pPr>
                            <w:r>
                              <w:t xml:space="preserve">La presente hoja de firmas forma parte del </w:t>
                            </w:r>
                            <w:r w:rsidRPr="00596823">
                              <w:t>proyecto con carácter de DECRETO</w:t>
                            </w:r>
                            <w:r w:rsidR="00F14BEA" w:rsidRPr="00F14BEA">
                              <w:t>, a fin de adicionar una fracción XVIII al artículo 24 de la Ley de Derechos de las Personas Mayores en el Estado de Chihuahua, con el objeto de establecer como obligación de los servicios de salud la realización anual y prioritaria de evaluaciones geriátricas integrales a toda persona</w:t>
                            </w:r>
                            <w:r w:rsidR="00FE586C">
                              <w:t xml:space="preserve"> </w:t>
                            </w:r>
                            <w:r w:rsidR="00F14BEA" w:rsidRPr="00F14BEA">
                              <w:t>mayor de 60 años, independientemente de su afiliación a la seguridad social</w:t>
                            </w:r>
                            <w:r w:rsidR="00FE586C">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7A82A" id="_x0000_t202" coordsize="21600,21600" o:spt="202" path="m,l,21600r21600,l21600,xe">
                <v:stroke joinstyle="miter"/>
                <v:path gradientshapeok="t" o:connecttype="rect"/>
              </v:shapetype>
              <v:shape id="Cuadro de texto 9" o:spid="_x0000_s1026" type="#_x0000_t202" style="position:absolute;left:0;text-align:left;margin-left:0;margin-top:54.7pt;width:560.25pt;height:60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" fillcolor="white [3201]" strokeweight=".5pt">
                <v:textbox>
                  <w:txbxContent>
                    <w:p w14:paraId="07F97540" w14:textId="67124725" w:rsidR="00A97ED1" w:rsidRDefault="00A97ED1" w:rsidP="00FE586C">
                      <w:pPr>
                        <w:spacing w:line="240" w:lineRule="auto"/>
                        <w:jc w:val="both"/>
                      </w:pPr>
                      <w:r>
                        <w:t xml:space="preserve">La presente hoja de firmas forma parte del </w:t>
                      </w:r>
                      <w:r w:rsidRPr="00596823">
                        <w:t>proyecto con carácter de DECRETO</w:t>
                      </w:r>
                      <w:r w:rsidR="00F14BEA" w:rsidRPr="00F14BEA">
                        <w:t>, a fin de adicionar una fracción XVIII al artículo 24 de la Ley de Derechos de las Personas Mayores en el Estado de Chihuahua, con el objeto de establecer como obligación de los servicios de salud la realización anual y prioritaria de evaluaciones geriátricas integrales a toda persona</w:t>
                      </w:r>
                      <w:r w:rsidR="00FE586C">
                        <w:t xml:space="preserve"> </w:t>
                      </w:r>
                      <w:r w:rsidR="00F14BEA" w:rsidRPr="00F14BEA">
                        <w:t>mayor de 60 años, independientemente de su afiliación a la seguridad social</w:t>
                      </w:r>
                      <w:r w:rsidR="00FE586C">
                        <w:t>.</w:t>
                      </w:r>
                    </w:p>
                  </w:txbxContent>
                </v:textbox>
                <w10:wrap anchorx="margin"/>
              </v:shape>
            </w:pict>
          </mc:Fallback>
        </mc:AlternateContent>
      </w:r>
    </w:p>
    <w:sectPr w:rsidR="00550936" w:rsidRPr="008F0FD6" w:rsidSect="00035E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7057" w14:textId="77777777" w:rsidR="00655C27" w:rsidRDefault="00655C27" w:rsidP="009326A5">
      <w:pPr>
        <w:spacing w:after="0" w:line="240" w:lineRule="auto"/>
      </w:pPr>
      <w:r>
        <w:separator/>
      </w:r>
    </w:p>
  </w:endnote>
  <w:endnote w:type="continuationSeparator" w:id="0">
    <w:p w14:paraId="416C5131" w14:textId="77777777" w:rsidR="00655C27" w:rsidRDefault="00655C27"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150" w14:textId="77777777" w:rsidR="00CE6D74" w:rsidRDefault="00CE6D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467346" w:rsidRDefault="00CE6D74" w:rsidP="009326A5">
    <w:pPr>
      <w:pStyle w:val="Piedepgina"/>
      <w:jc w:val="center"/>
      <w:rPr>
        <w:b/>
        <w:bCs/>
      </w:rPr>
    </w:pPr>
    <w:r>
      <w:rPr>
        <w:noProof/>
        <w:lang w:val="es-MX" w:eastAsia="es-MX"/>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Cuadro de texto 2" o:spid="_x0000_s1027"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lang w:val="es-MX" w:eastAsia="es-MX"/>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23558305"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sidR="00E90AE5">
      <w:rPr>
        <w:noProof/>
      </w:rPr>
      <w:t>1</w:t>
    </w:r>
    <w:r>
      <w:fldChar w:fldCharType="end"/>
    </w:r>
    <w:r>
      <w:t xml:space="preserve"> </w:t>
    </w:r>
  </w:p>
  <w:p w14:paraId="56409381" w14:textId="30AF488F" w:rsidR="009326A5" w:rsidRDefault="009326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0FF2" w14:textId="77777777" w:rsidR="00CE6D74" w:rsidRDefault="00CE6D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4EA5" w14:textId="77777777" w:rsidR="00655C27" w:rsidRDefault="00655C27" w:rsidP="009326A5">
      <w:pPr>
        <w:spacing w:after="0" w:line="240" w:lineRule="auto"/>
      </w:pPr>
      <w:r>
        <w:separator/>
      </w:r>
    </w:p>
  </w:footnote>
  <w:footnote w:type="continuationSeparator" w:id="0">
    <w:p w14:paraId="14827FD4" w14:textId="77777777" w:rsidR="00655C27" w:rsidRDefault="00655C27"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FF4F" w14:textId="77777777" w:rsidR="00CE6D74" w:rsidRDefault="00CE6D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9326A5" w:rsidRDefault="000C16B4">
    <w:pPr>
      <w:pStyle w:val="Encabezado"/>
    </w:pPr>
    <w:r w:rsidRPr="00882BF3">
      <w:rPr>
        <w:noProof/>
        <w:lang w:val="es-MX" w:eastAsia="es-MX"/>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4"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lang w:val="es-MX" w:eastAsia="es-MX"/>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5"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lang w:val="es-MX" w:eastAsia="es-MX"/>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6"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73BB" w14:textId="77777777" w:rsidR="00CE6D74" w:rsidRDefault="00CE6D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0A5"/>
    <w:multiLevelType w:val="hybridMultilevel"/>
    <w:tmpl w:val="57CA5B14"/>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21F26DE5"/>
    <w:multiLevelType w:val="hybridMultilevel"/>
    <w:tmpl w:val="5B761204"/>
    <w:lvl w:ilvl="0" w:tplc="9FFC2DD6">
      <w:start w:val="1"/>
      <w:numFmt w:val="upperRoman"/>
      <w:lvlText w:val="%1."/>
      <w:lvlJc w:val="left"/>
      <w:pPr>
        <w:ind w:left="1080" w:hanging="720"/>
      </w:pPr>
      <w:rPr>
        <w:rFonts w:ascii="Century Gothic" w:eastAsia="Calibri" w:hAnsi="Century Gothic"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52B7BC1"/>
    <w:multiLevelType w:val="hybridMultilevel"/>
    <w:tmpl w:val="F536C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A1B2F5D"/>
    <w:multiLevelType w:val="hybridMultilevel"/>
    <w:tmpl w:val="E872DBE4"/>
    <w:lvl w:ilvl="0" w:tplc="B03C81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4F6235"/>
    <w:multiLevelType w:val="hybridMultilevel"/>
    <w:tmpl w:val="5B761204"/>
    <w:lvl w:ilvl="0" w:tplc="9FFC2DD6">
      <w:start w:val="1"/>
      <w:numFmt w:val="upperRoman"/>
      <w:lvlText w:val="%1."/>
      <w:lvlJc w:val="left"/>
      <w:pPr>
        <w:ind w:left="1080" w:hanging="720"/>
      </w:pPr>
      <w:rPr>
        <w:rFonts w:ascii="Century Gothic" w:eastAsia="Calibri" w:hAnsi="Century Gothic"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6A5"/>
    <w:rsid w:val="00001272"/>
    <w:rsid w:val="00004178"/>
    <w:rsid w:val="00005C0F"/>
    <w:rsid w:val="00015211"/>
    <w:rsid w:val="00035E39"/>
    <w:rsid w:val="00050977"/>
    <w:rsid w:val="000523DB"/>
    <w:rsid w:val="00071DF7"/>
    <w:rsid w:val="00074EE4"/>
    <w:rsid w:val="00087208"/>
    <w:rsid w:val="000C16B4"/>
    <w:rsid w:val="000E36FE"/>
    <w:rsid w:val="000E3E22"/>
    <w:rsid w:val="000E405B"/>
    <w:rsid w:val="000E6810"/>
    <w:rsid w:val="000F3A1B"/>
    <w:rsid w:val="00116917"/>
    <w:rsid w:val="001339FD"/>
    <w:rsid w:val="001423DE"/>
    <w:rsid w:val="00145FE6"/>
    <w:rsid w:val="00164344"/>
    <w:rsid w:val="00182F9D"/>
    <w:rsid w:val="001A0C74"/>
    <w:rsid w:val="001D2886"/>
    <w:rsid w:val="001E42BE"/>
    <w:rsid w:val="001E730F"/>
    <w:rsid w:val="0021693C"/>
    <w:rsid w:val="002350D5"/>
    <w:rsid w:val="00235EC1"/>
    <w:rsid w:val="002360EA"/>
    <w:rsid w:val="00242CA5"/>
    <w:rsid w:val="00246A11"/>
    <w:rsid w:val="00256DD7"/>
    <w:rsid w:val="00282397"/>
    <w:rsid w:val="00286FD8"/>
    <w:rsid w:val="00292BB1"/>
    <w:rsid w:val="0029562D"/>
    <w:rsid w:val="00297B2F"/>
    <w:rsid w:val="002A3FA3"/>
    <w:rsid w:val="002A4162"/>
    <w:rsid w:val="002B5D1A"/>
    <w:rsid w:val="002D3521"/>
    <w:rsid w:val="002F791E"/>
    <w:rsid w:val="00307050"/>
    <w:rsid w:val="00320F0B"/>
    <w:rsid w:val="00322830"/>
    <w:rsid w:val="00382939"/>
    <w:rsid w:val="003A42DF"/>
    <w:rsid w:val="003A5136"/>
    <w:rsid w:val="003C67DB"/>
    <w:rsid w:val="003E2041"/>
    <w:rsid w:val="003F2673"/>
    <w:rsid w:val="003F4BCB"/>
    <w:rsid w:val="00427610"/>
    <w:rsid w:val="00442386"/>
    <w:rsid w:val="004574DC"/>
    <w:rsid w:val="004602B6"/>
    <w:rsid w:val="004614B8"/>
    <w:rsid w:val="00467346"/>
    <w:rsid w:val="00475CEA"/>
    <w:rsid w:val="00475E1C"/>
    <w:rsid w:val="004B4650"/>
    <w:rsid w:val="004C7C94"/>
    <w:rsid w:val="004D16B9"/>
    <w:rsid w:val="004E1F8B"/>
    <w:rsid w:val="004E5F23"/>
    <w:rsid w:val="004F3BA7"/>
    <w:rsid w:val="00500799"/>
    <w:rsid w:val="0051507C"/>
    <w:rsid w:val="00517712"/>
    <w:rsid w:val="00550936"/>
    <w:rsid w:val="005562D4"/>
    <w:rsid w:val="00556388"/>
    <w:rsid w:val="00564310"/>
    <w:rsid w:val="00566D64"/>
    <w:rsid w:val="00567203"/>
    <w:rsid w:val="00575EDE"/>
    <w:rsid w:val="005820CE"/>
    <w:rsid w:val="00592398"/>
    <w:rsid w:val="00596823"/>
    <w:rsid w:val="00596A30"/>
    <w:rsid w:val="005A72F5"/>
    <w:rsid w:val="005C75C8"/>
    <w:rsid w:val="005D21DB"/>
    <w:rsid w:val="005D359B"/>
    <w:rsid w:val="005E2115"/>
    <w:rsid w:val="005E6B89"/>
    <w:rsid w:val="005F0A89"/>
    <w:rsid w:val="005F275E"/>
    <w:rsid w:val="005F3A4F"/>
    <w:rsid w:val="005F7A2F"/>
    <w:rsid w:val="0060402E"/>
    <w:rsid w:val="006203CB"/>
    <w:rsid w:val="0062073C"/>
    <w:rsid w:val="00631204"/>
    <w:rsid w:val="006409C5"/>
    <w:rsid w:val="006479E7"/>
    <w:rsid w:val="00650AF1"/>
    <w:rsid w:val="00655C27"/>
    <w:rsid w:val="006720AA"/>
    <w:rsid w:val="00683759"/>
    <w:rsid w:val="006953D0"/>
    <w:rsid w:val="00695C07"/>
    <w:rsid w:val="006B1338"/>
    <w:rsid w:val="006B4932"/>
    <w:rsid w:val="006B7AB6"/>
    <w:rsid w:val="006C2B8A"/>
    <w:rsid w:val="006C6B4D"/>
    <w:rsid w:val="006C6FC5"/>
    <w:rsid w:val="006F2060"/>
    <w:rsid w:val="006F7180"/>
    <w:rsid w:val="006F7C94"/>
    <w:rsid w:val="007147E5"/>
    <w:rsid w:val="007267AD"/>
    <w:rsid w:val="007271A0"/>
    <w:rsid w:val="007366C1"/>
    <w:rsid w:val="00740FF8"/>
    <w:rsid w:val="00744873"/>
    <w:rsid w:val="00753766"/>
    <w:rsid w:val="00770B27"/>
    <w:rsid w:val="0078195C"/>
    <w:rsid w:val="00794F91"/>
    <w:rsid w:val="007A69C8"/>
    <w:rsid w:val="007B4500"/>
    <w:rsid w:val="007B4A46"/>
    <w:rsid w:val="007C0F02"/>
    <w:rsid w:val="007C56A9"/>
    <w:rsid w:val="007C69B5"/>
    <w:rsid w:val="008000C7"/>
    <w:rsid w:val="00804D35"/>
    <w:rsid w:val="008131A1"/>
    <w:rsid w:val="008177A6"/>
    <w:rsid w:val="00820CF6"/>
    <w:rsid w:val="008317EC"/>
    <w:rsid w:val="008321D2"/>
    <w:rsid w:val="00844011"/>
    <w:rsid w:val="008612F2"/>
    <w:rsid w:val="00861624"/>
    <w:rsid w:val="008721CF"/>
    <w:rsid w:val="00876EDC"/>
    <w:rsid w:val="00882BF3"/>
    <w:rsid w:val="00895BD0"/>
    <w:rsid w:val="008A160B"/>
    <w:rsid w:val="008A6A61"/>
    <w:rsid w:val="008B14F0"/>
    <w:rsid w:val="008F0FD6"/>
    <w:rsid w:val="00904BF3"/>
    <w:rsid w:val="009201C9"/>
    <w:rsid w:val="00926A2F"/>
    <w:rsid w:val="009326A5"/>
    <w:rsid w:val="0094159C"/>
    <w:rsid w:val="009520A9"/>
    <w:rsid w:val="00952926"/>
    <w:rsid w:val="009708B8"/>
    <w:rsid w:val="00973775"/>
    <w:rsid w:val="00994249"/>
    <w:rsid w:val="00994BF0"/>
    <w:rsid w:val="009A0D23"/>
    <w:rsid w:val="009B434C"/>
    <w:rsid w:val="009B7AB3"/>
    <w:rsid w:val="009C00DC"/>
    <w:rsid w:val="009D3E6C"/>
    <w:rsid w:val="009D7B2B"/>
    <w:rsid w:val="009E0D92"/>
    <w:rsid w:val="009E2708"/>
    <w:rsid w:val="009E3534"/>
    <w:rsid w:val="00A07BF0"/>
    <w:rsid w:val="00A07E59"/>
    <w:rsid w:val="00A126E3"/>
    <w:rsid w:val="00A200B9"/>
    <w:rsid w:val="00A26B46"/>
    <w:rsid w:val="00A27D84"/>
    <w:rsid w:val="00A6638B"/>
    <w:rsid w:val="00A707A1"/>
    <w:rsid w:val="00A865DD"/>
    <w:rsid w:val="00A97ED1"/>
    <w:rsid w:val="00AA4C5E"/>
    <w:rsid w:val="00AE3ACC"/>
    <w:rsid w:val="00AF1B2D"/>
    <w:rsid w:val="00AF231B"/>
    <w:rsid w:val="00B00286"/>
    <w:rsid w:val="00B048BB"/>
    <w:rsid w:val="00B06D8C"/>
    <w:rsid w:val="00B12FD8"/>
    <w:rsid w:val="00B13733"/>
    <w:rsid w:val="00B15BE4"/>
    <w:rsid w:val="00B169EA"/>
    <w:rsid w:val="00B35F95"/>
    <w:rsid w:val="00B43D58"/>
    <w:rsid w:val="00B459D7"/>
    <w:rsid w:val="00B5027A"/>
    <w:rsid w:val="00B60555"/>
    <w:rsid w:val="00B72EA6"/>
    <w:rsid w:val="00B86D23"/>
    <w:rsid w:val="00B95334"/>
    <w:rsid w:val="00BA7592"/>
    <w:rsid w:val="00BD191B"/>
    <w:rsid w:val="00BE4DC1"/>
    <w:rsid w:val="00BF3076"/>
    <w:rsid w:val="00C4736D"/>
    <w:rsid w:val="00C668BA"/>
    <w:rsid w:val="00C73B8D"/>
    <w:rsid w:val="00C84977"/>
    <w:rsid w:val="00C865AA"/>
    <w:rsid w:val="00C9728B"/>
    <w:rsid w:val="00CA3F1E"/>
    <w:rsid w:val="00CB1819"/>
    <w:rsid w:val="00CC60F4"/>
    <w:rsid w:val="00CD0F8A"/>
    <w:rsid w:val="00CE6D74"/>
    <w:rsid w:val="00CF7693"/>
    <w:rsid w:val="00D04B72"/>
    <w:rsid w:val="00D14B70"/>
    <w:rsid w:val="00D14E54"/>
    <w:rsid w:val="00D3459E"/>
    <w:rsid w:val="00D612FE"/>
    <w:rsid w:val="00D778D4"/>
    <w:rsid w:val="00D81018"/>
    <w:rsid w:val="00D84F3F"/>
    <w:rsid w:val="00D9592F"/>
    <w:rsid w:val="00DA2F80"/>
    <w:rsid w:val="00DE69DD"/>
    <w:rsid w:val="00E04131"/>
    <w:rsid w:val="00E041C0"/>
    <w:rsid w:val="00E1733B"/>
    <w:rsid w:val="00E20A7E"/>
    <w:rsid w:val="00E214B3"/>
    <w:rsid w:val="00E526D0"/>
    <w:rsid w:val="00E7326A"/>
    <w:rsid w:val="00E90AE5"/>
    <w:rsid w:val="00E931DF"/>
    <w:rsid w:val="00E96B80"/>
    <w:rsid w:val="00ED6129"/>
    <w:rsid w:val="00EF0220"/>
    <w:rsid w:val="00F0099D"/>
    <w:rsid w:val="00F12134"/>
    <w:rsid w:val="00F14BEA"/>
    <w:rsid w:val="00F27E72"/>
    <w:rsid w:val="00F371D5"/>
    <w:rsid w:val="00F42148"/>
    <w:rsid w:val="00F43B3B"/>
    <w:rsid w:val="00F6441A"/>
    <w:rsid w:val="00F709A6"/>
    <w:rsid w:val="00F75DDB"/>
    <w:rsid w:val="00F76105"/>
    <w:rsid w:val="00FE586C"/>
    <w:rsid w:val="00FF36EF"/>
    <w:rsid w:val="00FF3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50C6F8C-83A3-4CE6-806D-FD56A8A0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1326</Words>
  <Characters>7295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2025-09-30T03:56:00Z</cp:lastPrinted>
  <dcterms:created xsi:type="dcterms:W3CDTF">2025-11-05T20:15:00Z</dcterms:created>
  <dcterms:modified xsi:type="dcterms:W3CDTF">2025-11-05T20:15:00Z</dcterms:modified>
</cp:coreProperties>
</file>