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28BA6" w14:textId="77777777" w:rsidR="009D3FF5" w:rsidRPr="00E71DC9" w:rsidRDefault="009D3FF5" w:rsidP="009D3FF5">
      <w:pPr>
        <w:jc w:val="both"/>
        <w:rPr>
          <w:rFonts w:ascii="Arial" w:hAnsi="Arial" w:cs="Arial"/>
          <w:b/>
          <w:bCs/>
          <w:sz w:val="26"/>
          <w:szCs w:val="26"/>
        </w:rPr>
      </w:pPr>
    </w:p>
    <w:p w14:paraId="54396770" w14:textId="07F0BF96" w:rsidR="009D3FF5" w:rsidRPr="00E71DC9" w:rsidRDefault="009D3FF5" w:rsidP="009D3FF5">
      <w:pPr>
        <w:jc w:val="both"/>
        <w:rPr>
          <w:rFonts w:ascii="Arial" w:hAnsi="Arial" w:cs="Arial"/>
          <w:b/>
          <w:bCs/>
          <w:sz w:val="26"/>
          <w:szCs w:val="26"/>
        </w:rPr>
      </w:pPr>
      <w:r w:rsidRPr="00E71DC9">
        <w:rPr>
          <w:rFonts w:ascii="Arial" w:hAnsi="Arial" w:cs="Arial"/>
          <w:b/>
          <w:bCs/>
          <w:sz w:val="26"/>
          <w:szCs w:val="26"/>
        </w:rPr>
        <w:t>H. CONGRESO DEL ESTADO DE CHIHUAHUA.</w:t>
      </w:r>
    </w:p>
    <w:p w14:paraId="394205E2" w14:textId="77777777" w:rsidR="009D3FF5" w:rsidRPr="00E71DC9" w:rsidRDefault="009D3FF5" w:rsidP="009D3FF5">
      <w:pPr>
        <w:jc w:val="both"/>
        <w:rPr>
          <w:rFonts w:ascii="Arial" w:hAnsi="Arial" w:cs="Arial"/>
          <w:b/>
          <w:bCs/>
          <w:sz w:val="26"/>
          <w:szCs w:val="26"/>
        </w:rPr>
      </w:pPr>
      <w:r w:rsidRPr="00E71DC9">
        <w:rPr>
          <w:rFonts w:ascii="Arial" w:hAnsi="Arial" w:cs="Arial"/>
          <w:b/>
          <w:bCs/>
          <w:sz w:val="26"/>
          <w:szCs w:val="26"/>
        </w:rPr>
        <w:t>PRESENTE.</w:t>
      </w:r>
    </w:p>
    <w:p w14:paraId="34E892E8" w14:textId="77777777" w:rsidR="009D3FF5" w:rsidRPr="00E71DC9" w:rsidRDefault="009D3FF5" w:rsidP="009D3FF5">
      <w:pPr>
        <w:jc w:val="both"/>
        <w:rPr>
          <w:rFonts w:ascii="Arial" w:hAnsi="Arial" w:cs="Arial"/>
          <w:sz w:val="26"/>
          <w:szCs w:val="26"/>
        </w:rPr>
      </w:pPr>
    </w:p>
    <w:p w14:paraId="5958A605" w14:textId="7DD2F434" w:rsidR="009D3FF5" w:rsidRPr="00E71DC9" w:rsidRDefault="009D3FF5" w:rsidP="009D3FF5">
      <w:pPr>
        <w:jc w:val="both"/>
        <w:rPr>
          <w:rFonts w:ascii="Arial" w:hAnsi="Arial" w:cs="Arial"/>
          <w:sz w:val="26"/>
          <w:szCs w:val="26"/>
        </w:rPr>
      </w:pPr>
      <w:r w:rsidRPr="00E71DC9">
        <w:rPr>
          <w:rFonts w:ascii="Arial" w:hAnsi="Arial" w:cs="Arial"/>
          <w:sz w:val="26"/>
          <w:szCs w:val="26"/>
        </w:rPr>
        <w:t xml:space="preserve">Quien suscribe, </w:t>
      </w:r>
      <w:r w:rsidRPr="00E71DC9">
        <w:rPr>
          <w:rFonts w:ascii="Arial" w:hAnsi="Arial" w:cs="Arial"/>
          <w:b/>
          <w:bCs/>
          <w:sz w:val="26"/>
          <w:szCs w:val="26"/>
        </w:rPr>
        <w:t>Pedro Torres Estrada</w:t>
      </w:r>
      <w:r w:rsidRPr="00E71DC9">
        <w:rPr>
          <w:rFonts w:ascii="Arial" w:hAnsi="Arial" w:cs="Arial"/>
          <w:sz w:val="26"/>
          <w:szCs w:val="26"/>
        </w:rPr>
        <w:t xml:space="preserve">, diputado integrante del Grupo Parlamentario de Morena, con fundamento en lo dispuesto por el artículo 66 de la Constitución Política del Estado Libre y Soberano de Chihuahua me permito formular las siguientes preguntas a la </w:t>
      </w:r>
      <w:r w:rsidRPr="00E71DC9">
        <w:rPr>
          <w:rFonts w:ascii="Arial" w:hAnsi="Arial" w:cs="Arial"/>
          <w:b/>
          <w:bCs/>
          <w:sz w:val="26"/>
          <w:szCs w:val="26"/>
        </w:rPr>
        <w:t>C</w:t>
      </w:r>
      <w:r w:rsidR="009B4E74" w:rsidRPr="00E71DC9">
        <w:rPr>
          <w:rFonts w:ascii="Arial" w:hAnsi="Arial" w:cs="Arial"/>
          <w:b/>
          <w:bCs/>
          <w:sz w:val="26"/>
          <w:szCs w:val="26"/>
        </w:rPr>
        <w:t>. Lic</w:t>
      </w:r>
      <w:r w:rsidR="00F1073F" w:rsidRPr="00E71DC9">
        <w:rPr>
          <w:rFonts w:ascii="Arial" w:hAnsi="Arial" w:cs="Arial"/>
          <w:b/>
          <w:bCs/>
          <w:sz w:val="26"/>
          <w:szCs w:val="26"/>
        </w:rPr>
        <w:t>.</w:t>
      </w:r>
      <w:r w:rsidR="009B4E74" w:rsidRPr="00E71DC9">
        <w:rPr>
          <w:rFonts w:ascii="Arial" w:hAnsi="Arial" w:cs="Arial"/>
          <w:b/>
          <w:bCs/>
          <w:sz w:val="26"/>
          <w:szCs w:val="26"/>
        </w:rPr>
        <w:t xml:space="preserve"> César Gustavo Jáuregui</w:t>
      </w:r>
      <w:r w:rsidR="009B4E74" w:rsidRPr="00E71DC9">
        <w:rPr>
          <w:rFonts w:ascii="Arial" w:hAnsi="Arial" w:cs="Arial"/>
          <w:sz w:val="26"/>
          <w:szCs w:val="26"/>
        </w:rPr>
        <w:t xml:space="preserve"> </w:t>
      </w:r>
      <w:r w:rsidR="009B4E74" w:rsidRPr="00E71DC9">
        <w:rPr>
          <w:rFonts w:ascii="Arial" w:hAnsi="Arial" w:cs="Arial"/>
          <w:b/>
          <w:bCs/>
          <w:sz w:val="26"/>
          <w:szCs w:val="26"/>
        </w:rPr>
        <w:t>Moreno</w:t>
      </w:r>
      <w:r w:rsidRPr="00E71DC9">
        <w:rPr>
          <w:rFonts w:ascii="Arial" w:hAnsi="Arial" w:cs="Arial"/>
          <w:sz w:val="26"/>
          <w:szCs w:val="26"/>
        </w:rPr>
        <w:t>,</w:t>
      </w:r>
      <w:r w:rsidR="009B4E74" w:rsidRPr="00E71DC9">
        <w:rPr>
          <w:rFonts w:ascii="Arial" w:hAnsi="Arial" w:cs="Arial"/>
          <w:sz w:val="26"/>
          <w:szCs w:val="26"/>
        </w:rPr>
        <w:t xml:space="preserve"> </w:t>
      </w:r>
      <w:proofErr w:type="gramStart"/>
      <w:r w:rsidR="009B4E74" w:rsidRPr="00E71DC9">
        <w:rPr>
          <w:rFonts w:ascii="Arial" w:hAnsi="Arial" w:cs="Arial"/>
          <w:sz w:val="26"/>
          <w:szCs w:val="26"/>
        </w:rPr>
        <w:t>Fiscal</w:t>
      </w:r>
      <w:r w:rsidR="00F1073F" w:rsidRPr="00E71DC9">
        <w:rPr>
          <w:rFonts w:ascii="Arial" w:hAnsi="Arial" w:cs="Arial"/>
          <w:sz w:val="26"/>
          <w:szCs w:val="26"/>
        </w:rPr>
        <w:t xml:space="preserve"> </w:t>
      </w:r>
      <w:r w:rsidR="009B4E74" w:rsidRPr="00E71DC9">
        <w:rPr>
          <w:rFonts w:ascii="Arial" w:hAnsi="Arial" w:cs="Arial"/>
          <w:sz w:val="26"/>
          <w:szCs w:val="26"/>
        </w:rPr>
        <w:t>General</w:t>
      </w:r>
      <w:proofErr w:type="gramEnd"/>
      <w:r w:rsidR="009B4E74" w:rsidRPr="00E71DC9">
        <w:rPr>
          <w:rFonts w:ascii="Arial" w:hAnsi="Arial" w:cs="Arial"/>
          <w:sz w:val="26"/>
          <w:szCs w:val="26"/>
        </w:rPr>
        <w:t xml:space="preserve"> del Estado</w:t>
      </w:r>
      <w:r w:rsidR="007124DA" w:rsidRPr="00E71DC9">
        <w:rPr>
          <w:rFonts w:ascii="Arial" w:hAnsi="Arial" w:cs="Arial"/>
          <w:sz w:val="26"/>
          <w:szCs w:val="26"/>
        </w:rPr>
        <w:t>,</w:t>
      </w:r>
      <w:r w:rsidRPr="00E71DC9">
        <w:rPr>
          <w:rFonts w:ascii="Arial" w:hAnsi="Arial" w:cs="Arial"/>
          <w:sz w:val="26"/>
          <w:szCs w:val="26"/>
        </w:rPr>
        <w:t xml:space="preserve"> cumpliendo con los requerimientos del artículo anteriormente citado, al tenor de la siguiente:</w:t>
      </w:r>
    </w:p>
    <w:p w14:paraId="40E576C9" w14:textId="77777777" w:rsidR="006B453F" w:rsidRPr="00E71DC9" w:rsidRDefault="006B453F" w:rsidP="009D3FF5">
      <w:pPr>
        <w:jc w:val="center"/>
        <w:rPr>
          <w:rFonts w:ascii="Arial" w:hAnsi="Arial" w:cs="Arial"/>
          <w:b/>
          <w:bCs/>
          <w:sz w:val="26"/>
          <w:szCs w:val="26"/>
        </w:rPr>
      </w:pPr>
    </w:p>
    <w:p w14:paraId="0174F688" w14:textId="7907B221" w:rsidR="009D3FF5" w:rsidRPr="00E71DC9" w:rsidRDefault="009D3FF5" w:rsidP="009D3FF5">
      <w:pPr>
        <w:jc w:val="center"/>
        <w:rPr>
          <w:rFonts w:ascii="Arial" w:hAnsi="Arial" w:cs="Arial"/>
          <w:b/>
          <w:bCs/>
          <w:sz w:val="26"/>
          <w:szCs w:val="26"/>
        </w:rPr>
      </w:pPr>
      <w:r w:rsidRPr="00E71DC9">
        <w:rPr>
          <w:rFonts w:ascii="Arial" w:hAnsi="Arial" w:cs="Arial"/>
          <w:b/>
          <w:bCs/>
          <w:sz w:val="26"/>
          <w:szCs w:val="26"/>
        </w:rPr>
        <w:t>Exposición de motivos</w:t>
      </w:r>
      <w:r w:rsidR="007124DA" w:rsidRPr="00E71DC9">
        <w:rPr>
          <w:rFonts w:ascii="Arial" w:hAnsi="Arial" w:cs="Arial"/>
          <w:b/>
          <w:bCs/>
          <w:sz w:val="26"/>
          <w:szCs w:val="26"/>
        </w:rPr>
        <w:t>:</w:t>
      </w:r>
    </w:p>
    <w:p w14:paraId="4F776331" w14:textId="77777777" w:rsidR="007124DA" w:rsidRPr="00E71DC9" w:rsidRDefault="007124DA" w:rsidP="009D3FF5">
      <w:pPr>
        <w:jc w:val="center"/>
        <w:rPr>
          <w:rFonts w:ascii="Arial" w:hAnsi="Arial" w:cs="Arial"/>
          <w:b/>
          <w:bCs/>
          <w:sz w:val="26"/>
          <w:szCs w:val="26"/>
        </w:rPr>
      </w:pPr>
    </w:p>
    <w:p w14:paraId="514B2467" w14:textId="77777777" w:rsidR="00F9722F" w:rsidRPr="00E71DC9" w:rsidRDefault="00F9722F" w:rsidP="00F9722F">
      <w:pPr>
        <w:jc w:val="both"/>
        <w:rPr>
          <w:rFonts w:ascii="Arial" w:hAnsi="Arial" w:cs="Arial"/>
          <w:sz w:val="26"/>
          <w:szCs w:val="26"/>
        </w:rPr>
      </w:pPr>
      <w:r w:rsidRPr="00E71DC9">
        <w:rPr>
          <w:rFonts w:ascii="Arial" w:hAnsi="Arial" w:cs="Arial"/>
          <w:sz w:val="26"/>
          <w:szCs w:val="26"/>
        </w:rPr>
        <w:t>La impartición de justicia debe ser un pilar de la confianza ciudadana, especialmente en delitos de alto impacto que laceran profundamente el tejido social, como lo es el secuestro. La pena impuesta a un sentenciado, más allá de su carácter punitivo, representa la garantía de justicia y reparación moral para las víctimas.</w:t>
      </w:r>
    </w:p>
    <w:p w14:paraId="4AC05F6E" w14:textId="77777777" w:rsidR="00F9722F" w:rsidRPr="00E71DC9" w:rsidRDefault="00F9722F" w:rsidP="00F9722F">
      <w:pPr>
        <w:jc w:val="both"/>
        <w:rPr>
          <w:rFonts w:ascii="Arial" w:hAnsi="Arial" w:cs="Arial"/>
          <w:sz w:val="26"/>
          <w:szCs w:val="26"/>
        </w:rPr>
      </w:pPr>
    </w:p>
    <w:p w14:paraId="0C23204B" w14:textId="29A4DE37" w:rsidR="00F9722F" w:rsidRPr="00E71DC9" w:rsidRDefault="00F9722F" w:rsidP="00F9722F">
      <w:pPr>
        <w:jc w:val="both"/>
        <w:rPr>
          <w:rFonts w:ascii="Arial" w:hAnsi="Arial" w:cs="Arial"/>
          <w:sz w:val="26"/>
          <w:szCs w:val="26"/>
        </w:rPr>
      </w:pPr>
      <w:r w:rsidRPr="00E71DC9">
        <w:rPr>
          <w:rFonts w:ascii="Arial" w:hAnsi="Arial" w:cs="Arial"/>
          <w:sz w:val="26"/>
          <w:szCs w:val="26"/>
        </w:rPr>
        <w:t>El caso que nos ocupa, el del sentenciado Édgar Hernán, condenado a una segunda sentencia de 37 años de prisión por el delito de secuestro, con fecha original de excarcelación proyectada hasta el 9 de enero de 2057, generó una profunda preocupación social al conocerse la determinación inicial del Juez de Ejecución de Penas, Juan Carlos Erives, de concederle el beneficio de la semilibertad. Permitir que un secuestrador solo se interne en el penal de viernes a domingo es, a todas luces, una burla a la seriedad de la pena y un riesgo innecesario para la sociedad.</w:t>
      </w:r>
    </w:p>
    <w:p w14:paraId="34ED9CA1" w14:textId="77777777" w:rsidR="007124DA" w:rsidRPr="00E71DC9" w:rsidRDefault="007124DA" w:rsidP="00F9722F">
      <w:pPr>
        <w:jc w:val="both"/>
        <w:rPr>
          <w:rFonts w:ascii="Arial" w:hAnsi="Arial" w:cs="Arial"/>
          <w:sz w:val="26"/>
          <w:szCs w:val="26"/>
        </w:rPr>
      </w:pPr>
    </w:p>
    <w:p w14:paraId="34EEA3C5" w14:textId="7042A0E3" w:rsidR="00F9722F" w:rsidRPr="00E71DC9" w:rsidRDefault="00F9722F" w:rsidP="00F9722F">
      <w:pPr>
        <w:jc w:val="both"/>
        <w:rPr>
          <w:rFonts w:ascii="Arial" w:hAnsi="Arial" w:cs="Arial"/>
          <w:sz w:val="26"/>
          <w:szCs w:val="26"/>
        </w:rPr>
      </w:pPr>
      <w:r w:rsidRPr="00E71DC9">
        <w:rPr>
          <w:rFonts w:ascii="Arial" w:hAnsi="Arial" w:cs="Arial"/>
          <w:sz w:val="26"/>
          <w:szCs w:val="26"/>
        </w:rPr>
        <w:t>Es de reconocer y respaldar la actuación de la Fiscalía de Distrito Zona Centro al interponer de inmediato el recurso de apelación sobre lo resuelto en la toca 93/2025, demostrando su compromiso con la legalidad.</w:t>
      </w:r>
    </w:p>
    <w:p w14:paraId="2018F8A8" w14:textId="77777777" w:rsidR="00F1073F" w:rsidRPr="00E71DC9" w:rsidRDefault="00F1073F" w:rsidP="00F9722F">
      <w:pPr>
        <w:jc w:val="both"/>
        <w:rPr>
          <w:rFonts w:ascii="Arial" w:hAnsi="Arial" w:cs="Arial"/>
          <w:sz w:val="26"/>
          <w:szCs w:val="26"/>
        </w:rPr>
      </w:pPr>
    </w:p>
    <w:p w14:paraId="1BE8ED59" w14:textId="77777777" w:rsidR="007124DA" w:rsidRPr="00E71DC9" w:rsidRDefault="007124DA" w:rsidP="00F9722F">
      <w:pPr>
        <w:jc w:val="both"/>
        <w:rPr>
          <w:rFonts w:ascii="Arial" w:hAnsi="Arial" w:cs="Arial"/>
          <w:sz w:val="26"/>
          <w:szCs w:val="26"/>
        </w:rPr>
      </w:pPr>
    </w:p>
    <w:p w14:paraId="1EB04962" w14:textId="37498E68" w:rsidR="00F9722F" w:rsidRPr="00E71DC9" w:rsidRDefault="00F9722F" w:rsidP="00F9722F">
      <w:pPr>
        <w:jc w:val="both"/>
        <w:rPr>
          <w:rFonts w:ascii="Arial" w:hAnsi="Arial" w:cs="Arial"/>
          <w:sz w:val="26"/>
          <w:szCs w:val="26"/>
        </w:rPr>
      </w:pPr>
      <w:r w:rsidRPr="00E71DC9">
        <w:rPr>
          <w:rFonts w:ascii="Arial" w:hAnsi="Arial" w:cs="Arial"/>
          <w:sz w:val="26"/>
          <w:szCs w:val="26"/>
        </w:rPr>
        <w:t>Resulta fundamental señalar la coincidencia temporal de estos hechos. La decisión original de semilibertad se tomó a finales de septiembre, apenas tres semanas después de que entrara en funciones el nuevo Poder Judicial del Estado.</w:t>
      </w:r>
    </w:p>
    <w:p w14:paraId="6BFBF0C4" w14:textId="77777777" w:rsidR="00F9722F" w:rsidRPr="00E71DC9" w:rsidRDefault="00F9722F" w:rsidP="00F9722F">
      <w:pPr>
        <w:jc w:val="both"/>
        <w:rPr>
          <w:rFonts w:ascii="Arial" w:hAnsi="Arial" w:cs="Arial"/>
          <w:sz w:val="26"/>
          <w:szCs w:val="26"/>
        </w:rPr>
      </w:pPr>
    </w:p>
    <w:p w14:paraId="47231EAC" w14:textId="3B5089F0" w:rsidR="00F9722F" w:rsidRPr="00E71DC9" w:rsidRDefault="00F9722F" w:rsidP="00F9722F">
      <w:pPr>
        <w:jc w:val="both"/>
        <w:rPr>
          <w:rFonts w:ascii="Arial" w:hAnsi="Arial" w:cs="Arial"/>
          <w:sz w:val="26"/>
          <w:szCs w:val="26"/>
        </w:rPr>
      </w:pPr>
      <w:r w:rsidRPr="00E71DC9">
        <w:rPr>
          <w:rFonts w:ascii="Arial" w:hAnsi="Arial" w:cs="Arial"/>
          <w:sz w:val="26"/>
          <w:szCs w:val="26"/>
        </w:rPr>
        <w:t>Esta circunstancia obliga a este Congreso, como garante del equilibrio de poderes y de la legalidad, a solicitar de manera formal una clarificación. No podemos permitir que el relevo institucional sea percibido o utilizado como una ventana para la laxitud judicial en casos de secuestro y otros delitos graves. El compromiso de la Cuarta Transformación en Chihuahua es con la justicia efectiva, no con la simulación.</w:t>
      </w:r>
    </w:p>
    <w:p w14:paraId="420D9788" w14:textId="77777777" w:rsidR="00F9722F" w:rsidRPr="00E71DC9" w:rsidRDefault="00F9722F" w:rsidP="00F9722F">
      <w:pPr>
        <w:jc w:val="both"/>
        <w:rPr>
          <w:rFonts w:ascii="Arial" w:hAnsi="Arial" w:cs="Arial"/>
          <w:sz w:val="26"/>
          <w:szCs w:val="26"/>
        </w:rPr>
      </w:pPr>
    </w:p>
    <w:p w14:paraId="69D5B3C4" w14:textId="20EF6F78" w:rsidR="00F9722F" w:rsidRPr="00E71DC9" w:rsidRDefault="00F9722F" w:rsidP="00F9722F">
      <w:pPr>
        <w:jc w:val="both"/>
        <w:rPr>
          <w:rFonts w:ascii="Arial" w:hAnsi="Arial" w:cs="Arial"/>
          <w:sz w:val="26"/>
          <w:szCs w:val="26"/>
        </w:rPr>
      </w:pPr>
      <w:r w:rsidRPr="00E71DC9">
        <w:rPr>
          <w:rFonts w:ascii="Arial" w:hAnsi="Arial" w:cs="Arial"/>
          <w:sz w:val="26"/>
          <w:szCs w:val="26"/>
        </w:rPr>
        <w:t xml:space="preserve">Celebramos la notificación difundida el pasado lunes, en la cual se informa sobre el resolutivo que anula la determinación del Juez de Ejecución y ordena la reposición del </w:t>
      </w:r>
      <w:proofErr w:type="spellStart"/>
      <w:r w:rsidRPr="00E71DC9">
        <w:rPr>
          <w:rFonts w:ascii="Arial" w:hAnsi="Arial" w:cs="Arial"/>
          <w:sz w:val="26"/>
          <w:szCs w:val="26"/>
        </w:rPr>
        <w:t>concedimiento</w:t>
      </w:r>
      <w:proofErr w:type="spellEnd"/>
      <w:r w:rsidRPr="00E71DC9">
        <w:rPr>
          <w:rFonts w:ascii="Arial" w:hAnsi="Arial" w:cs="Arial"/>
          <w:sz w:val="26"/>
          <w:szCs w:val="26"/>
        </w:rPr>
        <w:t>. Este acto devuelve la confianza en los mecanismos de revisión y control del Poder Judicial. La anulación y el consecuente cambio en el Juez de Ejecución de Penas demuestran que la decisión inicial carecía de sustento legal o criterio adecuado.</w:t>
      </w:r>
    </w:p>
    <w:p w14:paraId="1C941CBF" w14:textId="77777777" w:rsidR="007124DA" w:rsidRPr="00E71DC9" w:rsidRDefault="007124DA" w:rsidP="00F9722F">
      <w:pPr>
        <w:jc w:val="both"/>
        <w:rPr>
          <w:rFonts w:ascii="Arial" w:hAnsi="Arial" w:cs="Arial"/>
          <w:sz w:val="26"/>
          <w:szCs w:val="26"/>
        </w:rPr>
      </w:pPr>
    </w:p>
    <w:p w14:paraId="767E7B40" w14:textId="791F902B" w:rsidR="00F9722F" w:rsidRPr="00E71DC9" w:rsidRDefault="00F9722F" w:rsidP="00F9722F">
      <w:pPr>
        <w:jc w:val="both"/>
        <w:rPr>
          <w:rFonts w:ascii="Arial" w:hAnsi="Arial" w:cs="Arial"/>
          <w:sz w:val="26"/>
          <w:szCs w:val="26"/>
        </w:rPr>
      </w:pPr>
      <w:r w:rsidRPr="00E71DC9">
        <w:rPr>
          <w:rFonts w:ascii="Arial" w:hAnsi="Arial" w:cs="Arial"/>
          <w:sz w:val="26"/>
          <w:szCs w:val="26"/>
        </w:rPr>
        <w:t>La Fiscalía ha quedado "en espera de la fecha para la audiencia de la revisión de la medida cautelar, así como de la nueva Sala Penal que estará a cargo de la impugnación de la causa penal 226/2025". El proceso debe ser expedito y ejemplar.</w:t>
      </w:r>
    </w:p>
    <w:p w14:paraId="4AEAB815" w14:textId="77777777" w:rsidR="007124DA" w:rsidRPr="00E71DC9" w:rsidRDefault="007124DA" w:rsidP="00F9722F">
      <w:pPr>
        <w:jc w:val="both"/>
        <w:rPr>
          <w:rFonts w:ascii="Arial" w:hAnsi="Arial" w:cs="Arial"/>
          <w:sz w:val="26"/>
          <w:szCs w:val="26"/>
        </w:rPr>
      </w:pPr>
    </w:p>
    <w:p w14:paraId="4E43138D" w14:textId="77777777" w:rsidR="004E3AAE" w:rsidRPr="00E71DC9" w:rsidRDefault="009D3FF5" w:rsidP="009D3FF5">
      <w:pPr>
        <w:jc w:val="both"/>
        <w:rPr>
          <w:rFonts w:ascii="Arial" w:hAnsi="Arial" w:cs="Arial"/>
          <w:sz w:val="26"/>
          <w:szCs w:val="26"/>
        </w:rPr>
      </w:pPr>
      <w:r w:rsidRPr="00E71DC9">
        <w:rPr>
          <w:rFonts w:ascii="Arial" w:hAnsi="Arial" w:cs="Arial"/>
          <w:sz w:val="26"/>
          <w:szCs w:val="26"/>
        </w:rPr>
        <w:t xml:space="preserve">El punto de mayor preocupación recae en el hecho de que el sentenciado beneficiado con la semilibertad es hermano directo de la </w:t>
      </w:r>
      <w:r w:rsidRPr="00E71DC9">
        <w:rPr>
          <w:rFonts w:ascii="Arial" w:hAnsi="Arial" w:cs="Arial"/>
          <w:b/>
          <w:bCs/>
          <w:sz w:val="26"/>
          <w:szCs w:val="26"/>
        </w:rPr>
        <w:t>C. Magistrada Nancy Josefina Escárcega Valenzuela</w:t>
      </w:r>
      <w:r w:rsidRPr="00E71DC9">
        <w:rPr>
          <w:rFonts w:ascii="Arial" w:hAnsi="Arial" w:cs="Arial"/>
          <w:sz w:val="26"/>
          <w:szCs w:val="26"/>
        </w:rPr>
        <w:t>, integrante del Tribunal de Disciplina Judicial. La función de dicho Tribunal es precisamente investigar y sancionar las faltas</w:t>
      </w:r>
      <w:r w:rsidR="00700269" w:rsidRPr="00E71DC9">
        <w:rPr>
          <w:rFonts w:ascii="Arial" w:hAnsi="Arial" w:cs="Arial"/>
          <w:sz w:val="26"/>
          <w:szCs w:val="26"/>
        </w:rPr>
        <w:t>,</w:t>
      </w:r>
      <w:r w:rsidRPr="00E71DC9">
        <w:rPr>
          <w:rFonts w:ascii="Arial" w:hAnsi="Arial" w:cs="Arial"/>
          <w:sz w:val="26"/>
          <w:szCs w:val="26"/>
        </w:rPr>
        <w:t xml:space="preserve"> </w:t>
      </w:r>
      <w:r w:rsidR="00700269" w:rsidRPr="00E71DC9">
        <w:rPr>
          <w:rFonts w:ascii="Arial" w:hAnsi="Arial" w:cs="Arial"/>
          <w:sz w:val="26"/>
          <w:szCs w:val="26"/>
        </w:rPr>
        <w:t>e</w:t>
      </w:r>
      <w:r w:rsidRPr="00E71DC9">
        <w:rPr>
          <w:rFonts w:ascii="Arial" w:hAnsi="Arial" w:cs="Arial"/>
          <w:sz w:val="26"/>
          <w:szCs w:val="26"/>
        </w:rPr>
        <w:t xml:space="preserve">sto aunado a que hasta este momento el </w:t>
      </w:r>
      <w:r w:rsidRPr="00E71DC9">
        <w:rPr>
          <w:rFonts w:ascii="Arial" w:hAnsi="Arial" w:cs="Arial"/>
          <w:b/>
          <w:bCs/>
          <w:sz w:val="26"/>
          <w:szCs w:val="26"/>
        </w:rPr>
        <w:t>C. Juez Juan Carlos Erives Fuentes</w:t>
      </w:r>
      <w:r w:rsidRPr="00E71DC9">
        <w:rPr>
          <w:rFonts w:ascii="Arial" w:hAnsi="Arial" w:cs="Arial"/>
          <w:sz w:val="26"/>
          <w:szCs w:val="26"/>
        </w:rPr>
        <w:t xml:space="preserve"> no ha brindado una declaración pública o explicación oficial que justifique su determinación, evadiendo las solicitudes de la prensa. Esta omisión, sumada a la gravedad de los hechos, atenta contra el principio de máxima transparencia que debe regir todo acto de autoridad judicial. La falta </w:t>
      </w:r>
    </w:p>
    <w:p w14:paraId="283D3BC2" w14:textId="77777777" w:rsidR="004E3AAE" w:rsidRPr="00E71DC9" w:rsidRDefault="004E3AAE" w:rsidP="009D3FF5">
      <w:pPr>
        <w:jc w:val="both"/>
        <w:rPr>
          <w:rFonts w:ascii="Arial" w:hAnsi="Arial" w:cs="Arial"/>
          <w:sz w:val="26"/>
          <w:szCs w:val="26"/>
        </w:rPr>
      </w:pPr>
    </w:p>
    <w:p w14:paraId="5A15B4A0" w14:textId="7E51EEA5" w:rsidR="009D3FF5" w:rsidRPr="00E71DC9" w:rsidRDefault="009D3FF5" w:rsidP="009D3FF5">
      <w:pPr>
        <w:jc w:val="both"/>
        <w:rPr>
          <w:rFonts w:ascii="Arial" w:hAnsi="Arial" w:cs="Arial"/>
          <w:sz w:val="26"/>
          <w:szCs w:val="26"/>
        </w:rPr>
      </w:pPr>
      <w:r w:rsidRPr="00E71DC9">
        <w:rPr>
          <w:rFonts w:ascii="Arial" w:hAnsi="Arial" w:cs="Arial"/>
          <w:sz w:val="26"/>
          <w:szCs w:val="26"/>
        </w:rPr>
        <w:t>de explicación pública por parte del Juez o del Tribunal Superior de Justicia erosiona la confianza de la ciudadanía en el sistema de justicia de Chihuahua.</w:t>
      </w:r>
    </w:p>
    <w:p w14:paraId="2642A62E" w14:textId="5FF0A51D" w:rsidR="001E500C" w:rsidRPr="00E71DC9" w:rsidRDefault="00B1334C" w:rsidP="001E500C">
      <w:pPr>
        <w:jc w:val="both"/>
        <w:rPr>
          <w:rFonts w:ascii="Arial" w:hAnsi="Arial" w:cs="Arial"/>
          <w:sz w:val="26"/>
          <w:szCs w:val="26"/>
        </w:rPr>
      </w:pPr>
      <w:r w:rsidRPr="00E71DC9">
        <w:rPr>
          <w:rFonts w:ascii="Arial" w:hAnsi="Arial" w:cs="Arial"/>
          <w:sz w:val="26"/>
          <w:szCs w:val="26"/>
        </w:rPr>
        <w:t>Por ello, desde este poder legislativo planteamos las siguientes preguntas:</w:t>
      </w:r>
    </w:p>
    <w:p w14:paraId="2DFB452B" w14:textId="77777777" w:rsidR="00F1073F" w:rsidRPr="00E71DC9" w:rsidRDefault="00F1073F" w:rsidP="001E500C">
      <w:pPr>
        <w:jc w:val="both"/>
        <w:rPr>
          <w:rFonts w:ascii="Arial" w:hAnsi="Arial" w:cs="Arial"/>
          <w:sz w:val="26"/>
          <w:szCs w:val="26"/>
        </w:rPr>
      </w:pPr>
    </w:p>
    <w:p w14:paraId="77AE80EF" w14:textId="1121BF08" w:rsidR="001E500C" w:rsidRPr="00E71DC9" w:rsidRDefault="00B1334C" w:rsidP="00F1073F">
      <w:pPr>
        <w:pStyle w:val="Prrafodelista"/>
        <w:numPr>
          <w:ilvl w:val="0"/>
          <w:numId w:val="1"/>
        </w:numPr>
        <w:jc w:val="both"/>
        <w:rPr>
          <w:rFonts w:ascii="Arial" w:hAnsi="Arial" w:cs="Arial"/>
          <w:b/>
          <w:bCs/>
          <w:sz w:val="26"/>
          <w:szCs w:val="26"/>
        </w:rPr>
      </w:pPr>
      <w:r w:rsidRPr="00E71DC9">
        <w:rPr>
          <w:rFonts w:ascii="Arial" w:hAnsi="Arial" w:cs="Arial"/>
          <w:b/>
          <w:bCs/>
          <w:sz w:val="26"/>
          <w:szCs w:val="26"/>
        </w:rPr>
        <w:t>S</w:t>
      </w:r>
      <w:r w:rsidR="001E500C" w:rsidRPr="00E71DC9">
        <w:rPr>
          <w:rFonts w:ascii="Arial" w:hAnsi="Arial" w:cs="Arial"/>
          <w:b/>
          <w:bCs/>
          <w:sz w:val="26"/>
          <w:szCs w:val="26"/>
        </w:rPr>
        <w:t>obre la Resolución y el Proceso Judicial</w:t>
      </w:r>
    </w:p>
    <w:p w14:paraId="561CAA57" w14:textId="77777777" w:rsidR="00F1073F" w:rsidRPr="00E71DC9" w:rsidRDefault="00F1073F" w:rsidP="00F1073F">
      <w:pPr>
        <w:pStyle w:val="Prrafodelista"/>
        <w:jc w:val="both"/>
        <w:rPr>
          <w:rFonts w:ascii="Arial" w:hAnsi="Arial" w:cs="Arial"/>
          <w:sz w:val="26"/>
          <w:szCs w:val="26"/>
        </w:rPr>
      </w:pPr>
    </w:p>
    <w:p w14:paraId="7C9551C6" w14:textId="4DCAEB53" w:rsidR="001E500C" w:rsidRPr="00E71DC9" w:rsidRDefault="001E500C" w:rsidP="00F1073F">
      <w:pPr>
        <w:pStyle w:val="Prrafodelista"/>
        <w:numPr>
          <w:ilvl w:val="0"/>
          <w:numId w:val="2"/>
        </w:numPr>
        <w:jc w:val="both"/>
        <w:rPr>
          <w:rFonts w:ascii="Arial" w:hAnsi="Arial" w:cs="Arial"/>
          <w:sz w:val="26"/>
          <w:szCs w:val="26"/>
        </w:rPr>
      </w:pPr>
      <w:r w:rsidRPr="00E71DC9">
        <w:rPr>
          <w:rFonts w:ascii="Arial" w:hAnsi="Arial" w:cs="Arial"/>
          <w:sz w:val="26"/>
          <w:szCs w:val="26"/>
        </w:rPr>
        <w:t>¿Cuál es la postura oficial de la Fiscalía sobre el resolutivo emitido en respuesta al recurso de apelación de la toca 93/2025, que anula la semilibertad y ordena reponer el procedimiento?</w:t>
      </w:r>
    </w:p>
    <w:p w14:paraId="076F0A00" w14:textId="77777777" w:rsidR="001E500C" w:rsidRPr="00E71DC9" w:rsidRDefault="001E500C" w:rsidP="001E500C">
      <w:pPr>
        <w:jc w:val="both"/>
        <w:rPr>
          <w:rFonts w:ascii="Arial" w:hAnsi="Arial" w:cs="Arial"/>
          <w:sz w:val="26"/>
          <w:szCs w:val="26"/>
        </w:rPr>
      </w:pPr>
    </w:p>
    <w:p w14:paraId="49DF5939" w14:textId="5C9DB8CA" w:rsidR="001E500C" w:rsidRPr="00E71DC9" w:rsidRDefault="001E500C" w:rsidP="00F1073F">
      <w:pPr>
        <w:pStyle w:val="Prrafodelista"/>
        <w:numPr>
          <w:ilvl w:val="0"/>
          <w:numId w:val="2"/>
        </w:numPr>
        <w:jc w:val="both"/>
        <w:rPr>
          <w:rFonts w:ascii="Arial" w:hAnsi="Arial" w:cs="Arial"/>
          <w:sz w:val="26"/>
          <w:szCs w:val="26"/>
        </w:rPr>
      </w:pPr>
      <w:r w:rsidRPr="00E71DC9">
        <w:rPr>
          <w:rFonts w:ascii="Arial" w:hAnsi="Arial" w:cs="Arial"/>
          <w:sz w:val="26"/>
          <w:szCs w:val="26"/>
        </w:rPr>
        <w:t xml:space="preserve">¿Qué fallas o inconsistencias identificó la Fiscalía en la decisión original del Juez de Ejecución de Penas, </w:t>
      </w:r>
      <w:r w:rsidR="004E3AAE" w:rsidRPr="00E71DC9">
        <w:rPr>
          <w:rFonts w:ascii="Arial" w:hAnsi="Arial" w:cs="Arial"/>
          <w:sz w:val="26"/>
          <w:szCs w:val="26"/>
        </w:rPr>
        <w:t xml:space="preserve">Juan Carlos </w:t>
      </w:r>
      <w:proofErr w:type="spellStart"/>
      <w:r w:rsidR="004E3AAE" w:rsidRPr="00E71DC9">
        <w:rPr>
          <w:rFonts w:ascii="Arial" w:hAnsi="Arial" w:cs="Arial"/>
          <w:sz w:val="26"/>
          <w:szCs w:val="26"/>
        </w:rPr>
        <w:t>Erives</w:t>
      </w:r>
      <w:proofErr w:type="spellEnd"/>
      <w:r w:rsidR="004E3AAE" w:rsidRPr="00E71DC9">
        <w:rPr>
          <w:rFonts w:ascii="Arial" w:hAnsi="Arial" w:cs="Arial"/>
          <w:sz w:val="26"/>
          <w:szCs w:val="26"/>
        </w:rPr>
        <w:t xml:space="preserve"> Fuentes, que llevaron a apelar la concesión del beneficio de semilibertad al sentenciado Édgar Hernán?</w:t>
      </w:r>
    </w:p>
    <w:p w14:paraId="186EB487" w14:textId="77777777" w:rsidR="001E500C" w:rsidRPr="00E71DC9" w:rsidRDefault="001E500C" w:rsidP="001E500C">
      <w:pPr>
        <w:jc w:val="both"/>
        <w:rPr>
          <w:rFonts w:ascii="Arial" w:hAnsi="Arial" w:cs="Arial"/>
          <w:sz w:val="26"/>
          <w:szCs w:val="26"/>
        </w:rPr>
      </w:pPr>
    </w:p>
    <w:p w14:paraId="6A106A32" w14:textId="07EDC67C" w:rsidR="001E500C" w:rsidRPr="00E71DC9" w:rsidRDefault="001E500C" w:rsidP="00F1073F">
      <w:pPr>
        <w:pStyle w:val="Prrafodelista"/>
        <w:numPr>
          <w:ilvl w:val="0"/>
          <w:numId w:val="2"/>
        </w:numPr>
        <w:jc w:val="both"/>
        <w:rPr>
          <w:rFonts w:ascii="Arial" w:hAnsi="Arial" w:cs="Arial"/>
          <w:sz w:val="26"/>
          <w:szCs w:val="26"/>
        </w:rPr>
      </w:pPr>
      <w:bookmarkStart w:id="0" w:name="_Hlk213154091"/>
      <w:r w:rsidRPr="00E71DC9">
        <w:rPr>
          <w:rFonts w:ascii="Arial" w:hAnsi="Arial" w:cs="Arial"/>
          <w:sz w:val="26"/>
          <w:szCs w:val="26"/>
        </w:rPr>
        <w:t>¿</w:t>
      </w:r>
      <w:bookmarkEnd w:id="0"/>
      <w:r w:rsidRPr="00E71DC9">
        <w:rPr>
          <w:rFonts w:ascii="Arial" w:hAnsi="Arial" w:cs="Arial"/>
          <w:sz w:val="26"/>
          <w:szCs w:val="26"/>
        </w:rPr>
        <w:t>Qué implicaciones tiene el cambio del Juez de Ejecución de Penas para la nueva audiencia? ¿Garantiza la Fiscalía que este cambio asegurará una aplicación más estricta de la ley en casos de delitos graves como el secuestro?</w:t>
      </w:r>
    </w:p>
    <w:p w14:paraId="12C6E120" w14:textId="77777777" w:rsidR="001E500C" w:rsidRPr="00E71DC9" w:rsidRDefault="001E500C" w:rsidP="001E500C">
      <w:pPr>
        <w:jc w:val="both"/>
        <w:rPr>
          <w:rFonts w:ascii="Arial" w:hAnsi="Arial" w:cs="Arial"/>
          <w:sz w:val="26"/>
          <w:szCs w:val="26"/>
        </w:rPr>
      </w:pPr>
    </w:p>
    <w:p w14:paraId="72B73DBF" w14:textId="54C463C7" w:rsidR="001E500C" w:rsidRPr="00E71DC9" w:rsidRDefault="00F1073F" w:rsidP="00F1073F">
      <w:pPr>
        <w:pStyle w:val="Prrafodelista"/>
        <w:numPr>
          <w:ilvl w:val="0"/>
          <w:numId w:val="2"/>
        </w:numPr>
        <w:jc w:val="both"/>
        <w:rPr>
          <w:rFonts w:ascii="Arial" w:hAnsi="Arial" w:cs="Arial"/>
          <w:sz w:val="26"/>
          <w:szCs w:val="26"/>
        </w:rPr>
      </w:pPr>
      <w:r w:rsidRPr="00E71DC9">
        <w:rPr>
          <w:rFonts w:ascii="Arial" w:hAnsi="Arial" w:cs="Arial"/>
          <w:sz w:val="26"/>
          <w:szCs w:val="26"/>
        </w:rPr>
        <w:t>¿</w:t>
      </w:r>
      <w:r w:rsidR="001E500C" w:rsidRPr="00E71DC9">
        <w:rPr>
          <w:rFonts w:ascii="Arial" w:hAnsi="Arial" w:cs="Arial"/>
          <w:sz w:val="26"/>
          <w:szCs w:val="26"/>
        </w:rPr>
        <w:t xml:space="preserve">Puede la Fiscalía confirmar si la anulación de la resolución y la reposición del </w:t>
      </w:r>
      <w:proofErr w:type="spellStart"/>
      <w:r w:rsidR="001E500C" w:rsidRPr="00E71DC9">
        <w:rPr>
          <w:rFonts w:ascii="Arial" w:hAnsi="Arial" w:cs="Arial"/>
          <w:sz w:val="26"/>
          <w:szCs w:val="26"/>
        </w:rPr>
        <w:t>concedimiento</w:t>
      </w:r>
      <w:proofErr w:type="spellEnd"/>
      <w:r w:rsidR="001E500C" w:rsidRPr="00E71DC9">
        <w:rPr>
          <w:rFonts w:ascii="Arial" w:hAnsi="Arial" w:cs="Arial"/>
          <w:sz w:val="26"/>
          <w:szCs w:val="26"/>
        </w:rPr>
        <w:t xml:space="preserve"> de la semilibertad son el resultado de un análisis profundo sobre la correcta aplicación de la Ley Nacional de Ejecución Penal en este caso específico?</w:t>
      </w:r>
    </w:p>
    <w:p w14:paraId="42EF6E5E" w14:textId="77777777" w:rsidR="00700269" w:rsidRPr="00E71DC9" w:rsidRDefault="00700269" w:rsidP="00700269">
      <w:pPr>
        <w:pStyle w:val="Prrafodelista"/>
        <w:jc w:val="both"/>
        <w:rPr>
          <w:rFonts w:ascii="Arial" w:hAnsi="Arial" w:cs="Arial"/>
          <w:sz w:val="26"/>
          <w:szCs w:val="26"/>
        </w:rPr>
      </w:pPr>
    </w:p>
    <w:p w14:paraId="7669EF20" w14:textId="77777777" w:rsidR="00700269" w:rsidRPr="00E71DC9" w:rsidRDefault="00700269" w:rsidP="00700269">
      <w:pPr>
        <w:pStyle w:val="Prrafodelista"/>
        <w:rPr>
          <w:rFonts w:ascii="Arial" w:hAnsi="Arial" w:cs="Arial"/>
          <w:sz w:val="26"/>
          <w:szCs w:val="26"/>
        </w:rPr>
      </w:pPr>
    </w:p>
    <w:p w14:paraId="028508E3" w14:textId="2BC04B36" w:rsidR="001E500C" w:rsidRPr="00E71DC9" w:rsidRDefault="001E500C" w:rsidP="007124DA">
      <w:pPr>
        <w:pStyle w:val="Prrafodelista"/>
        <w:numPr>
          <w:ilvl w:val="0"/>
          <w:numId w:val="5"/>
        </w:numPr>
        <w:ind w:left="709"/>
        <w:jc w:val="both"/>
        <w:rPr>
          <w:rFonts w:ascii="Arial" w:hAnsi="Arial" w:cs="Arial"/>
          <w:sz w:val="26"/>
          <w:szCs w:val="26"/>
        </w:rPr>
      </w:pPr>
      <w:r w:rsidRPr="00E71DC9">
        <w:rPr>
          <w:rFonts w:ascii="Arial" w:hAnsi="Arial" w:cs="Arial"/>
          <w:sz w:val="26"/>
          <w:szCs w:val="26"/>
        </w:rPr>
        <w:t>¿De qué manera la Fiscalía está preparando la argumentación para la audiencia de revisión de la medida cautelar y la impugnación de la causa penal 226/2025, para asegurar que se mantenga la pena de 37 años de prisión originalmente impuesta por el delito de secuestro?</w:t>
      </w:r>
    </w:p>
    <w:p w14:paraId="44B29CA5" w14:textId="77777777" w:rsidR="001E500C" w:rsidRPr="00E71DC9" w:rsidRDefault="001E500C" w:rsidP="001E500C">
      <w:pPr>
        <w:jc w:val="both"/>
        <w:rPr>
          <w:rFonts w:ascii="Arial" w:hAnsi="Arial" w:cs="Arial"/>
          <w:sz w:val="26"/>
          <w:szCs w:val="26"/>
        </w:rPr>
      </w:pPr>
    </w:p>
    <w:p w14:paraId="50C1EC52" w14:textId="77777777" w:rsidR="00B1334C" w:rsidRPr="00E71DC9" w:rsidRDefault="00B1334C" w:rsidP="001E500C">
      <w:pPr>
        <w:jc w:val="both"/>
        <w:rPr>
          <w:rFonts w:ascii="Arial" w:hAnsi="Arial" w:cs="Arial"/>
          <w:b/>
          <w:bCs/>
          <w:sz w:val="26"/>
          <w:szCs w:val="26"/>
        </w:rPr>
      </w:pPr>
    </w:p>
    <w:p w14:paraId="133037EB" w14:textId="69E69FE4" w:rsidR="001E500C" w:rsidRPr="00E71DC9" w:rsidRDefault="001E500C" w:rsidP="00F1073F">
      <w:pPr>
        <w:pStyle w:val="Prrafodelista"/>
        <w:numPr>
          <w:ilvl w:val="0"/>
          <w:numId w:val="1"/>
        </w:numPr>
        <w:jc w:val="both"/>
        <w:rPr>
          <w:rFonts w:ascii="Arial" w:hAnsi="Arial" w:cs="Arial"/>
          <w:b/>
          <w:bCs/>
          <w:sz w:val="26"/>
          <w:szCs w:val="26"/>
        </w:rPr>
      </w:pPr>
      <w:r w:rsidRPr="00E71DC9">
        <w:rPr>
          <w:rFonts w:ascii="Arial" w:hAnsi="Arial" w:cs="Arial"/>
          <w:b/>
          <w:bCs/>
          <w:sz w:val="26"/>
          <w:szCs w:val="26"/>
        </w:rPr>
        <w:lastRenderedPageBreak/>
        <w:t>Sobre los Tiempos y la Transparencia</w:t>
      </w:r>
    </w:p>
    <w:p w14:paraId="4F90E7A9" w14:textId="77777777" w:rsidR="00F1073F" w:rsidRPr="00E71DC9" w:rsidRDefault="00F1073F" w:rsidP="00F1073F">
      <w:pPr>
        <w:pStyle w:val="Prrafodelista"/>
        <w:jc w:val="both"/>
        <w:rPr>
          <w:rFonts w:ascii="Arial" w:hAnsi="Arial" w:cs="Arial"/>
          <w:b/>
          <w:bCs/>
          <w:sz w:val="26"/>
          <w:szCs w:val="26"/>
        </w:rPr>
      </w:pPr>
    </w:p>
    <w:p w14:paraId="3BDDF1E9" w14:textId="378014B7" w:rsidR="001E500C" w:rsidRPr="00E71DC9" w:rsidRDefault="001E500C" w:rsidP="00F1073F">
      <w:pPr>
        <w:pStyle w:val="Prrafodelista"/>
        <w:numPr>
          <w:ilvl w:val="0"/>
          <w:numId w:val="3"/>
        </w:numPr>
        <w:jc w:val="both"/>
        <w:rPr>
          <w:rFonts w:ascii="Arial" w:hAnsi="Arial" w:cs="Arial"/>
          <w:sz w:val="26"/>
          <w:szCs w:val="26"/>
        </w:rPr>
      </w:pPr>
      <w:r w:rsidRPr="00E71DC9">
        <w:rPr>
          <w:rFonts w:ascii="Arial" w:hAnsi="Arial" w:cs="Arial"/>
          <w:sz w:val="26"/>
          <w:szCs w:val="26"/>
        </w:rPr>
        <w:t>¿Se tiene una fecha estimada para la audiencia de revisión de la medida cautelar y la asignación de la nueva Sala Penal que estará a cargo de la impugnación, como lo ha solicitado la Fiscalía?</w:t>
      </w:r>
    </w:p>
    <w:p w14:paraId="4C9652AF" w14:textId="77777777" w:rsidR="001E500C" w:rsidRPr="00E71DC9" w:rsidRDefault="001E500C" w:rsidP="001E500C">
      <w:pPr>
        <w:jc w:val="both"/>
        <w:rPr>
          <w:rFonts w:ascii="Arial" w:hAnsi="Arial" w:cs="Arial"/>
          <w:sz w:val="26"/>
          <w:szCs w:val="26"/>
        </w:rPr>
      </w:pPr>
    </w:p>
    <w:p w14:paraId="3DEED1A6" w14:textId="617C0902" w:rsidR="001E500C" w:rsidRPr="00E71DC9" w:rsidRDefault="001E500C" w:rsidP="00F1073F">
      <w:pPr>
        <w:pStyle w:val="Prrafodelista"/>
        <w:numPr>
          <w:ilvl w:val="0"/>
          <w:numId w:val="3"/>
        </w:numPr>
        <w:jc w:val="both"/>
        <w:rPr>
          <w:rFonts w:ascii="Arial" w:hAnsi="Arial" w:cs="Arial"/>
          <w:sz w:val="26"/>
          <w:szCs w:val="26"/>
        </w:rPr>
      </w:pPr>
      <w:r w:rsidRPr="00E71DC9">
        <w:rPr>
          <w:rFonts w:ascii="Arial" w:hAnsi="Arial" w:cs="Arial"/>
          <w:sz w:val="26"/>
          <w:szCs w:val="26"/>
        </w:rPr>
        <w:t>¿Qué medidas tomará la Fiscalía para garantizar la máxima transparencia en este nuevo proceso judicial, considerando la preocupación pública que generó la primera determinación de semilibertad en un caso de secuestro?</w:t>
      </w:r>
    </w:p>
    <w:p w14:paraId="0DEDB17D" w14:textId="77777777" w:rsidR="001E500C" w:rsidRPr="00E71DC9" w:rsidRDefault="001E500C" w:rsidP="001E500C">
      <w:pPr>
        <w:jc w:val="both"/>
        <w:rPr>
          <w:rFonts w:ascii="Arial" w:hAnsi="Arial" w:cs="Arial"/>
          <w:sz w:val="26"/>
          <w:szCs w:val="26"/>
        </w:rPr>
      </w:pPr>
    </w:p>
    <w:p w14:paraId="72BEB643" w14:textId="14D196A0" w:rsidR="001E500C" w:rsidRPr="00E71DC9" w:rsidRDefault="001E500C" w:rsidP="00F1073F">
      <w:pPr>
        <w:pStyle w:val="Prrafodelista"/>
        <w:numPr>
          <w:ilvl w:val="0"/>
          <w:numId w:val="3"/>
        </w:numPr>
        <w:jc w:val="both"/>
        <w:rPr>
          <w:rFonts w:ascii="Arial" w:hAnsi="Arial" w:cs="Arial"/>
          <w:sz w:val="26"/>
          <w:szCs w:val="26"/>
        </w:rPr>
      </w:pPr>
      <w:r w:rsidRPr="00E71DC9">
        <w:rPr>
          <w:rFonts w:ascii="Arial" w:hAnsi="Arial" w:cs="Arial"/>
          <w:sz w:val="26"/>
          <w:szCs w:val="26"/>
        </w:rPr>
        <w:t>Dado que el cambio en la sentencia se dio a finales de septiembre, "tres semanas después de que entrara en funciones el nuevo Poder Judicial", ¿ha identificado la Fiscalía alguna posible relación o patrón con otros casos similares derivados de la entrada en vigor del nuevo Poder Judicial?</w:t>
      </w:r>
    </w:p>
    <w:p w14:paraId="19632ED7" w14:textId="77777777" w:rsidR="001E500C" w:rsidRPr="00E71DC9" w:rsidRDefault="001E500C" w:rsidP="001E500C">
      <w:pPr>
        <w:jc w:val="both"/>
        <w:rPr>
          <w:rFonts w:ascii="Arial" w:hAnsi="Arial" w:cs="Arial"/>
          <w:sz w:val="26"/>
          <w:szCs w:val="26"/>
        </w:rPr>
      </w:pPr>
    </w:p>
    <w:p w14:paraId="1FA639F1" w14:textId="006D9512" w:rsidR="00F1073F" w:rsidRPr="00E71DC9" w:rsidRDefault="001E500C" w:rsidP="00F1073F">
      <w:pPr>
        <w:pStyle w:val="Prrafodelista"/>
        <w:numPr>
          <w:ilvl w:val="0"/>
          <w:numId w:val="1"/>
        </w:numPr>
        <w:jc w:val="both"/>
        <w:rPr>
          <w:rFonts w:ascii="Arial" w:hAnsi="Arial" w:cs="Arial"/>
          <w:b/>
          <w:bCs/>
          <w:sz w:val="26"/>
          <w:szCs w:val="26"/>
        </w:rPr>
      </w:pPr>
      <w:r w:rsidRPr="00E71DC9">
        <w:rPr>
          <w:rFonts w:ascii="Arial" w:hAnsi="Arial" w:cs="Arial"/>
          <w:b/>
          <w:bCs/>
          <w:sz w:val="26"/>
          <w:szCs w:val="26"/>
        </w:rPr>
        <w:t>Sobre el Impacto y la Prevención</w:t>
      </w:r>
    </w:p>
    <w:p w14:paraId="06FC7915" w14:textId="77777777" w:rsidR="00F1073F" w:rsidRPr="00E71DC9" w:rsidRDefault="00F1073F" w:rsidP="00F1073F">
      <w:pPr>
        <w:pStyle w:val="Prrafodelista"/>
        <w:jc w:val="both"/>
        <w:rPr>
          <w:rFonts w:ascii="Arial" w:hAnsi="Arial" w:cs="Arial"/>
          <w:b/>
          <w:bCs/>
          <w:sz w:val="26"/>
          <w:szCs w:val="26"/>
        </w:rPr>
      </w:pPr>
    </w:p>
    <w:p w14:paraId="1F709FB3" w14:textId="07D1354A" w:rsidR="001E500C" w:rsidRPr="00E71DC9" w:rsidRDefault="001E500C" w:rsidP="00F1073F">
      <w:pPr>
        <w:pStyle w:val="Prrafodelista"/>
        <w:numPr>
          <w:ilvl w:val="0"/>
          <w:numId w:val="4"/>
        </w:numPr>
        <w:jc w:val="both"/>
        <w:rPr>
          <w:rFonts w:ascii="Arial" w:hAnsi="Arial" w:cs="Arial"/>
          <w:sz w:val="26"/>
          <w:szCs w:val="26"/>
        </w:rPr>
      </w:pPr>
      <w:r w:rsidRPr="00E71DC9">
        <w:rPr>
          <w:rFonts w:ascii="Arial" w:hAnsi="Arial" w:cs="Arial"/>
          <w:sz w:val="26"/>
          <w:szCs w:val="26"/>
        </w:rPr>
        <w:t>¿Qué mensaje envía la Fiscalía, bajo su dirección, a las víctimas de secuestro y a la ciudadanía en general al apelar y lograr la anulación de un beneficio de semilibertad a un sentenciado por un delito tan grave?</w:t>
      </w:r>
    </w:p>
    <w:p w14:paraId="0E4C83CF" w14:textId="77777777" w:rsidR="00700269" w:rsidRPr="00E71DC9" w:rsidRDefault="00700269" w:rsidP="00700269">
      <w:pPr>
        <w:pStyle w:val="Prrafodelista"/>
        <w:jc w:val="both"/>
        <w:rPr>
          <w:rFonts w:ascii="Arial" w:hAnsi="Arial" w:cs="Arial"/>
          <w:sz w:val="26"/>
          <w:szCs w:val="26"/>
        </w:rPr>
      </w:pPr>
    </w:p>
    <w:p w14:paraId="28696255" w14:textId="77777777" w:rsidR="00700269" w:rsidRPr="00E71DC9" w:rsidRDefault="00700269" w:rsidP="00700269">
      <w:pPr>
        <w:pStyle w:val="Prrafodelista"/>
        <w:rPr>
          <w:rFonts w:ascii="Arial" w:hAnsi="Arial" w:cs="Arial"/>
          <w:sz w:val="26"/>
          <w:szCs w:val="26"/>
        </w:rPr>
      </w:pPr>
    </w:p>
    <w:p w14:paraId="694F4AAB" w14:textId="6C8E10ED" w:rsidR="006B453F" w:rsidRPr="00E71DC9" w:rsidRDefault="001E500C" w:rsidP="004E3AAE">
      <w:pPr>
        <w:pStyle w:val="Prrafodelista"/>
        <w:numPr>
          <w:ilvl w:val="0"/>
          <w:numId w:val="6"/>
        </w:numPr>
        <w:ind w:left="709"/>
        <w:jc w:val="both"/>
        <w:rPr>
          <w:rFonts w:ascii="Arial" w:hAnsi="Arial" w:cs="Arial"/>
          <w:sz w:val="26"/>
          <w:szCs w:val="26"/>
        </w:rPr>
      </w:pPr>
      <w:r w:rsidRPr="00E71DC9">
        <w:rPr>
          <w:rFonts w:ascii="Arial" w:hAnsi="Arial" w:cs="Arial"/>
          <w:sz w:val="26"/>
          <w:szCs w:val="26"/>
        </w:rPr>
        <w:t>¿Considera la Fiscalía que este caso pone en evidencia la necesidad de revisar y/o clarificar los criterios de aplicación de la figura de semilibertad para sentenciados por delitos de alto impacto como el secuestro?</w:t>
      </w:r>
    </w:p>
    <w:p w14:paraId="0DB90137" w14:textId="77777777" w:rsidR="006B453F" w:rsidRPr="00E71DC9" w:rsidRDefault="006B453F" w:rsidP="006B453F">
      <w:pPr>
        <w:jc w:val="both"/>
        <w:rPr>
          <w:rFonts w:ascii="Arial" w:hAnsi="Arial" w:cs="Arial"/>
          <w:sz w:val="26"/>
          <w:szCs w:val="26"/>
        </w:rPr>
      </w:pPr>
    </w:p>
    <w:p w14:paraId="157B8BFA" w14:textId="2D9C5C0E" w:rsidR="006B453F" w:rsidRPr="00E71DC9" w:rsidRDefault="006B453F" w:rsidP="006B453F">
      <w:pPr>
        <w:jc w:val="both"/>
        <w:rPr>
          <w:rFonts w:ascii="Arial" w:hAnsi="Arial" w:cs="Arial"/>
          <w:sz w:val="26"/>
          <w:szCs w:val="26"/>
        </w:rPr>
      </w:pPr>
      <w:r w:rsidRPr="00E71DC9">
        <w:rPr>
          <w:rFonts w:ascii="Arial" w:hAnsi="Arial" w:cs="Arial"/>
          <w:sz w:val="26"/>
          <w:szCs w:val="26"/>
        </w:rPr>
        <w:t>En virtud de lo dispuesto por las fracciones III, IV y V del artículo 66 de la Constitución Política del Estado de Chihuahua, solicito:</w:t>
      </w:r>
    </w:p>
    <w:p w14:paraId="3FB5AB9F" w14:textId="77777777" w:rsidR="006B453F" w:rsidRPr="00E71DC9" w:rsidRDefault="006B453F" w:rsidP="006B453F">
      <w:pPr>
        <w:jc w:val="both"/>
        <w:rPr>
          <w:rFonts w:ascii="Arial" w:hAnsi="Arial" w:cs="Arial"/>
          <w:sz w:val="26"/>
          <w:szCs w:val="26"/>
        </w:rPr>
      </w:pPr>
    </w:p>
    <w:p w14:paraId="3E380EDE" w14:textId="77777777" w:rsidR="004E3AAE" w:rsidRPr="00E71DC9" w:rsidRDefault="004E3AAE" w:rsidP="006B453F">
      <w:pPr>
        <w:jc w:val="both"/>
        <w:rPr>
          <w:rFonts w:ascii="Arial" w:hAnsi="Arial" w:cs="Arial"/>
          <w:b/>
          <w:bCs/>
          <w:sz w:val="26"/>
          <w:szCs w:val="26"/>
        </w:rPr>
      </w:pPr>
    </w:p>
    <w:p w14:paraId="01D5AF47" w14:textId="77777777" w:rsidR="004E3AAE" w:rsidRPr="00E71DC9" w:rsidRDefault="004E3AAE" w:rsidP="006B453F">
      <w:pPr>
        <w:jc w:val="both"/>
        <w:rPr>
          <w:rFonts w:ascii="Arial" w:hAnsi="Arial" w:cs="Arial"/>
          <w:b/>
          <w:bCs/>
          <w:sz w:val="26"/>
          <w:szCs w:val="26"/>
        </w:rPr>
      </w:pPr>
    </w:p>
    <w:p w14:paraId="4D8ECEB4" w14:textId="77777777" w:rsidR="00E71DC9" w:rsidRPr="00E71DC9" w:rsidRDefault="006B453F" w:rsidP="00E71DC9">
      <w:pPr>
        <w:jc w:val="both"/>
        <w:rPr>
          <w:rFonts w:ascii="Arial" w:hAnsi="Arial" w:cs="Arial"/>
          <w:sz w:val="26"/>
          <w:szCs w:val="26"/>
        </w:rPr>
      </w:pPr>
      <w:r w:rsidRPr="00E71DC9">
        <w:rPr>
          <w:rFonts w:ascii="Arial" w:hAnsi="Arial" w:cs="Arial"/>
          <w:b/>
          <w:bCs/>
          <w:sz w:val="26"/>
          <w:szCs w:val="26"/>
        </w:rPr>
        <w:t>PRIMERO.</w:t>
      </w:r>
      <w:r w:rsidRPr="00E71DC9">
        <w:rPr>
          <w:rFonts w:ascii="Arial" w:hAnsi="Arial" w:cs="Arial"/>
          <w:sz w:val="26"/>
          <w:szCs w:val="26"/>
        </w:rPr>
        <w:t xml:space="preserve"> A esta Presidencia, turnar las preguntas anteriormente formuladas a la autoridad mencionada a más tardar en la </w:t>
      </w:r>
      <w:r w:rsidR="00E71DC9" w:rsidRPr="00E71DC9">
        <w:rPr>
          <w:rFonts w:ascii="Arial" w:hAnsi="Arial" w:cs="Arial"/>
          <w:sz w:val="26"/>
          <w:szCs w:val="26"/>
        </w:rPr>
        <w:t>siguiente</w:t>
      </w:r>
      <w:r w:rsidRPr="00E71DC9">
        <w:rPr>
          <w:rFonts w:ascii="Arial" w:hAnsi="Arial" w:cs="Arial"/>
          <w:sz w:val="26"/>
          <w:szCs w:val="26"/>
        </w:rPr>
        <w:t xml:space="preserve"> sesión</w:t>
      </w:r>
      <w:r w:rsidR="00E71DC9" w:rsidRPr="00E71DC9">
        <w:rPr>
          <w:rFonts w:ascii="Arial" w:hAnsi="Arial" w:cs="Arial"/>
          <w:sz w:val="26"/>
          <w:szCs w:val="26"/>
        </w:rPr>
        <w:t xml:space="preserve"> permanente posterior</w:t>
      </w:r>
      <w:r w:rsidRPr="00E71DC9">
        <w:rPr>
          <w:rFonts w:ascii="Arial" w:hAnsi="Arial" w:cs="Arial"/>
          <w:sz w:val="26"/>
          <w:szCs w:val="26"/>
        </w:rPr>
        <w:t xml:space="preserve"> a esta fecha, de conformidad con la fracción III del Artículo 66 de la Constitución, </w:t>
      </w:r>
      <w:r w:rsidR="00E71DC9" w:rsidRPr="00E71DC9">
        <w:rPr>
          <w:rFonts w:ascii="Arial" w:hAnsi="Arial" w:cs="Arial"/>
          <w:sz w:val="26"/>
          <w:szCs w:val="26"/>
        </w:rPr>
        <w:t>avisando a la C. Gobernadora Constitucional del Estado.</w:t>
      </w:r>
    </w:p>
    <w:p w14:paraId="2A7E4CE2" w14:textId="5F8DE669" w:rsidR="004E3AAE" w:rsidRPr="00E71DC9" w:rsidRDefault="00E71DC9" w:rsidP="006B453F">
      <w:pPr>
        <w:jc w:val="both"/>
        <w:rPr>
          <w:rFonts w:ascii="Arial" w:hAnsi="Arial" w:cs="Arial"/>
          <w:sz w:val="26"/>
          <w:szCs w:val="26"/>
        </w:rPr>
      </w:pPr>
      <w:r w:rsidRPr="00E71DC9">
        <w:rPr>
          <w:rFonts w:ascii="Arial" w:hAnsi="Arial" w:cs="Arial"/>
          <w:sz w:val="26"/>
          <w:szCs w:val="26"/>
        </w:rPr>
        <w:t> </w:t>
      </w:r>
    </w:p>
    <w:p w14:paraId="1FAE6829" w14:textId="00837476" w:rsidR="006B453F" w:rsidRPr="00E71DC9" w:rsidRDefault="006B453F" w:rsidP="006B453F">
      <w:pPr>
        <w:jc w:val="both"/>
        <w:rPr>
          <w:rFonts w:ascii="Arial" w:hAnsi="Arial" w:cs="Arial"/>
          <w:sz w:val="26"/>
          <w:szCs w:val="26"/>
        </w:rPr>
      </w:pPr>
      <w:r w:rsidRPr="00E71DC9">
        <w:rPr>
          <w:rFonts w:ascii="Arial" w:hAnsi="Arial" w:cs="Arial"/>
          <w:b/>
          <w:bCs/>
          <w:sz w:val="26"/>
          <w:szCs w:val="26"/>
        </w:rPr>
        <w:t>SEGUNDO</w:t>
      </w:r>
      <w:r w:rsidRPr="00E71DC9">
        <w:rPr>
          <w:rFonts w:ascii="Arial" w:hAnsi="Arial" w:cs="Arial"/>
          <w:sz w:val="26"/>
          <w:szCs w:val="26"/>
        </w:rPr>
        <w:t>. De igual manera y una vez agotados los plazos contemplados para que las autoridades emitan su respuesta, me permito solicitar a la Mesa Directiva del H. Congreso del Estado para que, a través de su Presidencia, se sirva a dar vista al suscrito de la respuesta, en los términos de la fracción V del artículo 66 de la Constitución Política.</w:t>
      </w:r>
    </w:p>
    <w:p w14:paraId="4E178F69" w14:textId="78E57FFD" w:rsidR="00E71DC9" w:rsidRPr="00E71DC9" w:rsidRDefault="00E71DC9" w:rsidP="006B453F">
      <w:pPr>
        <w:jc w:val="both"/>
        <w:rPr>
          <w:rFonts w:ascii="Arial" w:hAnsi="Arial" w:cs="Arial"/>
          <w:sz w:val="26"/>
          <w:szCs w:val="26"/>
        </w:rPr>
      </w:pPr>
    </w:p>
    <w:p w14:paraId="176C1834" w14:textId="7B3A812F" w:rsidR="00E71DC9" w:rsidRPr="00E71DC9" w:rsidRDefault="00E71DC9" w:rsidP="006B453F">
      <w:pPr>
        <w:jc w:val="both"/>
        <w:rPr>
          <w:rFonts w:ascii="Arial" w:hAnsi="Arial" w:cs="Arial"/>
          <w:sz w:val="26"/>
          <w:szCs w:val="26"/>
        </w:rPr>
      </w:pPr>
      <w:r w:rsidRPr="00E71DC9">
        <w:rPr>
          <w:rFonts w:ascii="Arial" w:hAnsi="Arial" w:cs="Arial"/>
          <w:b/>
          <w:bCs/>
          <w:sz w:val="26"/>
          <w:szCs w:val="26"/>
        </w:rPr>
        <w:t>TERCERO</w:t>
      </w:r>
      <w:r w:rsidRPr="00E71DC9">
        <w:rPr>
          <w:rFonts w:ascii="Arial" w:hAnsi="Arial" w:cs="Arial"/>
          <w:sz w:val="26"/>
          <w:szCs w:val="26"/>
        </w:rPr>
        <w:t>. Una vez recibida la respuesta por el pleno, me permito solicitar a la Mesa Directiva del H. Congreso del Estado para que, a través de su presidencia, se sirva a enlistar para debate la respuesta en la sesión ordinaria inmediata siguiente.</w:t>
      </w:r>
    </w:p>
    <w:p w14:paraId="36D6F0DE" w14:textId="77777777" w:rsidR="00E71DC9" w:rsidRPr="00E71DC9" w:rsidRDefault="00E71DC9" w:rsidP="006B453F">
      <w:pPr>
        <w:jc w:val="both"/>
        <w:rPr>
          <w:rFonts w:ascii="Arial" w:hAnsi="Arial" w:cs="Arial"/>
          <w:b/>
          <w:bCs/>
          <w:sz w:val="26"/>
          <w:szCs w:val="26"/>
        </w:rPr>
      </w:pPr>
    </w:p>
    <w:p w14:paraId="4385FDBC" w14:textId="71C91B8D" w:rsidR="006B453F" w:rsidRPr="00E71DC9" w:rsidRDefault="006B453F" w:rsidP="006B453F">
      <w:pPr>
        <w:jc w:val="both"/>
        <w:rPr>
          <w:rFonts w:ascii="Arial" w:hAnsi="Arial" w:cs="Arial"/>
          <w:sz w:val="26"/>
          <w:szCs w:val="26"/>
        </w:rPr>
      </w:pPr>
      <w:r w:rsidRPr="00E71DC9">
        <w:rPr>
          <w:rFonts w:ascii="Arial" w:hAnsi="Arial" w:cs="Arial"/>
          <w:b/>
          <w:bCs/>
          <w:sz w:val="26"/>
          <w:szCs w:val="26"/>
        </w:rPr>
        <w:t>D</w:t>
      </w:r>
      <w:r w:rsidR="00E71DC9" w:rsidRPr="00E71DC9">
        <w:rPr>
          <w:rFonts w:ascii="Arial" w:hAnsi="Arial" w:cs="Arial"/>
          <w:b/>
          <w:bCs/>
          <w:sz w:val="26"/>
          <w:szCs w:val="26"/>
        </w:rPr>
        <w:t xml:space="preserve"> A D </w:t>
      </w:r>
      <w:proofErr w:type="gramStart"/>
      <w:r w:rsidR="00E71DC9" w:rsidRPr="00E71DC9">
        <w:rPr>
          <w:rFonts w:ascii="Arial" w:hAnsi="Arial" w:cs="Arial"/>
          <w:b/>
          <w:bCs/>
          <w:sz w:val="26"/>
          <w:szCs w:val="26"/>
        </w:rPr>
        <w:t xml:space="preserve">O </w:t>
      </w:r>
      <w:r w:rsidRPr="00E71DC9">
        <w:rPr>
          <w:rFonts w:ascii="Arial" w:hAnsi="Arial" w:cs="Arial"/>
          <w:sz w:val="26"/>
          <w:szCs w:val="26"/>
        </w:rPr>
        <w:t xml:space="preserve"> en</w:t>
      </w:r>
      <w:proofErr w:type="gramEnd"/>
      <w:r w:rsidRPr="00E71DC9">
        <w:rPr>
          <w:rFonts w:ascii="Arial" w:hAnsi="Arial" w:cs="Arial"/>
          <w:sz w:val="26"/>
          <w:szCs w:val="26"/>
        </w:rPr>
        <w:t xml:space="preserve"> el Salón de Sesiones del Poder Legislativo, a los </w:t>
      </w:r>
      <w:r w:rsidR="004E3AAE" w:rsidRPr="00E71DC9">
        <w:rPr>
          <w:rFonts w:ascii="Arial" w:hAnsi="Arial" w:cs="Arial"/>
          <w:sz w:val="26"/>
          <w:szCs w:val="26"/>
        </w:rPr>
        <w:t>6</w:t>
      </w:r>
      <w:r w:rsidRPr="00E71DC9">
        <w:rPr>
          <w:rFonts w:ascii="Arial" w:hAnsi="Arial" w:cs="Arial"/>
          <w:sz w:val="26"/>
          <w:szCs w:val="26"/>
        </w:rPr>
        <w:t xml:space="preserve"> días del mes de </w:t>
      </w:r>
      <w:r w:rsidR="004E3AAE" w:rsidRPr="00E71DC9">
        <w:rPr>
          <w:rFonts w:ascii="Arial" w:hAnsi="Arial" w:cs="Arial"/>
          <w:sz w:val="26"/>
          <w:szCs w:val="26"/>
        </w:rPr>
        <w:t>noviembre</w:t>
      </w:r>
      <w:r w:rsidRPr="00E71DC9">
        <w:rPr>
          <w:rFonts w:ascii="Arial" w:hAnsi="Arial" w:cs="Arial"/>
          <w:sz w:val="26"/>
          <w:szCs w:val="26"/>
        </w:rPr>
        <w:t xml:space="preserve"> de 2025.</w:t>
      </w:r>
    </w:p>
    <w:p w14:paraId="5AE82A15" w14:textId="61817C41" w:rsidR="009D3FF5" w:rsidRPr="00E71DC9" w:rsidRDefault="009D3FF5" w:rsidP="009D3FF5">
      <w:pPr>
        <w:jc w:val="both"/>
        <w:rPr>
          <w:rFonts w:ascii="Arial" w:hAnsi="Arial" w:cs="Arial"/>
          <w:sz w:val="26"/>
          <w:szCs w:val="26"/>
        </w:rPr>
      </w:pPr>
    </w:p>
    <w:p w14:paraId="04C9ACAA" w14:textId="77777777" w:rsidR="007124DA" w:rsidRPr="00E71DC9" w:rsidRDefault="007124DA" w:rsidP="007124DA">
      <w:pPr>
        <w:jc w:val="center"/>
        <w:rPr>
          <w:rFonts w:ascii="Arial" w:hAnsi="Arial" w:cs="Arial"/>
          <w:b/>
          <w:bCs/>
          <w:sz w:val="26"/>
          <w:szCs w:val="26"/>
        </w:rPr>
      </w:pPr>
    </w:p>
    <w:p w14:paraId="16904E5F" w14:textId="521B84FD" w:rsidR="009D3FF5" w:rsidRPr="00E71DC9" w:rsidRDefault="009D3FF5" w:rsidP="007124DA">
      <w:pPr>
        <w:jc w:val="center"/>
        <w:rPr>
          <w:rFonts w:ascii="Arial" w:hAnsi="Arial" w:cs="Arial"/>
          <w:b/>
          <w:bCs/>
          <w:sz w:val="26"/>
          <w:szCs w:val="26"/>
        </w:rPr>
      </w:pPr>
      <w:r w:rsidRPr="00E71DC9">
        <w:rPr>
          <w:rFonts w:ascii="Arial" w:hAnsi="Arial" w:cs="Arial"/>
          <w:b/>
          <w:bCs/>
          <w:sz w:val="26"/>
          <w:szCs w:val="26"/>
        </w:rPr>
        <w:t>ATENTAMENTE</w:t>
      </w:r>
      <w:r w:rsidR="007124DA" w:rsidRPr="00E71DC9">
        <w:rPr>
          <w:rFonts w:ascii="Arial" w:hAnsi="Arial" w:cs="Arial"/>
          <w:b/>
          <w:bCs/>
          <w:sz w:val="26"/>
          <w:szCs w:val="26"/>
        </w:rPr>
        <w:t>:</w:t>
      </w:r>
    </w:p>
    <w:p w14:paraId="6550587A" w14:textId="47F1A590" w:rsidR="009D3FF5" w:rsidRPr="00E71DC9" w:rsidRDefault="009D3FF5" w:rsidP="007124DA">
      <w:pPr>
        <w:spacing w:after="0"/>
        <w:jc w:val="center"/>
        <w:rPr>
          <w:rFonts w:ascii="Arial" w:hAnsi="Arial" w:cs="Arial"/>
          <w:sz w:val="26"/>
          <w:szCs w:val="26"/>
        </w:rPr>
      </w:pPr>
    </w:p>
    <w:p w14:paraId="1C695ACF" w14:textId="425F2C82" w:rsidR="007124DA" w:rsidRPr="00E71DC9" w:rsidRDefault="007124DA" w:rsidP="007124DA">
      <w:pPr>
        <w:spacing w:after="0"/>
        <w:jc w:val="center"/>
        <w:rPr>
          <w:rFonts w:ascii="Arial" w:hAnsi="Arial" w:cs="Arial"/>
          <w:sz w:val="26"/>
          <w:szCs w:val="26"/>
        </w:rPr>
      </w:pPr>
    </w:p>
    <w:p w14:paraId="583B6033" w14:textId="77777777" w:rsidR="007124DA" w:rsidRPr="00E71DC9" w:rsidRDefault="007124DA" w:rsidP="007124DA">
      <w:pPr>
        <w:spacing w:after="0"/>
        <w:jc w:val="center"/>
        <w:rPr>
          <w:rFonts w:ascii="Arial" w:hAnsi="Arial" w:cs="Arial"/>
          <w:sz w:val="26"/>
          <w:szCs w:val="26"/>
        </w:rPr>
      </w:pPr>
    </w:p>
    <w:p w14:paraId="565F3B94" w14:textId="013BB032" w:rsidR="009D3FF5" w:rsidRPr="00E71DC9" w:rsidRDefault="009D3FF5" w:rsidP="007124DA">
      <w:pPr>
        <w:spacing w:after="0"/>
        <w:jc w:val="center"/>
        <w:rPr>
          <w:rFonts w:ascii="Arial" w:hAnsi="Arial" w:cs="Arial"/>
          <w:b/>
          <w:bCs/>
          <w:sz w:val="26"/>
          <w:szCs w:val="26"/>
        </w:rPr>
      </w:pPr>
      <w:r w:rsidRPr="00E71DC9">
        <w:rPr>
          <w:rFonts w:ascii="Arial" w:hAnsi="Arial" w:cs="Arial"/>
          <w:b/>
          <w:bCs/>
          <w:sz w:val="26"/>
          <w:szCs w:val="26"/>
        </w:rPr>
        <w:t>DIP.</w:t>
      </w:r>
      <w:r w:rsidR="007124DA" w:rsidRPr="00E71DC9">
        <w:rPr>
          <w:rFonts w:ascii="Arial" w:hAnsi="Arial" w:cs="Arial"/>
          <w:b/>
          <w:bCs/>
          <w:sz w:val="26"/>
          <w:szCs w:val="26"/>
        </w:rPr>
        <w:t xml:space="preserve"> </w:t>
      </w:r>
      <w:r w:rsidRPr="00E71DC9">
        <w:rPr>
          <w:rFonts w:ascii="Arial" w:hAnsi="Arial" w:cs="Arial"/>
          <w:b/>
          <w:bCs/>
          <w:sz w:val="26"/>
          <w:szCs w:val="26"/>
        </w:rPr>
        <w:t>PEDRO TORRES ESTRADA GRUPO</w:t>
      </w:r>
    </w:p>
    <w:p w14:paraId="64D6E952" w14:textId="77780317" w:rsidR="007F665E" w:rsidRPr="00E71DC9" w:rsidRDefault="007124DA" w:rsidP="007124DA">
      <w:pPr>
        <w:spacing w:after="0"/>
        <w:jc w:val="center"/>
        <w:rPr>
          <w:rFonts w:ascii="Arial" w:hAnsi="Arial" w:cs="Arial"/>
          <w:sz w:val="24"/>
          <w:szCs w:val="24"/>
          <w:u w:val="single"/>
        </w:rPr>
      </w:pPr>
      <w:r w:rsidRPr="00E71DC9">
        <w:rPr>
          <w:rFonts w:ascii="Arial" w:hAnsi="Arial" w:cs="Arial"/>
          <w:sz w:val="24"/>
          <w:szCs w:val="24"/>
        </w:rPr>
        <w:t>Integrante del grupo parlamentario de morena</w:t>
      </w:r>
    </w:p>
    <w:sectPr w:rsidR="007F665E" w:rsidRPr="00E71DC9" w:rsidSect="006A339C">
      <w:headerReference w:type="default" r:id="rId8"/>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97280" w14:textId="77777777" w:rsidR="00CC3D7C" w:rsidRDefault="00CC3D7C" w:rsidP="007F665E">
      <w:pPr>
        <w:spacing w:after="0" w:line="240" w:lineRule="auto"/>
      </w:pPr>
      <w:r>
        <w:separator/>
      </w:r>
    </w:p>
  </w:endnote>
  <w:endnote w:type="continuationSeparator" w:id="0">
    <w:p w14:paraId="31F5857B" w14:textId="77777777" w:rsidR="00CC3D7C" w:rsidRDefault="00CC3D7C"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4D18" w14:textId="77777777" w:rsidR="00CC3D7C" w:rsidRDefault="00CC3D7C" w:rsidP="007F665E">
      <w:pPr>
        <w:spacing w:after="0" w:line="240" w:lineRule="auto"/>
      </w:pPr>
      <w:r>
        <w:separator/>
      </w:r>
    </w:p>
  </w:footnote>
  <w:footnote w:type="continuationSeparator" w:id="0">
    <w:p w14:paraId="7FA21735" w14:textId="77777777" w:rsidR="00CC3D7C" w:rsidRDefault="00CC3D7C"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75DA031">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53FB"/>
    <w:multiLevelType w:val="hybridMultilevel"/>
    <w:tmpl w:val="6B74B73A"/>
    <w:lvl w:ilvl="0" w:tplc="18AC0432">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12C3A2F"/>
    <w:multiLevelType w:val="hybridMultilevel"/>
    <w:tmpl w:val="CB10CB6E"/>
    <w:lvl w:ilvl="0" w:tplc="829C0F3C">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7CF64A6"/>
    <w:multiLevelType w:val="hybridMultilevel"/>
    <w:tmpl w:val="7E1C8C1C"/>
    <w:lvl w:ilvl="0" w:tplc="5ABC70E4">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7A60132"/>
    <w:multiLevelType w:val="hybridMultilevel"/>
    <w:tmpl w:val="3460B7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714A44"/>
    <w:multiLevelType w:val="hybridMultilevel"/>
    <w:tmpl w:val="A170C1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FF51DB0"/>
    <w:multiLevelType w:val="hybridMultilevel"/>
    <w:tmpl w:val="212C11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512DE"/>
    <w:rsid w:val="000B55FF"/>
    <w:rsid w:val="000F6C4E"/>
    <w:rsid w:val="001911AA"/>
    <w:rsid w:val="001E500C"/>
    <w:rsid w:val="001E5423"/>
    <w:rsid w:val="00291896"/>
    <w:rsid w:val="003131E2"/>
    <w:rsid w:val="003148B1"/>
    <w:rsid w:val="00326670"/>
    <w:rsid w:val="003D3DCB"/>
    <w:rsid w:val="00444C92"/>
    <w:rsid w:val="00480B2B"/>
    <w:rsid w:val="004865CF"/>
    <w:rsid w:val="004C1D83"/>
    <w:rsid w:val="004C60C5"/>
    <w:rsid w:val="004D5B3F"/>
    <w:rsid w:val="004E3AAE"/>
    <w:rsid w:val="004F4807"/>
    <w:rsid w:val="0051265D"/>
    <w:rsid w:val="00561A86"/>
    <w:rsid w:val="0059206D"/>
    <w:rsid w:val="005E0DF5"/>
    <w:rsid w:val="005F7DB5"/>
    <w:rsid w:val="00625838"/>
    <w:rsid w:val="00652673"/>
    <w:rsid w:val="006A339C"/>
    <w:rsid w:val="006A4ED0"/>
    <w:rsid w:val="006B453F"/>
    <w:rsid w:val="00700269"/>
    <w:rsid w:val="0070484A"/>
    <w:rsid w:val="007124DA"/>
    <w:rsid w:val="00732716"/>
    <w:rsid w:val="00740750"/>
    <w:rsid w:val="007659A7"/>
    <w:rsid w:val="007926CD"/>
    <w:rsid w:val="007F1AA5"/>
    <w:rsid w:val="007F665E"/>
    <w:rsid w:val="00830707"/>
    <w:rsid w:val="008818DB"/>
    <w:rsid w:val="008F5B89"/>
    <w:rsid w:val="008F6A06"/>
    <w:rsid w:val="00953B98"/>
    <w:rsid w:val="009715A5"/>
    <w:rsid w:val="009B4E74"/>
    <w:rsid w:val="009D3FF5"/>
    <w:rsid w:val="00A02F09"/>
    <w:rsid w:val="00A4474A"/>
    <w:rsid w:val="00AE3F63"/>
    <w:rsid w:val="00AF3AF7"/>
    <w:rsid w:val="00B1334C"/>
    <w:rsid w:val="00BA6F58"/>
    <w:rsid w:val="00C17A1B"/>
    <w:rsid w:val="00C6127B"/>
    <w:rsid w:val="00C837C3"/>
    <w:rsid w:val="00CA47C7"/>
    <w:rsid w:val="00CC3D7C"/>
    <w:rsid w:val="00CE5C19"/>
    <w:rsid w:val="00D03976"/>
    <w:rsid w:val="00D65DAA"/>
    <w:rsid w:val="00DB3F45"/>
    <w:rsid w:val="00E71DC9"/>
    <w:rsid w:val="00E850E6"/>
    <w:rsid w:val="00EB012D"/>
    <w:rsid w:val="00EB42C1"/>
    <w:rsid w:val="00F1073F"/>
    <w:rsid w:val="00F24AB0"/>
    <w:rsid w:val="00F85652"/>
    <w:rsid w:val="00F9722F"/>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F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Prrafodelista">
    <w:name w:val="List Paragraph"/>
    <w:basedOn w:val="Normal"/>
    <w:uiPriority w:val="34"/>
    <w:qFormat/>
    <w:rsid w:val="00F10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C9862-BAE0-4E3A-AD34-31A7F9315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1152</Words>
  <Characters>6339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2025-11-05T19:18:00Z</dcterms:created>
  <dcterms:modified xsi:type="dcterms:W3CDTF">2025-11-05T19:18:00Z</dcterms:modified>
</cp:coreProperties>
</file>