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44E7" w14:textId="77777777" w:rsidR="00B111BC" w:rsidRPr="008655A2" w:rsidRDefault="00B111BC" w:rsidP="00B111BC">
      <w:pPr>
        <w:spacing w:line="360" w:lineRule="auto"/>
        <w:jc w:val="both"/>
        <w:rPr>
          <w:rFonts w:ascii="Century Gothic" w:hAnsi="Century Gothic"/>
          <w:b/>
          <w:bCs/>
        </w:rPr>
      </w:pPr>
      <w:r>
        <w:rPr>
          <w:rFonts w:ascii="Century Gothic" w:hAnsi="Century Gothic"/>
          <w:b/>
          <w:bCs/>
        </w:rPr>
        <w:t>H. CONGRESO DEL ESTADO.</w:t>
      </w:r>
    </w:p>
    <w:p w14:paraId="1CBB1E46" w14:textId="77777777" w:rsidR="00B111BC" w:rsidRPr="000C259D" w:rsidRDefault="00B111BC" w:rsidP="00B111BC">
      <w:pPr>
        <w:spacing w:line="360" w:lineRule="auto"/>
        <w:jc w:val="both"/>
        <w:rPr>
          <w:rFonts w:ascii="Century Gothic" w:hAnsi="Century Gothic"/>
          <w:b/>
          <w:bCs/>
        </w:rPr>
      </w:pPr>
      <w:r w:rsidRPr="008655A2">
        <w:rPr>
          <w:rFonts w:ascii="Century Gothic" w:hAnsi="Century Gothic"/>
          <w:b/>
          <w:bCs/>
        </w:rPr>
        <w:t>P R E S E N T E.-</w:t>
      </w:r>
    </w:p>
    <w:p w14:paraId="51851A6D" w14:textId="77777777" w:rsidR="00B111BC" w:rsidRPr="00CE3850" w:rsidRDefault="00B111BC" w:rsidP="00B111BC">
      <w:pPr>
        <w:spacing w:before="240" w:after="240" w:line="360" w:lineRule="auto"/>
        <w:jc w:val="both"/>
        <w:rPr>
          <w:rFonts w:ascii="Century Gothic" w:eastAsia="Century Gothic" w:hAnsi="Century Gothic" w:cs="Century Gothic"/>
          <w:b/>
        </w:rPr>
      </w:pPr>
      <w:r>
        <w:rPr>
          <w:rFonts w:ascii="Century Gothic" w:eastAsia="Century Gothic" w:hAnsi="Century Gothic" w:cs="Century Gothic"/>
        </w:rPr>
        <w:t>Quienes suscribimos,</w:t>
      </w:r>
      <w:r>
        <w:rPr>
          <w:rFonts w:ascii="Century Gothic" w:eastAsia="Century Gothic" w:hAnsi="Century Gothic" w:cs="Century Gothic"/>
          <w:b/>
        </w:rPr>
        <w:t xml:space="preserve"> Oscar Daniel Avitia Arellanes, </w:t>
      </w:r>
      <w:r>
        <w:rPr>
          <w:rFonts w:ascii="Century Gothic" w:eastAsia="Century Gothic" w:hAnsi="Century Gothic" w:cs="Century Gothic"/>
          <w:b/>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rPr>
        <w:t xml:space="preserve">, </w:t>
      </w:r>
      <w:r>
        <w:rPr>
          <w:rFonts w:ascii="Century Gothic" w:eastAsia="Century Gothic" w:hAnsi="Century Gothic" w:cs="Century Gothic"/>
        </w:rPr>
        <w:t xml:space="preserve">Diputadas y Diputados de la Sexagésima Octava Legislatura del Honorable Congreso del Estado de Chihuahua integrantes del Grupo Parlamentario de morena,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 la Diputación Permanente,  la siguiente proposición con carácter de </w:t>
      </w:r>
      <w:r>
        <w:rPr>
          <w:rFonts w:ascii="Century Gothic" w:eastAsia="Century Gothic" w:hAnsi="Century Gothic" w:cs="Century Gothic"/>
          <w:b/>
        </w:rPr>
        <w:t xml:space="preserve">ACUERDO. </w:t>
      </w:r>
    </w:p>
    <w:p w14:paraId="7A53ADDF" w14:textId="188B6414" w:rsidR="00B111BC" w:rsidRDefault="00B111BC" w:rsidP="00B111BC">
      <w:pPr>
        <w:spacing w:line="360" w:lineRule="auto"/>
        <w:jc w:val="both"/>
        <w:rPr>
          <w:rFonts w:ascii="Century Gothic" w:hAnsi="Century Gothic" w:cs="Arial"/>
          <w:lang w:val="es-ES_tradnl"/>
        </w:rPr>
      </w:pPr>
      <w:r>
        <w:rPr>
          <w:rFonts w:ascii="Century Gothic" w:hAnsi="Century Gothic" w:cs="Arial"/>
          <w:lang w:val="es-ES_tradnl"/>
        </w:rPr>
        <w:t>Lo anterior de conformidad con la siguiente:</w:t>
      </w:r>
    </w:p>
    <w:p w14:paraId="368B10C8" w14:textId="77777777" w:rsidR="00035F86" w:rsidRPr="000C259D" w:rsidRDefault="00035F86" w:rsidP="00B111BC">
      <w:pPr>
        <w:spacing w:line="360" w:lineRule="auto"/>
        <w:jc w:val="both"/>
        <w:rPr>
          <w:rFonts w:ascii="Century Gothic" w:hAnsi="Century Gothic" w:cs="Arial"/>
          <w:lang w:val="es-ES_tradnl"/>
        </w:rPr>
      </w:pPr>
    </w:p>
    <w:p w14:paraId="2AFBCA44" w14:textId="7EDAD5A6" w:rsidR="00035F86" w:rsidRDefault="00B111BC" w:rsidP="005A500E">
      <w:pPr>
        <w:spacing w:line="360" w:lineRule="auto"/>
        <w:jc w:val="center"/>
        <w:rPr>
          <w:rFonts w:ascii="Century Gothic" w:hAnsi="Century Gothic" w:cs="Arial"/>
          <w:b/>
          <w:lang w:val="es-ES_tradnl"/>
        </w:rPr>
      </w:pPr>
      <w:r w:rsidRPr="00243589">
        <w:rPr>
          <w:rFonts w:ascii="Century Gothic" w:hAnsi="Century Gothic" w:cs="Arial"/>
          <w:b/>
          <w:lang w:val="es-ES_tradnl"/>
        </w:rPr>
        <w:t>EXPOSICION DE MOTIVOS</w:t>
      </w:r>
      <w:r>
        <w:rPr>
          <w:rFonts w:ascii="Century Gothic" w:hAnsi="Century Gothic" w:cs="Arial"/>
          <w:b/>
          <w:lang w:val="es-ES_tradnl"/>
        </w:rPr>
        <w:t>.</w:t>
      </w:r>
    </w:p>
    <w:p w14:paraId="2DE336BD" w14:textId="084ADD12" w:rsidR="0033163D" w:rsidRDefault="0033163D"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El presupuesto de egresos de cualquier nivel de la administración pública, representa el eje central de la gestión, constituyendo no solamente un instrumento financiero sino un reflejo de las prioridades y compromisos adoptados por las autoridades con sus comunidades. </w:t>
      </w:r>
    </w:p>
    <w:p w14:paraId="3B0FA1FA" w14:textId="5D5293E0" w:rsidR="0033163D" w:rsidRDefault="0033163D"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En ese orden de ideas, Chihuahua siendo un estado geográficamente no solo extenso sino diverso, abarcando desde urbes consolidadas hasta </w:t>
      </w:r>
      <w:r w:rsidR="00EA5A0D">
        <w:rPr>
          <w:rFonts w:ascii="Century Gothic" w:hAnsi="Century Gothic" w:cs="Arial"/>
          <w:bCs/>
          <w:lang w:val="es-ES_tradnl"/>
        </w:rPr>
        <w:t xml:space="preserve">comunidades rurales y seccionales, </w:t>
      </w:r>
      <w:r w:rsidR="005A500E">
        <w:rPr>
          <w:rFonts w:ascii="Century Gothic" w:hAnsi="Century Gothic" w:cs="Arial"/>
          <w:bCs/>
          <w:lang w:val="es-ES_tradnl"/>
        </w:rPr>
        <w:t xml:space="preserve">por lo que </w:t>
      </w:r>
      <w:r w:rsidR="00EA5A0D">
        <w:rPr>
          <w:rFonts w:ascii="Century Gothic" w:hAnsi="Century Gothic" w:cs="Arial"/>
          <w:bCs/>
          <w:lang w:val="es-ES_tradnl"/>
        </w:rPr>
        <w:t xml:space="preserve">la elaboración, análisis y discusión de los </w:t>
      </w:r>
      <w:r w:rsidR="00EA5A0D">
        <w:rPr>
          <w:rFonts w:ascii="Century Gothic" w:hAnsi="Century Gothic" w:cs="Arial"/>
          <w:bCs/>
          <w:lang w:val="es-ES_tradnl"/>
        </w:rPr>
        <w:lastRenderedPageBreak/>
        <w:t>anteproyectos de presupuesto de egresos requieren la debida atención y seguimiento de procesos establecidos a fin de garantizar equidad, eficiencia y rendición de cuentas.</w:t>
      </w:r>
    </w:p>
    <w:p w14:paraId="26AF7A07" w14:textId="5779EC0B" w:rsidR="00EA5A0D" w:rsidRDefault="00EA5A0D"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Es así que, habiendo recibido diversas peticiones vertidas por presidencias seccionales en el sentido de requerir mayor comunicación y apoyo por parte de las </w:t>
      </w:r>
      <w:r w:rsidR="005A500E">
        <w:rPr>
          <w:rFonts w:ascii="Century Gothic" w:hAnsi="Century Gothic" w:cs="Arial"/>
          <w:bCs/>
          <w:lang w:val="es-ES_tradnl"/>
        </w:rPr>
        <w:t>autoridades</w:t>
      </w:r>
      <w:r>
        <w:rPr>
          <w:rFonts w:ascii="Century Gothic" w:hAnsi="Century Gothic" w:cs="Arial"/>
          <w:bCs/>
          <w:lang w:val="es-ES_tradnl"/>
        </w:rPr>
        <w:t xml:space="preserve"> municipales, encontramos que el Código Municipal prevé la obligación de los Ayuntamientos de iniciar de manera oportuna con el proceso de elaboración del Presupuesto de Egresos, estableciendo para tal efecto plazos a fin de poder consensar y atender debidamente las necesidades de la población.</w:t>
      </w:r>
    </w:p>
    <w:p w14:paraId="76131D0F" w14:textId="5F54259B" w:rsidR="00EA5A0D" w:rsidRDefault="00EA5A0D" w:rsidP="0033163D">
      <w:pPr>
        <w:spacing w:line="360" w:lineRule="auto"/>
        <w:jc w:val="both"/>
        <w:rPr>
          <w:rFonts w:ascii="Century Gothic" w:hAnsi="Century Gothic" w:cs="Arial"/>
          <w:bCs/>
          <w:lang w:val="es-ES_tradnl"/>
        </w:rPr>
      </w:pPr>
      <w:r>
        <w:rPr>
          <w:rFonts w:ascii="Century Gothic" w:hAnsi="Century Gothic" w:cs="Arial"/>
          <w:bCs/>
          <w:lang w:val="es-ES_tradnl"/>
        </w:rPr>
        <w:t>En un contexto de persistentes necesidades en zonas marginadas que demandan el fortalecimiento y la cobertura incluso de servicios básicos, el incumplimiento de lo dispuesto por el Código Municipal genera no solo subejercicios crónicos, sino que amplía las brechas de desigualdad debilitando la confianza de la ciudadanía en las instituciones.</w:t>
      </w:r>
    </w:p>
    <w:p w14:paraId="3933F29E" w14:textId="69D7A2D0" w:rsidR="00EA5A0D" w:rsidRDefault="00EA5A0D"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En tal virtud, el presente es un llamado al cumplimiento normativo a fin de dar cumplimiento con los principios constitucionales de federalismo cooperativo y descentralización, optando por la planeación participativa como una vía de respuesta a los intereses comunitarios. </w:t>
      </w:r>
    </w:p>
    <w:p w14:paraId="22D44A7B" w14:textId="02613CFC" w:rsidR="00EA5A0D" w:rsidRDefault="00EA5A0D"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Si bien el marco normativo </w:t>
      </w:r>
      <w:r w:rsidR="00DB2722">
        <w:rPr>
          <w:rFonts w:ascii="Century Gothic" w:hAnsi="Century Gothic" w:cs="Arial"/>
          <w:bCs/>
          <w:lang w:val="es-ES_tradnl"/>
        </w:rPr>
        <w:t>necesita robustecerse a fin de dar mayor certeza a las Juntas Municipales, encontramos que el Código Municipal para el estado de Chihuahua establece obligaciones vinculantes para la elaboración del anteproyecto de presupuesto de egresos con énfasis en la integración de las perspectivas locales y la participación de los órganos auxiliares.</w:t>
      </w:r>
    </w:p>
    <w:p w14:paraId="676D499D" w14:textId="05ABF692" w:rsidR="00DB2722" w:rsidRDefault="005A500E" w:rsidP="0033163D">
      <w:pPr>
        <w:spacing w:line="360" w:lineRule="auto"/>
        <w:jc w:val="both"/>
        <w:rPr>
          <w:rFonts w:ascii="Century Gothic" w:hAnsi="Century Gothic" w:cs="Arial"/>
          <w:bCs/>
          <w:lang w:val="es-ES_tradnl"/>
        </w:rPr>
      </w:pPr>
      <w:r>
        <w:rPr>
          <w:rFonts w:ascii="Century Gothic" w:hAnsi="Century Gothic" w:cs="Arial"/>
          <w:bCs/>
          <w:lang w:val="es-ES_tradnl"/>
        </w:rPr>
        <w:t>Es así que el referido ordenamiento</w:t>
      </w:r>
      <w:r w:rsidR="00DB2722">
        <w:rPr>
          <w:rFonts w:ascii="Century Gothic" w:hAnsi="Century Gothic" w:cs="Arial"/>
          <w:bCs/>
          <w:lang w:val="es-ES_tradnl"/>
        </w:rPr>
        <w:t xml:space="preserve"> contempla que las Juntas Municipales y Presidencias Seccionales remitirán su anteproyecto de Presupuesto de Egresos a más tardar el día 15 de diciembre para su análisis e integración en el presupuesto </w:t>
      </w:r>
      <w:r w:rsidR="00DB2722">
        <w:rPr>
          <w:rFonts w:ascii="Century Gothic" w:hAnsi="Century Gothic" w:cs="Arial"/>
          <w:bCs/>
          <w:lang w:val="es-ES_tradnl"/>
        </w:rPr>
        <w:lastRenderedPageBreak/>
        <w:t>municipal, estableciendo no una disposición deliberativa sino una obligación legal que busca garantizar la autonomía presupuestal de las autoridades seccionales evitando que las asignaciones queden a discreción de las cabeceras municipales, requiriendo para tal efecto un análisis colegiado que requiere de una participación plural.</w:t>
      </w:r>
    </w:p>
    <w:p w14:paraId="245D2EF9" w14:textId="55B16E99" w:rsidR="00DB2722" w:rsidRDefault="00DB2722" w:rsidP="0033163D">
      <w:pPr>
        <w:spacing w:line="360" w:lineRule="auto"/>
        <w:jc w:val="both"/>
        <w:rPr>
          <w:rFonts w:ascii="Century Gothic" w:hAnsi="Century Gothic" w:cs="Arial"/>
          <w:bCs/>
          <w:lang w:val="es-ES_tradnl"/>
        </w:rPr>
      </w:pPr>
      <w:r>
        <w:rPr>
          <w:rFonts w:ascii="Century Gothic" w:hAnsi="Century Gothic" w:cs="Arial"/>
          <w:bCs/>
          <w:lang w:val="es-ES_tradnl"/>
        </w:rPr>
        <w:t xml:space="preserve">De manera adicional, el Código Municipal en concordancia con la Ley de Presupuesto de Egresos, Contabilidad Gubernamental y Gasto Público </w:t>
      </w:r>
      <w:r w:rsidR="00DC78D8">
        <w:rPr>
          <w:rFonts w:ascii="Century Gothic" w:hAnsi="Century Gothic" w:cs="Arial"/>
          <w:bCs/>
          <w:lang w:val="es-ES_tradnl"/>
        </w:rPr>
        <w:t xml:space="preserve">busca alinear la elaboración del presupuesto con lo plasmado en el Plan Municipal de Desarrollo a fin de que las </w:t>
      </w:r>
      <w:r w:rsidR="005A500E">
        <w:rPr>
          <w:rFonts w:ascii="Century Gothic" w:hAnsi="Century Gothic" w:cs="Arial"/>
          <w:bCs/>
          <w:lang w:val="es-ES_tradnl"/>
        </w:rPr>
        <w:t>proyecciones, tanto</w:t>
      </w:r>
      <w:r w:rsidR="00DC78D8">
        <w:rPr>
          <w:rFonts w:ascii="Century Gothic" w:hAnsi="Century Gothic" w:cs="Arial"/>
          <w:bCs/>
          <w:lang w:val="es-ES_tradnl"/>
        </w:rPr>
        <w:t xml:space="preserve"> de ingresos como de egresos prioricen ejes como seguridad, salud y desarrollo social, siendo una infracción grave sujeta a responsabilidades administrativas el no hacerlo como se dispone.</w:t>
      </w:r>
    </w:p>
    <w:p w14:paraId="39A4F76F" w14:textId="01767D37" w:rsidR="00DC78D8" w:rsidRDefault="00DC78D8" w:rsidP="0033163D">
      <w:pPr>
        <w:spacing w:line="360" w:lineRule="auto"/>
        <w:jc w:val="both"/>
        <w:rPr>
          <w:rFonts w:ascii="Century Gothic" w:hAnsi="Century Gothic" w:cs="Arial"/>
          <w:bCs/>
          <w:lang w:val="es-ES_tradnl"/>
        </w:rPr>
      </w:pPr>
      <w:r>
        <w:rPr>
          <w:rFonts w:ascii="Century Gothic" w:hAnsi="Century Gothic" w:cs="Arial"/>
          <w:bCs/>
          <w:lang w:val="es-ES_tradnl"/>
        </w:rPr>
        <w:t>A pesar de estar plasmado</w:t>
      </w:r>
      <w:r w:rsidR="005A500E">
        <w:rPr>
          <w:rFonts w:ascii="Century Gothic" w:hAnsi="Century Gothic" w:cs="Arial"/>
          <w:bCs/>
          <w:lang w:val="es-ES_tradnl"/>
        </w:rPr>
        <w:t xml:space="preserve"> en la normativa referida,</w:t>
      </w:r>
      <w:r>
        <w:rPr>
          <w:rFonts w:ascii="Century Gothic" w:hAnsi="Century Gothic" w:cs="Arial"/>
          <w:bCs/>
          <w:lang w:val="es-ES_tradnl"/>
        </w:rPr>
        <w:t xml:space="preserve"> en la realidad persiste una preocupante práctica </w:t>
      </w:r>
      <w:r w:rsidR="00262DCD">
        <w:rPr>
          <w:rFonts w:ascii="Century Gothic" w:hAnsi="Century Gothic" w:cs="Arial"/>
          <w:bCs/>
          <w:lang w:val="es-ES_tradnl"/>
        </w:rPr>
        <w:t xml:space="preserve">de incumplimiento que compromete la ejecución presupuestal </w:t>
      </w:r>
      <w:r w:rsidR="005A500E">
        <w:rPr>
          <w:rFonts w:ascii="Century Gothic" w:hAnsi="Century Gothic" w:cs="Arial"/>
          <w:bCs/>
          <w:lang w:val="es-ES_tradnl"/>
        </w:rPr>
        <w:t>y</w:t>
      </w:r>
      <w:r w:rsidR="00262DCD">
        <w:rPr>
          <w:rFonts w:ascii="Century Gothic" w:hAnsi="Century Gothic" w:cs="Arial"/>
          <w:bCs/>
          <w:lang w:val="es-ES_tradnl"/>
        </w:rPr>
        <w:t xml:space="preserve"> pone en evidencia fallas en la elaboración oportuna de anteproyectos, tal como ha detectado la Auditoría Superior del Estado de Chihuahua a través de las observaciones hechas en torno a subejercicios de </w:t>
      </w:r>
      <w:r w:rsidR="005A500E">
        <w:rPr>
          <w:rFonts w:ascii="Century Gothic" w:hAnsi="Century Gothic" w:cs="Arial"/>
          <w:bCs/>
          <w:lang w:val="es-ES_tradnl"/>
        </w:rPr>
        <w:t>recursos</w:t>
      </w:r>
      <w:r w:rsidR="00262DCD">
        <w:rPr>
          <w:rFonts w:ascii="Century Gothic" w:hAnsi="Century Gothic" w:cs="Arial"/>
          <w:bCs/>
          <w:lang w:val="es-ES_tradnl"/>
        </w:rPr>
        <w:t xml:space="preserve"> municipales atribuibles en gran medida a la falta de integración de los anteproyectos y a la discrecionalidad en asignaciones.</w:t>
      </w:r>
    </w:p>
    <w:p w14:paraId="457A9540" w14:textId="6A9F248A" w:rsidR="000578F6" w:rsidRDefault="000578F6" w:rsidP="0033163D">
      <w:pPr>
        <w:spacing w:line="360" w:lineRule="auto"/>
        <w:jc w:val="both"/>
        <w:rPr>
          <w:rFonts w:ascii="Century Gothic" w:hAnsi="Century Gothic" w:cs="Arial"/>
          <w:bCs/>
          <w:lang w:val="es-ES_tradnl"/>
        </w:rPr>
      </w:pPr>
      <w:r>
        <w:rPr>
          <w:rFonts w:ascii="Century Gothic" w:hAnsi="Century Gothic" w:cs="Arial"/>
          <w:bCs/>
          <w:lang w:val="es-ES_tradnl"/>
        </w:rPr>
        <w:t>Por otra parte, de acuerdo cono el Atlas Financiero Municipal para 2023, elaborado por la Auditoría Superior del Estado, la tendencia de subejercicios en egresos locales se corrobora, arrojando que, en 40% de los ayuntamiento rurales, esta práctica afecta comprometiendo los servicios básicos y en un mayor endeudamiento, fomentando malas prácticas como el hostigamiento administrativo y las auditorías selectivas, tal como se ha expuesto al suscrito por diversas autoridades seccionales, irregularidades que no solo generan ineficiencias sino que violan el principio de proporcionalidad.</w:t>
      </w:r>
    </w:p>
    <w:p w14:paraId="7649A39D" w14:textId="32474FD8" w:rsidR="000578F6" w:rsidRDefault="000578F6" w:rsidP="0033163D">
      <w:pPr>
        <w:spacing w:line="360" w:lineRule="auto"/>
        <w:jc w:val="both"/>
        <w:rPr>
          <w:rFonts w:ascii="Century Gothic" w:hAnsi="Century Gothic" w:cs="Arial"/>
          <w:bCs/>
          <w:lang w:val="es-ES_tradnl"/>
        </w:rPr>
      </w:pPr>
      <w:r>
        <w:rPr>
          <w:rFonts w:ascii="Century Gothic" w:hAnsi="Century Gothic" w:cs="Arial"/>
          <w:bCs/>
          <w:lang w:val="es-ES_tradnl"/>
        </w:rPr>
        <w:lastRenderedPageBreak/>
        <w:t>Si observamos más allá de lo evidente, el impacto de lo expuesto socialmente agrava la marginación, reduce la inversión en infraestructura y erosiona la legitimidad de los entes públicos exacerbando vulnerabilidades, por lo que se hace imperativo el hacer un llamado al cumplimiento para el próximo ejercicio fiscal.</w:t>
      </w:r>
    </w:p>
    <w:p w14:paraId="762F451C" w14:textId="7032F34A" w:rsidR="008D067D" w:rsidRDefault="000578F6" w:rsidP="000578F6">
      <w:pPr>
        <w:spacing w:line="360" w:lineRule="auto"/>
        <w:jc w:val="both"/>
        <w:rPr>
          <w:rFonts w:ascii="Century Gothic" w:hAnsi="Century Gothic" w:cs="Arial"/>
          <w:bCs/>
          <w:lang w:val="es-ES_tradnl"/>
        </w:rPr>
      </w:pPr>
      <w:r>
        <w:rPr>
          <w:rFonts w:ascii="Century Gothic" w:hAnsi="Century Gothic" w:cs="Arial"/>
          <w:bCs/>
          <w:lang w:val="es-ES_tradnl"/>
        </w:rPr>
        <w:t>En tal virtud, a fin de hacer un recordatorio al cumplimiento de la legalidad, pudiendo prevenir responsabilidades por omisión y anteponiendo las necesidades de las comunidades, hacemos un atento exhorto a las autoridades municipales a fin de restaurar el equilibrio presupuestal aprovechando la facultad de fiscalización que como Asamblea Legislativa tenemos, garantizando además que los recursos públicos sirvan a un bien común y no a prácticas discrecionales, instando a los Ayuntamientos a actuar con rectitud en beneficio de la población, por lo que nos permitimos formular la siguiente proposición con carácter de:</w:t>
      </w:r>
    </w:p>
    <w:p w14:paraId="6DAC3F36" w14:textId="77777777" w:rsidR="005A500E" w:rsidRPr="000578F6" w:rsidRDefault="005A500E" w:rsidP="000578F6">
      <w:pPr>
        <w:spacing w:line="360" w:lineRule="auto"/>
        <w:jc w:val="both"/>
        <w:rPr>
          <w:rFonts w:ascii="Century Gothic" w:hAnsi="Century Gothic" w:cs="Arial"/>
          <w:bCs/>
          <w:lang w:val="es-ES_tradnl"/>
        </w:rPr>
      </w:pPr>
    </w:p>
    <w:p w14:paraId="082EC8B5" w14:textId="018BFAD5" w:rsidR="00DD120C" w:rsidRDefault="00DD120C" w:rsidP="000578F6">
      <w:pPr>
        <w:spacing w:line="360" w:lineRule="auto"/>
        <w:jc w:val="center"/>
        <w:rPr>
          <w:rFonts w:ascii="Century Gothic" w:hAnsi="Century Gothic"/>
          <w:b/>
          <w:bCs/>
          <w:lang w:val="es-ES"/>
        </w:rPr>
      </w:pPr>
      <w:r w:rsidRPr="00006791">
        <w:rPr>
          <w:rFonts w:ascii="Century Gothic" w:hAnsi="Century Gothic"/>
          <w:b/>
          <w:bCs/>
          <w:lang w:val="es-ES"/>
        </w:rPr>
        <w:t>A C U E R D O.</w:t>
      </w:r>
    </w:p>
    <w:p w14:paraId="72226FA7" w14:textId="77777777" w:rsidR="008D067D" w:rsidRDefault="008D067D" w:rsidP="000578F6">
      <w:pPr>
        <w:spacing w:line="360" w:lineRule="auto"/>
        <w:jc w:val="center"/>
        <w:rPr>
          <w:rFonts w:ascii="Century Gothic" w:hAnsi="Century Gothic"/>
          <w:b/>
          <w:bCs/>
          <w:lang w:val="es-ES"/>
        </w:rPr>
      </w:pPr>
    </w:p>
    <w:p w14:paraId="4CA7D532" w14:textId="7F949102" w:rsidR="00120700" w:rsidRDefault="00DD120C" w:rsidP="00491B13">
      <w:pPr>
        <w:spacing w:line="360" w:lineRule="auto"/>
        <w:jc w:val="both"/>
        <w:rPr>
          <w:rFonts w:ascii="Century Gothic" w:hAnsi="Century Gothic"/>
          <w:lang w:val="es-ES"/>
        </w:rPr>
      </w:pPr>
      <w:r>
        <w:rPr>
          <w:rFonts w:ascii="Century Gothic" w:hAnsi="Century Gothic"/>
          <w:b/>
          <w:bCs/>
          <w:lang w:val="es-ES"/>
        </w:rPr>
        <w:t xml:space="preserve">ÚNICO. </w:t>
      </w:r>
      <w:r>
        <w:rPr>
          <w:rFonts w:ascii="Century Gothic" w:hAnsi="Century Gothic"/>
          <w:lang w:val="es-ES"/>
        </w:rPr>
        <w:t xml:space="preserve">La Sexagésima Octava Legislatura del H. Congreso del Estado, hace un atento </w:t>
      </w:r>
      <w:r w:rsidR="00491B13">
        <w:rPr>
          <w:rFonts w:ascii="Century Gothic" w:hAnsi="Century Gothic"/>
          <w:lang w:val="es-ES"/>
        </w:rPr>
        <w:t>exhorto a</w:t>
      </w:r>
      <w:r>
        <w:rPr>
          <w:rFonts w:ascii="Century Gothic" w:hAnsi="Century Gothic"/>
          <w:lang w:val="es-ES"/>
        </w:rPr>
        <w:t xml:space="preserve"> los 67 Ayuntamientos del Estado para que, con fundamento en lo que dispone el Código Municipal</w:t>
      </w:r>
      <w:r w:rsidR="008D067D">
        <w:rPr>
          <w:rFonts w:ascii="Century Gothic" w:hAnsi="Century Gothic"/>
          <w:lang w:val="es-ES"/>
        </w:rPr>
        <w:t xml:space="preserve"> y los ordenamientos correspondientes</w:t>
      </w:r>
      <w:r>
        <w:rPr>
          <w:rFonts w:ascii="Century Gothic" w:hAnsi="Century Gothic"/>
          <w:lang w:val="es-ES"/>
        </w:rPr>
        <w:t>, se</w:t>
      </w:r>
      <w:r w:rsidR="00491B13">
        <w:rPr>
          <w:rFonts w:ascii="Century Gothic" w:hAnsi="Century Gothic"/>
          <w:lang w:val="es-ES"/>
        </w:rPr>
        <w:t xml:space="preserve"> convoque con </w:t>
      </w:r>
      <w:r w:rsidR="008D067D">
        <w:rPr>
          <w:rFonts w:ascii="Century Gothic" w:hAnsi="Century Gothic"/>
          <w:lang w:val="es-ES"/>
        </w:rPr>
        <w:t xml:space="preserve">la debida </w:t>
      </w:r>
      <w:r w:rsidR="00491B13">
        <w:rPr>
          <w:rFonts w:ascii="Century Gothic" w:hAnsi="Century Gothic"/>
          <w:lang w:val="es-ES"/>
        </w:rPr>
        <w:t>oportunidad a las autoridades de las secciones municipales para orientar, analizar y discutir su anteproyecto de Presupuesto de Egresos</w:t>
      </w:r>
      <w:r w:rsidR="00491B13" w:rsidRPr="00491B13">
        <w:rPr>
          <w:rFonts w:ascii="Century Gothic" w:hAnsi="Century Gothic"/>
          <w:lang w:val="es-ES"/>
        </w:rPr>
        <w:t xml:space="preserve"> </w:t>
      </w:r>
      <w:r w:rsidR="00491B13">
        <w:rPr>
          <w:rFonts w:ascii="Century Gothic" w:hAnsi="Century Gothic"/>
          <w:lang w:val="es-ES"/>
        </w:rPr>
        <w:t xml:space="preserve">considerando las necesidades de la población que representan, a fin de estar en posibilidad de integrarlo al Presupuesto de Egresos </w:t>
      </w:r>
      <w:r w:rsidR="008D067D">
        <w:rPr>
          <w:rFonts w:ascii="Century Gothic" w:hAnsi="Century Gothic"/>
          <w:lang w:val="es-ES"/>
        </w:rPr>
        <w:t>M</w:t>
      </w:r>
      <w:r w:rsidR="00491B13">
        <w:rPr>
          <w:rFonts w:ascii="Century Gothic" w:hAnsi="Century Gothic"/>
          <w:lang w:val="es-ES"/>
        </w:rPr>
        <w:t>unicipal.</w:t>
      </w:r>
    </w:p>
    <w:p w14:paraId="6B7D836A" w14:textId="4927652E" w:rsidR="00DD120C" w:rsidRDefault="00DD120C" w:rsidP="00DD120C">
      <w:pPr>
        <w:jc w:val="both"/>
        <w:rPr>
          <w:rFonts w:ascii="Century Gothic" w:hAnsi="Century Gothic"/>
          <w:lang w:val="es-ES"/>
        </w:rPr>
      </w:pPr>
    </w:p>
    <w:p w14:paraId="2989C449" w14:textId="0401F906" w:rsidR="00035F86" w:rsidRDefault="00DD120C" w:rsidP="00DD120C">
      <w:pPr>
        <w:spacing w:line="360" w:lineRule="auto"/>
        <w:jc w:val="both"/>
        <w:rPr>
          <w:rFonts w:ascii="Century Gothic" w:hAnsi="Century Gothic" w:cs="Arial"/>
        </w:rPr>
      </w:pPr>
      <w:r>
        <w:rPr>
          <w:rFonts w:ascii="Century Gothic" w:hAnsi="Century Gothic" w:cs="Arial"/>
          <w:b/>
        </w:rPr>
        <w:t>ECONÓMICO</w:t>
      </w:r>
      <w:r w:rsidRPr="008B1184">
        <w:rPr>
          <w:rFonts w:ascii="Century Gothic" w:hAnsi="Century Gothic" w:cs="Arial"/>
          <w:b/>
        </w:rPr>
        <w:t>:</w:t>
      </w:r>
      <w:r>
        <w:rPr>
          <w:rFonts w:ascii="Century Gothic" w:hAnsi="Century Gothic" w:cs="Arial"/>
        </w:rPr>
        <w:t xml:space="preserve"> Aprobado que sea, remítase copia del presente acuerdo, así como de la iniciativa que </w:t>
      </w:r>
      <w:proofErr w:type="gramStart"/>
      <w:r>
        <w:rPr>
          <w:rFonts w:ascii="Century Gothic" w:hAnsi="Century Gothic" w:cs="Arial"/>
        </w:rPr>
        <w:t>le</w:t>
      </w:r>
      <w:proofErr w:type="gramEnd"/>
      <w:r>
        <w:rPr>
          <w:rFonts w:ascii="Century Gothic" w:hAnsi="Century Gothic" w:cs="Arial"/>
        </w:rPr>
        <w:t xml:space="preserve"> dio origen a las autoridades antes mencionadas.</w:t>
      </w:r>
    </w:p>
    <w:p w14:paraId="5AA35E7C" w14:textId="683A8EEB" w:rsidR="00DD120C" w:rsidRDefault="00DD120C" w:rsidP="00DD120C">
      <w:pPr>
        <w:spacing w:line="360" w:lineRule="auto"/>
        <w:jc w:val="both"/>
        <w:rPr>
          <w:rFonts w:ascii="Century Gothic" w:hAnsi="Century Gothic" w:cs="Arial"/>
        </w:rPr>
      </w:pPr>
      <w:r>
        <w:rPr>
          <w:rFonts w:ascii="Century Gothic" w:hAnsi="Century Gothic" w:cs="Arial"/>
        </w:rPr>
        <w:lastRenderedPageBreak/>
        <w:t xml:space="preserve">Dado en </w:t>
      </w:r>
      <w:r w:rsidR="00491B13">
        <w:rPr>
          <w:rFonts w:ascii="Century Gothic" w:hAnsi="Century Gothic" w:cs="Arial"/>
        </w:rPr>
        <w:t>el Salón del Pleno</w:t>
      </w:r>
      <w:r>
        <w:rPr>
          <w:rFonts w:ascii="Century Gothic" w:hAnsi="Century Gothic" w:cs="Arial"/>
        </w:rPr>
        <w:t xml:space="preserve"> del Poder Legislativo a los </w:t>
      </w:r>
      <w:r w:rsidR="008D067D">
        <w:rPr>
          <w:rFonts w:ascii="Century Gothic" w:hAnsi="Century Gothic" w:cs="Arial"/>
        </w:rPr>
        <w:t>--</w:t>
      </w:r>
      <w:r>
        <w:rPr>
          <w:rFonts w:ascii="Century Gothic" w:hAnsi="Century Gothic" w:cs="Arial"/>
        </w:rPr>
        <w:t xml:space="preserve"> días del mes de </w:t>
      </w:r>
      <w:r w:rsidR="00491B13">
        <w:rPr>
          <w:rFonts w:ascii="Century Gothic" w:hAnsi="Century Gothic" w:cs="Arial"/>
        </w:rPr>
        <w:t>octubre</w:t>
      </w:r>
      <w:r>
        <w:rPr>
          <w:rFonts w:ascii="Century Gothic" w:hAnsi="Century Gothic" w:cs="Arial"/>
        </w:rPr>
        <w:t xml:space="preserve"> de 2025.</w:t>
      </w:r>
    </w:p>
    <w:p w14:paraId="486CB362" w14:textId="77777777" w:rsidR="00DD120C" w:rsidRDefault="00DD120C" w:rsidP="00DD120C">
      <w:pPr>
        <w:spacing w:line="360" w:lineRule="auto"/>
        <w:jc w:val="both"/>
        <w:rPr>
          <w:rFonts w:ascii="Century Gothic" w:hAnsi="Century Gothic" w:cs="Arial"/>
        </w:rPr>
      </w:pPr>
    </w:p>
    <w:p w14:paraId="0D2A8581" w14:textId="77777777" w:rsidR="00DD120C" w:rsidRDefault="00DD120C" w:rsidP="00DD120C">
      <w:pPr>
        <w:spacing w:line="360" w:lineRule="auto"/>
        <w:jc w:val="center"/>
        <w:rPr>
          <w:rFonts w:ascii="Century Gothic" w:hAnsi="Century Gothic" w:cs="Arial"/>
          <w:b/>
        </w:rPr>
      </w:pPr>
      <w:r w:rsidRPr="00D3518A">
        <w:rPr>
          <w:rFonts w:ascii="Century Gothic" w:hAnsi="Century Gothic" w:cs="Arial"/>
          <w:b/>
        </w:rPr>
        <w:t>Atentamente,</w:t>
      </w:r>
    </w:p>
    <w:p w14:paraId="3350639B" w14:textId="77777777" w:rsidR="00DD120C" w:rsidRDefault="00DD120C" w:rsidP="00DD120C">
      <w:pPr>
        <w:spacing w:line="360" w:lineRule="auto"/>
        <w:jc w:val="center"/>
        <w:rPr>
          <w:rFonts w:ascii="Century Gothic" w:hAnsi="Century Gothic" w:cs="Arial"/>
          <w:b/>
        </w:rPr>
      </w:pPr>
    </w:p>
    <w:p w14:paraId="2E09FE90" w14:textId="77777777" w:rsidR="00DD120C" w:rsidRDefault="00DD120C" w:rsidP="00DD120C">
      <w:pPr>
        <w:spacing w:line="360" w:lineRule="auto"/>
        <w:jc w:val="center"/>
        <w:rPr>
          <w:rFonts w:ascii="Century Gothic" w:hAnsi="Century Gothic" w:cs="Arial"/>
          <w:b/>
        </w:rPr>
      </w:pPr>
    </w:p>
    <w:p w14:paraId="50779834" w14:textId="77777777" w:rsidR="00DD120C" w:rsidRDefault="00DD120C" w:rsidP="00DD120C">
      <w:pPr>
        <w:spacing w:line="360" w:lineRule="auto"/>
        <w:jc w:val="center"/>
        <w:rPr>
          <w:rFonts w:ascii="Century Gothic" w:hAnsi="Century Gothic" w:cs="Arial"/>
          <w:b/>
        </w:rPr>
      </w:pPr>
      <w:r w:rsidRPr="00F12E27">
        <w:rPr>
          <w:rFonts w:ascii="Century Gothic" w:hAnsi="Century Gothic" w:cs="Arial"/>
          <w:b/>
        </w:rPr>
        <w:t>DIP. OSCAR DANIEL AVITIA ARELLANES</w:t>
      </w:r>
    </w:p>
    <w:p w14:paraId="1716DE15" w14:textId="77777777" w:rsidR="00DD120C" w:rsidRDefault="00DD120C" w:rsidP="00DD120C">
      <w:pPr>
        <w:spacing w:line="360" w:lineRule="auto"/>
        <w:jc w:val="center"/>
        <w:rPr>
          <w:rFonts w:ascii="Century Gothic" w:hAnsi="Century Gothic" w:cs="Arial"/>
          <w:b/>
        </w:rPr>
      </w:pPr>
    </w:p>
    <w:tbl>
      <w:tblPr>
        <w:tblpPr w:leftFromText="141" w:rightFromText="141" w:vertAnchor="text"/>
        <w:tblW w:w="8820" w:type="dxa"/>
        <w:tblBorders>
          <w:top w:val="nil"/>
          <w:left w:val="nil"/>
          <w:bottom w:val="nil"/>
          <w:right w:val="nil"/>
          <w:insideH w:val="nil"/>
          <w:insideV w:val="nil"/>
        </w:tblBorders>
        <w:tblLayout w:type="fixed"/>
        <w:tblLook w:val="0600" w:firstRow="0" w:lastRow="0" w:firstColumn="0" w:lastColumn="0" w:noHBand="1" w:noVBand="1"/>
      </w:tblPr>
      <w:tblGrid>
        <w:gridCol w:w="4425"/>
        <w:gridCol w:w="4395"/>
      </w:tblGrid>
      <w:tr w:rsidR="00DD120C" w14:paraId="139046E8" w14:textId="77777777" w:rsidTr="00AD37FD">
        <w:trPr>
          <w:trHeight w:val="1530"/>
        </w:trPr>
        <w:tc>
          <w:tcPr>
            <w:tcW w:w="442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3528147"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Edin Cuauhtémoc Estrada Sotelo</w:t>
            </w:r>
          </w:p>
        </w:tc>
        <w:tc>
          <w:tcPr>
            <w:tcW w:w="4395"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6F365CBA"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Magdalena Rentería Pérez</w:t>
            </w:r>
          </w:p>
        </w:tc>
      </w:tr>
      <w:tr w:rsidR="00DD120C" w14:paraId="63763520" w14:textId="77777777" w:rsidTr="00AD37FD">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0FCE529"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0F0162F"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Rosana Díaz Reyes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358FDD12"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6B20C6C4"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Elizabeth Guzmán Argueta</w:t>
            </w:r>
          </w:p>
        </w:tc>
      </w:tr>
      <w:tr w:rsidR="00DD120C" w14:paraId="3CA107D7" w14:textId="77777777" w:rsidTr="00AD37FD">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8E10A6E"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7C59F6D3"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Edith Palma Ontiveros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225EE6D4"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DCA1554"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Herminia Gómez Carrasco</w:t>
            </w:r>
          </w:p>
        </w:tc>
      </w:tr>
      <w:tr w:rsidR="00DD120C" w14:paraId="4356A922" w14:textId="77777777" w:rsidTr="00AD37FD">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8B69229"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5F11D435"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Leticia Ortega Máynez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4A06E0A0"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04E43F22"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María Antonieta Pérez Reyes</w:t>
            </w:r>
          </w:p>
        </w:tc>
      </w:tr>
      <w:tr w:rsidR="00DD120C" w14:paraId="6A9D9F69" w14:textId="77777777" w:rsidTr="00AD37FD">
        <w:trPr>
          <w:trHeight w:val="225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EA35684"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lastRenderedPageBreak/>
              <w:t xml:space="preserve"> </w:t>
            </w:r>
          </w:p>
          <w:p w14:paraId="0B3AE5A4"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Dip.Jael</w:t>
            </w:r>
            <w:proofErr w:type="spellEnd"/>
            <w:r>
              <w:rPr>
                <w:rFonts w:ascii="Century Gothic" w:eastAsia="Century Gothic" w:hAnsi="Century Gothic" w:cs="Century Gothic"/>
                <w:b/>
                <w:shd w:val="clear" w:color="auto" w:fill="FEFFFF"/>
              </w:rPr>
              <w:t xml:space="preserve"> Argüelles Díaz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6D887667"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733459B" w14:textId="77777777" w:rsidR="00DD120C" w:rsidRDefault="00DD120C" w:rsidP="00AD37FD">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ab/>
              <w:t>Dip. Pedro Torres Estrada</w:t>
            </w:r>
          </w:p>
          <w:p w14:paraId="75020C45" w14:textId="77777777" w:rsidR="00DD120C" w:rsidRDefault="00DD120C" w:rsidP="00AD37FD">
            <w:pPr>
              <w:spacing w:before="240" w:after="24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tc>
      </w:tr>
      <w:tr w:rsidR="00DD120C" w14:paraId="4B6E1CBA" w14:textId="77777777" w:rsidTr="00AD37FD">
        <w:trPr>
          <w:trHeight w:val="2130"/>
        </w:trPr>
        <w:tc>
          <w:tcPr>
            <w:tcW w:w="8820"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BF97229" w14:textId="77777777" w:rsidR="00DD120C" w:rsidRDefault="00DD120C" w:rsidP="00AD37FD">
            <w:pPr>
              <w:spacing w:before="240" w:after="120" w:line="360" w:lineRule="auto"/>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Brenda Francisca Ríos Prieto </w:t>
            </w:r>
          </w:p>
          <w:p w14:paraId="6B9D61C3" w14:textId="77777777" w:rsidR="00DD120C" w:rsidRDefault="00DD120C" w:rsidP="00AD37FD">
            <w:pPr>
              <w:spacing w:before="240" w:after="120" w:line="360" w:lineRule="auto"/>
              <w:rPr>
                <w:rFonts w:ascii="Century Gothic" w:eastAsia="Century Gothic" w:hAnsi="Century Gothic" w:cs="Century Gothic"/>
                <w:b/>
                <w:shd w:val="clear" w:color="auto" w:fill="FEFFFF"/>
              </w:rPr>
            </w:pPr>
          </w:p>
          <w:p w14:paraId="0FBC7200" w14:textId="64A169A9" w:rsidR="00DD120C" w:rsidRPr="00035F86" w:rsidRDefault="00035F86" w:rsidP="00035F86">
            <w:pPr>
              <w:spacing w:before="240" w:after="120" w:line="360" w:lineRule="auto"/>
              <w:jc w:val="both"/>
              <w:rPr>
                <w:rFonts w:ascii="Century Gothic" w:eastAsia="Century Gothic" w:hAnsi="Century Gothic" w:cs="Century Gothic"/>
                <w:bCs/>
                <w:i/>
                <w:iCs/>
                <w:sz w:val="16"/>
                <w:szCs w:val="16"/>
                <w:shd w:val="clear" w:color="auto" w:fill="FEFFFF"/>
              </w:rPr>
            </w:pPr>
            <w:r w:rsidRPr="00035F86">
              <w:rPr>
                <w:rFonts w:ascii="Century Gothic" w:eastAsia="Century Gothic" w:hAnsi="Century Gothic" w:cs="Century Gothic"/>
                <w:bCs/>
                <w:i/>
                <w:iCs/>
                <w:sz w:val="16"/>
                <w:szCs w:val="16"/>
                <w:shd w:val="clear" w:color="auto" w:fill="FEFFFF"/>
              </w:rPr>
              <w:t xml:space="preserve">La presente hoja de firmas corresponde a la Proposición con Carácter de Acuerdo </w:t>
            </w:r>
            <w:r w:rsidRPr="00035F86">
              <w:rPr>
                <w:rFonts w:ascii="Century Gothic" w:hAnsi="Century Gothic"/>
                <w:bCs/>
                <w:i/>
                <w:iCs/>
                <w:sz w:val="16"/>
                <w:szCs w:val="16"/>
                <w:lang w:val="es-ES"/>
              </w:rPr>
              <w:t>para que, con fundamento en lo que dispone el Código Municipal y los ordenamientos correspondientes, se convoque con la debida oportunidad a las autoridades de las secciones municipales para orientar, analizar y discutir su anteproyecto de Presupuesto de Egresos</w:t>
            </w:r>
            <w:r>
              <w:rPr>
                <w:rFonts w:ascii="Century Gothic" w:hAnsi="Century Gothic"/>
                <w:bCs/>
                <w:i/>
                <w:iCs/>
                <w:sz w:val="16"/>
                <w:szCs w:val="16"/>
                <w:lang w:val="es-ES"/>
              </w:rPr>
              <w:t>.</w:t>
            </w:r>
          </w:p>
        </w:tc>
      </w:tr>
    </w:tbl>
    <w:p w14:paraId="0761704E" w14:textId="77777777" w:rsidR="00DD120C" w:rsidRPr="00652182" w:rsidRDefault="00DD120C" w:rsidP="00DD120C">
      <w:pPr>
        <w:jc w:val="both"/>
        <w:rPr>
          <w:b/>
          <w:bCs/>
          <w:u w:val="single"/>
        </w:rPr>
      </w:pPr>
    </w:p>
    <w:sectPr w:rsidR="00DD120C" w:rsidRPr="00652182" w:rsidSect="00F90B81">
      <w:headerReference w:type="default" r:id="rId6"/>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22EC" w14:textId="77777777" w:rsidR="007E6A05" w:rsidRDefault="007E6A05" w:rsidP="00DD120C">
      <w:pPr>
        <w:spacing w:after="0" w:line="240" w:lineRule="auto"/>
      </w:pPr>
      <w:r>
        <w:separator/>
      </w:r>
    </w:p>
  </w:endnote>
  <w:endnote w:type="continuationSeparator" w:id="0">
    <w:p w14:paraId="72F7067A" w14:textId="77777777" w:rsidR="007E6A05" w:rsidRDefault="007E6A05" w:rsidP="00DD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20C7" w14:textId="77777777" w:rsidR="007E6A05" w:rsidRDefault="007E6A05" w:rsidP="00DD120C">
      <w:pPr>
        <w:spacing w:after="0" w:line="240" w:lineRule="auto"/>
      </w:pPr>
      <w:r>
        <w:separator/>
      </w:r>
    </w:p>
  </w:footnote>
  <w:footnote w:type="continuationSeparator" w:id="0">
    <w:p w14:paraId="40FB7241" w14:textId="77777777" w:rsidR="007E6A05" w:rsidRDefault="007E6A05" w:rsidP="00DD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54A5" w14:textId="77777777" w:rsidR="00DD120C" w:rsidRDefault="00DD120C" w:rsidP="00DD120C">
    <w:pPr>
      <w:pStyle w:val="Encabezado"/>
      <w:tabs>
        <w:tab w:val="left" w:pos="7170"/>
      </w:tabs>
    </w:pPr>
    <w:r>
      <w:tab/>
    </w:r>
    <w:r>
      <w:tab/>
    </w:r>
  </w:p>
  <w:p w14:paraId="6956647E" w14:textId="77777777" w:rsidR="00DD120C" w:rsidRDefault="00DD120C" w:rsidP="00DD120C">
    <w:pPr>
      <w:pStyle w:val="Encabezado"/>
      <w:tabs>
        <w:tab w:val="left" w:pos="7170"/>
      </w:tabs>
    </w:pPr>
  </w:p>
  <w:p w14:paraId="636F82F6" w14:textId="77777777" w:rsidR="00DD120C" w:rsidRDefault="00DD120C" w:rsidP="00DD120C">
    <w:pPr>
      <w:pStyle w:val="Encabezado"/>
      <w:tabs>
        <w:tab w:val="left" w:pos="7170"/>
      </w:tabs>
    </w:pPr>
  </w:p>
  <w:p w14:paraId="40C410B4" w14:textId="766D9A66" w:rsidR="00DD120C" w:rsidRDefault="00F90B81" w:rsidP="00F90B81">
    <w:pPr>
      <w:pStyle w:val="Encabezado"/>
      <w:tabs>
        <w:tab w:val="left" w:pos="7170"/>
      </w:tabs>
      <w:jc w:val="right"/>
    </w:pPr>
    <w:r>
      <w:rPr>
        <w:noProof/>
      </w:rPr>
      <w:drawing>
        <wp:inline distT="114300" distB="114300" distL="114300" distR="114300" wp14:anchorId="65C93316" wp14:editId="72B9D2E4">
          <wp:extent cx="482714" cy="539086"/>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8456" cy="545498"/>
                  </a:xfrm>
                  <a:prstGeom prst="rect">
                    <a:avLst/>
                  </a:prstGeom>
                  <a:ln/>
                </pic:spPr>
              </pic:pic>
            </a:graphicData>
          </a:graphic>
        </wp:inline>
      </w:drawing>
    </w:r>
  </w:p>
  <w:p w14:paraId="6983786B" w14:textId="77777777" w:rsidR="00DD120C" w:rsidRDefault="00DD120C" w:rsidP="00DD120C">
    <w:pPr>
      <w:pStyle w:val="Encabezado"/>
      <w:tabs>
        <w:tab w:val="left" w:pos="7170"/>
      </w:tabs>
    </w:pPr>
  </w:p>
  <w:p w14:paraId="14845E80" w14:textId="7A980FFB" w:rsidR="00DD120C" w:rsidRDefault="00DD120C" w:rsidP="00DD120C">
    <w:pPr>
      <w:pStyle w:val="Encabezado"/>
      <w:tabs>
        <w:tab w:val="left" w:pos="7170"/>
      </w:tabs>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82"/>
    <w:rsid w:val="00035F86"/>
    <w:rsid w:val="000578F6"/>
    <w:rsid w:val="00120700"/>
    <w:rsid w:val="00262DCD"/>
    <w:rsid w:val="0033163D"/>
    <w:rsid w:val="00491B13"/>
    <w:rsid w:val="005A500E"/>
    <w:rsid w:val="00652182"/>
    <w:rsid w:val="007E6A05"/>
    <w:rsid w:val="008D067D"/>
    <w:rsid w:val="00AF4A73"/>
    <w:rsid w:val="00B111BC"/>
    <w:rsid w:val="00B72245"/>
    <w:rsid w:val="00CD0BBD"/>
    <w:rsid w:val="00CD4D9B"/>
    <w:rsid w:val="00DB2722"/>
    <w:rsid w:val="00DC78D8"/>
    <w:rsid w:val="00DD120C"/>
    <w:rsid w:val="00EA5A0D"/>
    <w:rsid w:val="00F90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C4DF"/>
  <w15:chartTrackingRefBased/>
  <w15:docId w15:val="{E9903DA5-B8F8-45D5-8600-B9BC21A0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7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D12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20C"/>
  </w:style>
  <w:style w:type="paragraph" w:styleId="Piedepgina">
    <w:name w:val="footer"/>
    <w:basedOn w:val="Normal"/>
    <w:link w:val="PiedepginaCar"/>
    <w:uiPriority w:val="99"/>
    <w:unhideWhenUsed/>
    <w:rsid w:val="00DD12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724">
      <w:bodyDiv w:val="1"/>
      <w:marLeft w:val="0"/>
      <w:marRight w:val="0"/>
      <w:marTop w:val="0"/>
      <w:marBottom w:val="0"/>
      <w:divBdr>
        <w:top w:val="none" w:sz="0" w:space="0" w:color="auto"/>
        <w:left w:val="none" w:sz="0" w:space="0" w:color="auto"/>
        <w:bottom w:val="none" w:sz="0" w:space="0" w:color="auto"/>
        <w:right w:val="none" w:sz="0" w:space="0" w:color="auto"/>
      </w:divBdr>
    </w:div>
    <w:div w:id="138767382">
      <w:bodyDiv w:val="1"/>
      <w:marLeft w:val="0"/>
      <w:marRight w:val="0"/>
      <w:marTop w:val="0"/>
      <w:marBottom w:val="0"/>
      <w:divBdr>
        <w:top w:val="none" w:sz="0" w:space="0" w:color="auto"/>
        <w:left w:val="none" w:sz="0" w:space="0" w:color="auto"/>
        <w:bottom w:val="none" w:sz="0" w:space="0" w:color="auto"/>
        <w:right w:val="none" w:sz="0" w:space="0" w:color="auto"/>
      </w:divBdr>
    </w:div>
    <w:div w:id="354844148">
      <w:bodyDiv w:val="1"/>
      <w:marLeft w:val="0"/>
      <w:marRight w:val="0"/>
      <w:marTop w:val="0"/>
      <w:marBottom w:val="0"/>
      <w:divBdr>
        <w:top w:val="none" w:sz="0" w:space="0" w:color="auto"/>
        <w:left w:val="none" w:sz="0" w:space="0" w:color="auto"/>
        <w:bottom w:val="none" w:sz="0" w:space="0" w:color="auto"/>
        <w:right w:val="none" w:sz="0" w:space="0" w:color="auto"/>
      </w:divBdr>
    </w:div>
    <w:div w:id="1784299992">
      <w:bodyDiv w:val="1"/>
      <w:marLeft w:val="0"/>
      <w:marRight w:val="0"/>
      <w:marTop w:val="0"/>
      <w:marBottom w:val="0"/>
      <w:divBdr>
        <w:top w:val="none" w:sz="0" w:space="0" w:color="auto"/>
        <w:left w:val="none" w:sz="0" w:space="0" w:color="auto"/>
        <w:bottom w:val="none" w:sz="0" w:space="0" w:color="auto"/>
        <w:right w:val="none" w:sz="0" w:space="0" w:color="auto"/>
      </w:divBdr>
    </w:div>
    <w:div w:id="2026662399">
      <w:bodyDiv w:val="1"/>
      <w:marLeft w:val="0"/>
      <w:marRight w:val="0"/>
      <w:marTop w:val="0"/>
      <w:marBottom w:val="0"/>
      <w:divBdr>
        <w:top w:val="none" w:sz="0" w:space="0" w:color="auto"/>
        <w:left w:val="none" w:sz="0" w:space="0" w:color="auto"/>
        <w:bottom w:val="none" w:sz="0" w:space="0" w:color="auto"/>
        <w:right w:val="none" w:sz="0" w:space="0" w:color="auto"/>
      </w:divBdr>
    </w:div>
    <w:div w:id="21172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Lorena González García</dc:creator>
  <cp:keywords/>
  <dc:description/>
  <cp:lastModifiedBy>Andrea Daniela Flores Chacon</cp:lastModifiedBy>
  <cp:revision>2</cp:revision>
  <dcterms:created xsi:type="dcterms:W3CDTF">2025-10-22T20:55:00Z</dcterms:created>
  <dcterms:modified xsi:type="dcterms:W3CDTF">2025-10-22T20:55:00Z</dcterms:modified>
</cp:coreProperties>
</file>