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E805" w14:textId="77777777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H. CONGRESO DEL ESTADO DE CHIHUAHUA.</w:t>
      </w:r>
    </w:p>
    <w:p w14:paraId="2D51DA64" w14:textId="77777777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P R E S E N T E. </w:t>
      </w:r>
    </w:p>
    <w:p w14:paraId="3833E840" w14:textId="2620E66B" w:rsidR="00551440" w:rsidRDefault="006A0F6D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Quienes suscribimos, </w:t>
      </w:r>
      <w:r>
        <w:rPr>
          <w:rFonts w:ascii="Century Gothic" w:eastAsia="Century Gothic" w:hAnsi="Century Gothic" w:cs="Century Gothic"/>
          <w:b/>
        </w:rPr>
        <w:t xml:space="preserve">Oscar Daniel Avitia Arellanes, 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>Edin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 xml:space="preserve"> 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 xml:space="preserve">Cuauhtémoc Estrada Sotelo, Magdalena Rentería Pérez, Jael Argüelles Díaz, Brenda Francisca Ríos Prieto, Elizabeth 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>Guzmán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 xml:space="preserve"> Argueta, Edith Palma Ontiveros, Herminia Gómez Carrasco, Leticia Ortega </w:t>
      </w:r>
      <w:r w:rsidR="00380A4B">
        <w:rPr>
          <w:rFonts w:ascii="Century Gothic" w:eastAsia="Century Gothic" w:hAnsi="Century Gothic" w:cs="Century Gothic"/>
          <w:b/>
          <w:shd w:val="clear" w:color="auto" w:fill="FEFFFF"/>
        </w:rPr>
        <w:t>Máynez</w:t>
      </w:r>
      <w:r>
        <w:rPr>
          <w:rFonts w:ascii="Century Gothic" w:eastAsia="Century Gothic" w:hAnsi="Century Gothic" w:cs="Century Gothic"/>
          <w:b/>
          <w:shd w:val="clear" w:color="auto" w:fill="FEFFFF"/>
        </w:rPr>
        <w:t>, María Antonieta Pérez Reyes, Pedro Torres Estrada y Rosana Díaz Reyes</w:t>
      </w:r>
      <w:r>
        <w:rPr>
          <w:rFonts w:ascii="Century Gothic" w:eastAsia="Century Gothic" w:hAnsi="Century Gothic" w:cs="Century Gothic"/>
        </w:rPr>
        <w:t xml:space="preserve">, en nuestro carácter de Diputadas y Diputados de la Sexagésima Octava Legislatura del Honorable Congreso del Estado de Chihuahua e integrantes del Grupo Parlamentario de Morena, con fundamento en lo dispuesto por los artículos 68 fracción I, de la Constitución Política; 167 fracción I, 168 de la Ley Orgánica del Poder Legislativo; así como los numerales 75 y 77 del Reglamento Interior de Prácticas Parlamentarias del Poder Legislativo; todos ordenamientos del Estado de Chihuahua, acudimos ante esta Honorable Asamblea Legislativa, a fin de someter a consideración </w:t>
      </w:r>
      <w:r w:rsidR="00001E57">
        <w:rPr>
          <w:rFonts w:ascii="Century Gothic" w:eastAsia="Century Gothic" w:hAnsi="Century Gothic" w:cs="Century Gothic"/>
        </w:rPr>
        <w:t xml:space="preserve">el siguiente proyecto con carácter de </w:t>
      </w:r>
      <w:r w:rsidR="00001E57">
        <w:rPr>
          <w:rFonts w:ascii="Century Gothic" w:eastAsia="Century Gothic" w:hAnsi="Century Gothic" w:cs="Century Gothic"/>
          <w:b/>
        </w:rPr>
        <w:t xml:space="preserve">D E C R E T O 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>con sustento en la siguiente:</w:t>
      </w:r>
    </w:p>
    <w:p w14:paraId="3A61A263" w14:textId="77777777" w:rsidR="00551440" w:rsidRDefault="0055144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14:paraId="4E9F8036" w14:textId="77777777" w:rsidR="00551440" w:rsidRDefault="006A0F6D">
      <w:pPr>
        <w:spacing w:line="36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EXPOSICIÓN DE MOTIVOS:</w:t>
      </w:r>
    </w:p>
    <w:p w14:paraId="68D1D402" w14:textId="77777777" w:rsidR="00B16AE8" w:rsidRDefault="00B16AE8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5954C287" w14:textId="3D7F2297" w:rsidR="00B16AE8" w:rsidRDefault="00B16AE8" w:rsidP="00B16AE8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 w:rsidRPr="00B16AE8">
        <w:rPr>
          <w:rFonts w:ascii="Century Gothic" w:eastAsia="Century Gothic" w:hAnsi="Century Gothic" w:cs="Century Gothic"/>
          <w:bCs/>
        </w:rPr>
        <w:t>El principio de federalismo municipal, consagrado en el artículo 115 de la Constitución Política de los Estados Unidos Mexicanos, establece que los municipios son libres y soberanos en su régimen interior, con facultades para administrar sus recursos y prestar servicios públicos</w:t>
      </w:r>
      <w:r w:rsidR="00FF69B1">
        <w:rPr>
          <w:rFonts w:ascii="Century Gothic" w:eastAsia="Century Gothic" w:hAnsi="Century Gothic" w:cs="Century Gothic"/>
          <w:bCs/>
        </w:rPr>
        <w:t>.</w:t>
      </w:r>
    </w:p>
    <w:p w14:paraId="515ED1D9" w14:textId="77777777" w:rsidR="00D42C83" w:rsidRPr="00B16AE8" w:rsidRDefault="00D42C83" w:rsidP="00B16AE8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68FE3ECA" w14:textId="3CC6C34C" w:rsidR="008309D5" w:rsidRDefault="00FF69B1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 xml:space="preserve">Por otra parte, el 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derecho a la participación ciudadana en la gestión pública, consagrado </w:t>
      </w:r>
      <w:r w:rsidR="008309D5">
        <w:rPr>
          <w:rFonts w:ascii="Century Gothic" w:eastAsia="Century Gothic" w:hAnsi="Century Gothic" w:cs="Century Gothic"/>
          <w:bCs/>
        </w:rPr>
        <w:t xml:space="preserve">en 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la Constitución Política de los Estados Unidos Mexicanos, se materializa en el ámbito municipal mediante </w:t>
      </w:r>
      <w:r w:rsidR="008309D5">
        <w:rPr>
          <w:rFonts w:ascii="Century Gothic" w:eastAsia="Century Gothic" w:hAnsi="Century Gothic" w:cs="Century Gothic"/>
          <w:bCs/>
        </w:rPr>
        <w:t xml:space="preserve">la creación de las 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Juntas Municipales, autoridades auxiliares que representan a las secciones municipales en la toma de decisiones locales </w:t>
      </w:r>
      <w:r w:rsidR="008309D5">
        <w:rPr>
          <w:rFonts w:ascii="Century Gothic" w:eastAsia="Century Gothic" w:hAnsi="Century Gothic" w:cs="Century Gothic"/>
          <w:bCs/>
        </w:rPr>
        <w:t>y que son las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 instancias esenciales para garantizar </w:t>
      </w:r>
      <w:r w:rsidR="008309D5">
        <w:rPr>
          <w:rFonts w:ascii="Century Gothic" w:eastAsia="Century Gothic" w:hAnsi="Century Gothic" w:cs="Century Gothic"/>
          <w:bCs/>
        </w:rPr>
        <w:t xml:space="preserve">la 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equidad en el desarrollo regional, especialmente en comunidades rurales donde </w:t>
      </w:r>
      <w:r w:rsidR="008309D5">
        <w:rPr>
          <w:rFonts w:ascii="Century Gothic" w:eastAsia="Century Gothic" w:hAnsi="Century Gothic" w:cs="Century Gothic"/>
          <w:bCs/>
        </w:rPr>
        <w:t xml:space="preserve">distancia puede llgar a </w:t>
      </w:r>
      <w:r w:rsidR="008309D5" w:rsidRPr="008309D5">
        <w:rPr>
          <w:rFonts w:ascii="Century Gothic" w:eastAsia="Century Gothic" w:hAnsi="Century Gothic" w:cs="Century Gothic"/>
          <w:bCs/>
        </w:rPr>
        <w:t>agrava</w:t>
      </w:r>
      <w:r w:rsidR="008309D5">
        <w:rPr>
          <w:rFonts w:ascii="Century Gothic" w:eastAsia="Century Gothic" w:hAnsi="Century Gothic" w:cs="Century Gothic"/>
          <w:bCs/>
        </w:rPr>
        <w:t>r</w:t>
      </w:r>
      <w:r w:rsidR="008309D5" w:rsidRPr="008309D5">
        <w:rPr>
          <w:rFonts w:ascii="Century Gothic" w:eastAsia="Century Gothic" w:hAnsi="Century Gothic" w:cs="Century Gothic"/>
          <w:bCs/>
        </w:rPr>
        <w:t xml:space="preserve"> la vulnerabilidad social.</w:t>
      </w:r>
    </w:p>
    <w:p w14:paraId="2BA016E5" w14:textId="77777777" w:rsidR="00B16AE8" w:rsidRDefault="00B16AE8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29C85BD7" w14:textId="68ACF761" w:rsidR="00B16AE8" w:rsidRPr="00B16AE8" w:rsidRDefault="00D42C83" w:rsidP="008309D5">
      <w:pPr>
        <w:spacing w:line="360" w:lineRule="auto"/>
        <w:jc w:val="both"/>
        <w:rPr>
          <w:rFonts w:ascii="Century Gothic" w:eastAsia="Calibri" w:hAnsi="Century Gothic"/>
        </w:rPr>
      </w:pPr>
      <w:r>
        <w:rPr>
          <w:rFonts w:ascii="Century Gothic" w:eastAsia="Century Gothic" w:hAnsi="Century Gothic" w:cs="Century Gothic"/>
          <w:bCs/>
        </w:rPr>
        <w:t>Es así que, a</w:t>
      </w:r>
      <w:r w:rsidR="00B16AE8">
        <w:rPr>
          <w:rFonts w:ascii="Century Gothic" w:eastAsia="Century Gothic" w:hAnsi="Century Gothic" w:cs="Century Gothic"/>
          <w:bCs/>
        </w:rPr>
        <w:t xml:space="preserve"> fin de asegurar la representatividad </w:t>
      </w:r>
      <w:r>
        <w:rPr>
          <w:rFonts w:ascii="Century Gothic" w:eastAsia="Century Gothic" w:hAnsi="Century Gothic" w:cs="Century Gothic"/>
          <w:bCs/>
        </w:rPr>
        <w:t>sin que se vea comprometida por la amplia</w:t>
      </w:r>
      <w:r w:rsidR="00B16AE8">
        <w:rPr>
          <w:rFonts w:ascii="Century Gothic" w:eastAsia="Century Gothic" w:hAnsi="Century Gothic" w:cs="Century Gothic"/>
          <w:bCs/>
        </w:rPr>
        <w:t xml:space="preserve"> extensión territorial, surgen las </w:t>
      </w:r>
      <w:r w:rsidR="00FF69B1">
        <w:rPr>
          <w:rFonts w:ascii="Century Gothic" w:eastAsia="Century Gothic" w:hAnsi="Century Gothic" w:cs="Century Gothic"/>
          <w:bCs/>
        </w:rPr>
        <w:t>juntas municipales</w:t>
      </w:r>
      <w:r w:rsidR="00B16AE8">
        <w:rPr>
          <w:rFonts w:ascii="Century Gothic" w:eastAsia="Century Gothic" w:hAnsi="Century Gothic" w:cs="Century Gothic"/>
          <w:bCs/>
        </w:rPr>
        <w:t xml:space="preserve"> como </w:t>
      </w:r>
      <w:r w:rsidR="008309D5" w:rsidRPr="00B16AE8">
        <w:rPr>
          <w:rFonts w:ascii="Century Gothic" w:hAnsi="Century Gothic"/>
        </w:rPr>
        <w:t>figuras de gobierno local que operan en las zonas rurales de los municipios</w:t>
      </w:r>
      <w:r w:rsidR="00B16AE8">
        <w:rPr>
          <w:rFonts w:ascii="Century Gothic" w:hAnsi="Century Gothic"/>
        </w:rPr>
        <w:t xml:space="preserve"> </w:t>
      </w:r>
      <w:r w:rsidR="00FF69B1">
        <w:rPr>
          <w:rFonts w:ascii="Century Gothic" w:hAnsi="Century Gothic"/>
        </w:rPr>
        <w:t>formando</w:t>
      </w:r>
      <w:r w:rsidR="008309D5" w:rsidRPr="00B16AE8">
        <w:rPr>
          <w:rFonts w:ascii="Century Gothic" w:hAnsi="Century Gothic"/>
        </w:rPr>
        <w:t xml:space="preserve"> parte de</w:t>
      </w:r>
      <w:r w:rsidR="00FF69B1">
        <w:rPr>
          <w:rFonts w:ascii="Century Gothic" w:hAnsi="Century Gothic"/>
        </w:rPr>
        <w:t xml:space="preserve"> su</w:t>
      </w:r>
      <w:r>
        <w:rPr>
          <w:rFonts w:ascii="Century Gothic" w:hAnsi="Century Gothic"/>
        </w:rPr>
        <w:t xml:space="preserve"> </w:t>
      </w:r>
      <w:r w:rsidR="008309D5" w:rsidRPr="00B16AE8">
        <w:rPr>
          <w:rFonts w:ascii="Century Gothic" w:hAnsi="Century Gothic"/>
        </w:rPr>
        <w:t>estructura</w:t>
      </w:r>
      <w:r w:rsidR="00B16AE8">
        <w:rPr>
          <w:rFonts w:ascii="Century Gothic" w:hAnsi="Century Gothic"/>
        </w:rPr>
        <w:t xml:space="preserve">; de acuerdo por lo dispuesto por </w:t>
      </w:r>
      <w:r w:rsidR="008309D5" w:rsidRPr="00B16AE8">
        <w:rPr>
          <w:rFonts w:ascii="Century Gothic" w:hAnsi="Century Gothic"/>
        </w:rPr>
        <w:t>el Código Municipal para el Estado</w:t>
      </w:r>
      <w:r w:rsidR="00B16AE8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estos órganos</w:t>
      </w:r>
      <w:r w:rsidR="00B16AE8">
        <w:rPr>
          <w:rFonts w:ascii="Century Gothic" w:hAnsi="Century Gothic"/>
        </w:rPr>
        <w:t xml:space="preserve"> se </w:t>
      </w:r>
      <w:r w:rsidR="008309D5" w:rsidRPr="00B16AE8">
        <w:rPr>
          <w:rFonts w:ascii="Century Gothic" w:hAnsi="Century Gothic"/>
        </w:rPr>
        <w:t xml:space="preserve">encargan de la administración de recursos públicos asignados, como presupuestos para bienes, servicios y obras en comunidades rurales. </w:t>
      </w:r>
    </w:p>
    <w:p w14:paraId="04CFFC6D" w14:textId="77777777" w:rsidR="008309D5" w:rsidRDefault="008309D5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5178C46F" w14:textId="259E0547" w:rsidR="00FF69B1" w:rsidRDefault="008309D5" w:rsidP="00FF69B1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No </w:t>
      </w:r>
      <w:r w:rsidR="00D42C83">
        <w:rPr>
          <w:rFonts w:ascii="Century Gothic" w:eastAsia="Century Gothic" w:hAnsi="Century Gothic" w:cs="Century Gothic"/>
          <w:bCs/>
        </w:rPr>
        <w:t>obstante,</w:t>
      </w:r>
      <w:r w:rsidR="00B16AE8">
        <w:rPr>
          <w:rFonts w:ascii="Century Gothic" w:eastAsia="Century Gothic" w:hAnsi="Century Gothic" w:cs="Century Gothic"/>
          <w:bCs/>
        </w:rPr>
        <w:t xml:space="preserve"> la importancia que desempeñan y más aún, de los recursos que ejercen para garantizar el bienestar de la población, </w:t>
      </w:r>
      <w:r>
        <w:rPr>
          <w:rFonts w:ascii="Century Gothic" w:eastAsia="Century Gothic" w:hAnsi="Century Gothic" w:cs="Century Gothic"/>
          <w:bCs/>
        </w:rPr>
        <w:t xml:space="preserve">aún se </w:t>
      </w:r>
      <w:r w:rsidR="00D42C83">
        <w:rPr>
          <w:rFonts w:ascii="Century Gothic" w:eastAsia="Century Gothic" w:hAnsi="Century Gothic" w:cs="Century Gothic"/>
          <w:bCs/>
        </w:rPr>
        <w:t>persiste la discrecionalidad</w:t>
      </w:r>
      <w:r>
        <w:rPr>
          <w:rFonts w:ascii="Century Gothic" w:eastAsia="Century Gothic" w:hAnsi="Century Gothic" w:cs="Century Gothic"/>
          <w:bCs/>
        </w:rPr>
        <w:t xml:space="preserve"> en la asignación de recursos y opacidad en la rendición de cuentas</w:t>
      </w:r>
      <w:r w:rsidR="00B16AE8">
        <w:rPr>
          <w:rFonts w:ascii="Century Gothic" w:eastAsia="Century Gothic" w:hAnsi="Century Gothic" w:cs="Century Gothic"/>
          <w:bCs/>
        </w:rPr>
        <w:t>,</w:t>
      </w:r>
      <w:r>
        <w:rPr>
          <w:rFonts w:ascii="Century Gothic" w:eastAsia="Century Gothic" w:hAnsi="Century Gothic" w:cs="Century Gothic"/>
          <w:bCs/>
        </w:rPr>
        <w:t xml:space="preserve"> </w:t>
      </w:r>
      <w:r w:rsidR="00D42C83">
        <w:rPr>
          <w:rFonts w:ascii="Century Gothic" w:eastAsia="Century Gothic" w:hAnsi="Century Gothic" w:cs="Century Gothic"/>
          <w:bCs/>
        </w:rPr>
        <w:t>lo que puede dar pie a irregularidades,</w:t>
      </w:r>
      <w:r>
        <w:rPr>
          <w:rFonts w:ascii="Century Gothic" w:eastAsia="Century Gothic" w:hAnsi="Century Gothic" w:cs="Century Gothic"/>
          <w:bCs/>
        </w:rPr>
        <w:t xml:space="preserve"> </w:t>
      </w:r>
      <w:r w:rsidR="00D42C83">
        <w:rPr>
          <w:rFonts w:ascii="Century Gothic" w:eastAsia="Century Gothic" w:hAnsi="Century Gothic" w:cs="Century Gothic"/>
          <w:bCs/>
        </w:rPr>
        <w:t>pero,</w:t>
      </w:r>
      <w:r>
        <w:rPr>
          <w:rFonts w:ascii="Century Gothic" w:eastAsia="Century Gothic" w:hAnsi="Century Gothic" w:cs="Century Gothic"/>
          <w:bCs/>
        </w:rPr>
        <w:t xml:space="preserve"> sobre todo, </w:t>
      </w:r>
      <w:r w:rsidR="00D42C83">
        <w:rPr>
          <w:rFonts w:ascii="Century Gothic" w:eastAsia="Century Gothic" w:hAnsi="Century Gothic" w:cs="Century Gothic"/>
          <w:bCs/>
        </w:rPr>
        <w:t>a</w:t>
      </w:r>
      <w:r>
        <w:rPr>
          <w:rFonts w:ascii="Century Gothic" w:eastAsia="Century Gothic" w:hAnsi="Century Gothic" w:cs="Century Gothic"/>
          <w:bCs/>
        </w:rPr>
        <w:t xml:space="preserve"> carencia</w:t>
      </w:r>
      <w:r w:rsidR="00B16AE8">
        <w:rPr>
          <w:rFonts w:ascii="Century Gothic" w:eastAsia="Century Gothic" w:hAnsi="Century Gothic" w:cs="Century Gothic"/>
          <w:bCs/>
        </w:rPr>
        <w:t>s</w:t>
      </w:r>
      <w:r>
        <w:rPr>
          <w:rFonts w:ascii="Century Gothic" w:eastAsia="Century Gothic" w:hAnsi="Century Gothic" w:cs="Century Gothic"/>
          <w:bCs/>
        </w:rPr>
        <w:t xml:space="preserve"> para la población.</w:t>
      </w:r>
      <w:r w:rsidR="00FF69B1">
        <w:rPr>
          <w:rFonts w:ascii="Century Gothic" w:eastAsia="Century Gothic" w:hAnsi="Century Gothic" w:cs="Century Gothic"/>
          <w:bCs/>
        </w:rPr>
        <w:t xml:space="preserve"> </w:t>
      </w:r>
    </w:p>
    <w:p w14:paraId="3138929F" w14:textId="77777777" w:rsidR="00FF69B1" w:rsidRDefault="00FF69B1" w:rsidP="00FF69B1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7A709F05" w14:textId="0C324FA3" w:rsidR="00FF69B1" w:rsidRPr="00FF69B1" w:rsidRDefault="00FF69B1" w:rsidP="00FF69B1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 w:rsidRPr="00FF69B1">
        <w:rPr>
          <w:rFonts w:ascii="Century Gothic" w:eastAsia="Century Gothic" w:hAnsi="Century Gothic" w:cs="Century Gothic"/>
          <w:bCs/>
        </w:rPr>
        <w:t xml:space="preserve">Dicho de otra forma, la autonomía presupuestal de las secciones municipales es una ficción cuando no existe un mecanismo legal claro, </w:t>
      </w:r>
      <w:r w:rsidRPr="00FF69B1">
        <w:rPr>
          <w:rFonts w:ascii="Century Gothic" w:eastAsia="Century Gothic" w:hAnsi="Century Gothic" w:cs="Century Gothic"/>
          <w:bCs/>
        </w:rPr>
        <w:lastRenderedPageBreak/>
        <w:t>obligatorio y vinculante que garantice la integración efectiva de sus anteproyectos al Presupuesto de Egresos de la cabecera municipal</w:t>
      </w:r>
      <w:r>
        <w:rPr>
          <w:rFonts w:ascii="Century Gothic" w:eastAsia="Century Gothic" w:hAnsi="Century Gothic" w:cs="Century Gothic"/>
          <w:bCs/>
        </w:rPr>
        <w:t>.</w:t>
      </w:r>
    </w:p>
    <w:p w14:paraId="05CAA96E" w14:textId="77777777" w:rsidR="008309D5" w:rsidRDefault="008309D5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569DB2C3" w14:textId="295E5639" w:rsidR="008309D5" w:rsidRDefault="008309D5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Esta brecha sin duda alguna vulnera el principio de federalismo municpal y contraviene los principios de disciplina financiera que demanda de balances presupuestales sostenibles y responsabilidad hacendaria, atentando contra la optimización de recursos, motivo por el cual se vuelve </w:t>
      </w:r>
      <w:r w:rsidR="00D42C83">
        <w:rPr>
          <w:rFonts w:ascii="Century Gothic" w:eastAsia="Century Gothic" w:hAnsi="Century Gothic" w:cs="Century Gothic"/>
          <w:bCs/>
        </w:rPr>
        <w:t>necesaria</w:t>
      </w:r>
      <w:r>
        <w:rPr>
          <w:rFonts w:ascii="Century Gothic" w:eastAsia="Century Gothic" w:hAnsi="Century Gothic" w:cs="Century Gothic"/>
          <w:bCs/>
        </w:rPr>
        <w:t xml:space="preserve"> la </w:t>
      </w:r>
      <w:r w:rsidR="00D42C83">
        <w:rPr>
          <w:rFonts w:ascii="Century Gothic" w:eastAsia="Century Gothic" w:hAnsi="Century Gothic" w:cs="Century Gothic"/>
          <w:bCs/>
        </w:rPr>
        <w:t>generación</w:t>
      </w:r>
      <w:r>
        <w:rPr>
          <w:rFonts w:ascii="Century Gothic" w:eastAsia="Century Gothic" w:hAnsi="Century Gothic" w:cs="Century Gothic"/>
          <w:bCs/>
        </w:rPr>
        <w:t xml:space="preserve"> de herramientas específicas para las secciones municipales a fin de asegurar la eficacia en la ejecución de recursos.</w:t>
      </w:r>
    </w:p>
    <w:p w14:paraId="2276AD0C" w14:textId="77777777" w:rsidR="008309D5" w:rsidRPr="008309D5" w:rsidRDefault="008309D5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7C68383A" w14:textId="7E67CA27" w:rsidR="00C24B2F" w:rsidRDefault="00C24B2F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Es así que, a pesar de que el </w:t>
      </w:r>
      <w:r w:rsidRPr="00C24B2F">
        <w:rPr>
          <w:rFonts w:ascii="Century Gothic" w:eastAsia="Century Gothic" w:hAnsi="Century Gothic" w:cs="Century Gothic"/>
          <w:bCs/>
        </w:rPr>
        <w:t xml:space="preserve">Código Municipal para el Estado de Chihuahua ya </w:t>
      </w:r>
      <w:r>
        <w:rPr>
          <w:rFonts w:ascii="Century Gothic" w:eastAsia="Century Gothic" w:hAnsi="Century Gothic" w:cs="Century Gothic"/>
          <w:bCs/>
        </w:rPr>
        <w:t>contempla la</w:t>
      </w:r>
      <w:r w:rsidRPr="00C24B2F">
        <w:rPr>
          <w:rFonts w:ascii="Century Gothic" w:eastAsia="Century Gothic" w:hAnsi="Century Gothic" w:cs="Century Gothic"/>
          <w:bCs/>
        </w:rPr>
        <w:t xml:space="preserve"> invita</w:t>
      </w:r>
      <w:r>
        <w:rPr>
          <w:rFonts w:ascii="Century Gothic" w:eastAsia="Century Gothic" w:hAnsi="Century Gothic" w:cs="Century Gothic"/>
          <w:bCs/>
        </w:rPr>
        <w:t>ción por parte de los Ayuntamientos</w:t>
      </w:r>
      <w:r w:rsidRPr="00C24B2F">
        <w:rPr>
          <w:rFonts w:ascii="Century Gothic" w:eastAsia="Century Gothic" w:hAnsi="Century Gothic" w:cs="Century Gothic"/>
          <w:bCs/>
        </w:rPr>
        <w:t xml:space="preserve"> a las Juntas Municipales para analizar su anteproyecto de Presupuesto de Egresos y asignar recursos suficientes para administración y servicios públicos, con </w:t>
      </w:r>
      <w:r>
        <w:rPr>
          <w:rFonts w:ascii="Century Gothic" w:eastAsia="Century Gothic" w:hAnsi="Century Gothic" w:cs="Century Gothic"/>
          <w:bCs/>
        </w:rPr>
        <w:t xml:space="preserve">el señalamiento de que la </w:t>
      </w:r>
      <w:r w:rsidRPr="00C24B2F">
        <w:rPr>
          <w:rFonts w:ascii="Century Gothic" w:eastAsia="Century Gothic" w:hAnsi="Century Gothic" w:cs="Century Gothic"/>
          <w:bCs/>
        </w:rPr>
        <w:t>omisión</w:t>
      </w:r>
      <w:r>
        <w:rPr>
          <w:rFonts w:ascii="Century Gothic" w:eastAsia="Century Gothic" w:hAnsi="Century Gothic" w:cs="Century Gothic"/>
          <w:bCs/>
        </w:rPr>
        <w:t xml:space="preserve"> a ello se clasifica</w:t>
      </w:r>
      <w:r w:rsidRPr="00C24B2F">
        <w:rPr>
          <w:rFonts w:ascii="Century Gothic" w:eastAsia="Century Gothic" w:hAnsi="Century Gothic" w:cs="Century Gothic"/>
          <w:bCs/>
        </w:rPr>
        <w:t xml:space="preserve"> como causa grave de responsabilidad</w:t>
      </w:r>
      <w:r>
        <w:rPr>
          <w:rFonts w:ascii="Century Gothic" w:eastAsia="Century Gothic" w:hAnsi="Century Gothic" w:cs="Century Gothic"/>
          <w:bCs/>
        </w:rPr>
        <w:t>, en la realidad, ya sea por desconocimiento o por intencionalidad, se han expuesto casos en los que estos procedimientos no se siguen como es debido.</w:t>
      </w:r>
    </w:p>
    <w:p w14:paraId="50197D7C" w14:textId="77777777" w:rsidR="00C24B2F" w:rsidRDefault="00C24B2F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3F1B42E0" w14:textId="1349B716" w:rsidR="00C24B2F" w:rsidRDefault="00C24B2F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 xml:space="preserve">Por otra parte, la Ley de Presupuesto de Egresos, Contabilidad Gubernamental y Gasto Público carece de </w:t>
      </w:r>
      <w:r w:rsidR="00D42C83">
        <w:rPr>
          <w:rFonts w:ascii="Century Gothic" w:eastAsia="Century Gothic" w:hAnsi="Century Gothic" w:cs="Century Gothic"/>
          <w:bCs/>
        </w:rPr>
        <w:t>claridad</w:t>
      </w:r>
      <w:r>
        <w:rPr>
          <w:rFonts w:ascii="Century Gothic" w:eastAsia="Century Gothic" w:hAnsi="Century Gothic" w:cs="Century Gothic"/>
          <w:bCs/>
        </w:rPr>
        <w:t xml:space="preserve"> </w:t>
      </w:r>
      <w:r w:rsidR="00D42C83">
        <w:rPr>
          <w:rFonts w:ascii="Century Gothic" w:eastAsia="Century Gothic" w:hAnsi="Century Gothic" w:cs="Century Gothic"/>
          <w:bCs/>
        </w:rPr>
        <w:t>respecto a la obligación de</w:t>
      </w:r>
      <w:r w:rsidRPr="00C24B2F">
        <w:rPr>
          <w:rFonts w:ascii="Century Gothic" w:eastAsia="Century Gothic" w:hAnsi="Century Gothic" w:cs="Century Gothic"/>
          <w:bCs/>
        </w:rPr>
        <w:t xml:space="preserve"> integrar formalmente esos anteproyectos en el presupuesto </w:t>
      </w:r>
      <w:r>
        <w:rPr>
          <w:rFonts w:ascii="Century Gothic" w:eastAsia="Century Gothic" w:hAnsi="Century Gothic" w:cs="Century Gothic"/>
          <w:bCs/>
        </w:rPr>
        <w:t xml:space="preserve">de las </w:t>
      </w:r>
      <w:r w:rsidRPr="00C24B2F">
        <w:rPr>
          <w:rFonts w:ascii="Century Gothic" w:eastAsia="Century Gothic" w:hAnsi="Century Gothic" w:cs="Century Gothic"/>
          <w:bCs/>
        </w:rPr>
        <w:t>cabecera</w:t>
      </w:r>
      <w:r>
        <w:rPr>
          <w:rFonts w:ascii="Century Gothic" w:eastAsia="Century Gothic" w:hAnsi="Century Gothic" w:cs="Century Gothic"/>
          <w:bCs/>
        </w:rPr>
        <w:t xml:space="preserve">s </w:t>
      </w:r>
      <w:r w:rsidR="00D42C83">
        <w:rPr>
          <w:rFonts w:ascii="Century Gothic" w:eastAsia="Century Gothic" w:hAnsi="Century Gothic" w:cs="Century Gothic"/>
          <w:bCs/>
        </w:rPr>
        <w:t>municipales</w:t>
      </w:r>
      <w:r w:rsidR="00D42C83" w:rsidRPr="00C24B2F">
        <w:rPr>
          <w:rFonts w:ascii="Century Gothic" w:eastAsia="Century Gothic" w:hAnsi="Century Gothic" w:cs="Century Gothic"/>
          <w:bCs/>
        </w:rPr>
        <w:t>, lo</w:t>
      </w:r>
      <w:r w:rsidR="00D42C83">
        <w:rPr>
          <w:rFonts w:ascii="Century Gothic" w:eastAsia="Century Gothic" w:hAnsi="Century Gothic" w:cs="Century Gothic"/>
          <w:bCs/>
        </w:rPr>
        <w:t xml:space="preserve"> que de igual manera puede generar vacíos y el manejo d</w:t>
      </w:r>
      <w:r w:rsidRPr="00C24B2F">
        <w:rPr>
          <w:rFonts w:ascii="Century Gothic" w:eastAsia="Century Gothic" w:hAnsi="Century Gothic" w:cs="Century Gothic"/>
          <w:bCs/>
        </w:rPr>
        <w:t>iscrecional de fondos</w:t>
      </w:r>
      <w:r w:rsidR="00B16AE8">
        <w:rPr>
          <w:rFonts w:ascii="Century Gothic" w:eastAsia="Century Gothic" w:hAnsi="Century Gothic" w:cs="Century Gothic"/>
          <w:bCs/>
        </w:rPr>
        <w:t>.</w:t>
      </w:r>
    </w:p>
    <w:p w14:paraId="03641D18" w14:textId="77777777" w:rsidR="00B16AE8" w:rsidRDefault="00B16AE8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7971726A" w14:textId="138C4250" w:rsidR="008309D5" w:rsidRDefault="00B16AE8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 xml:space="preserve">A raíz de lo anterior y </w:t>
      </w:r>
      <w:r w:rsidRPr="00B16AE8">
        <w:rPr>
          <w:rFonts w:ascii="Century Gothic" w:eastAsia="Century Gothic" w:hAnsi="Century Gothic" w:cs="Century Gothic"/>
          <w:bCs/>
        </w:rPr>
        <w:t>partiendo de</w:t>
      </w:r>
      <w:r>
        <w:rPr>
          <w:rFonts w:ascii="Century Gothic" w:eastAsia="Century Gothic" w:hAnsi="Century Gothic" w:cs="Century Gothic"/>
          <w:bCs/>
        </w:rPr>
        <w:t xml:space="preserve"> lo que ya dispone el </w:t>
      </w:r>
      <w:r w:rsidRPr="00B16AE8">
        <w:rPr>
          <w:rFonts w:ascii="Century Gothic" w:eastAsia="Century Gothic" w:hAnsi="Century Gothic" w:cs="Century Gothic"/>
          <w:bCs/>
        </w:rPr>
        <w:t xml:space="preserve">Código Municipal, </w:t>
      </w:r>
      <w:r>
        <w:rPr>
          <w:rFonts w:ascii="Century Gothic" w:eastAsia="Century Gothic" w:hAnsi="Century Gothic" w:cs="Century Gothic"/>
          <w:bCs/>
        </w:rPr>
        <w:t xml:space="preserve">se advierte necesario </w:t>
      </w:r>
      <w:r w:rsidRPr="00B16AE8">
        <w:rPr>
          <w:rFonts w:ascii="Century Gothic" w:eastAsia="Century Gothic" w:hAnsi="Century Gothic" w:cs="Century Gothic"/>
          <w:bCs/>
        </w:rPr>
        <w:t>adiciona</w:t>
      </w:r>
      <w:r>
        <w:rPr>
          <w:rFonts w:ascii="Century Gothic" w:eastAsia="Century Gothic" w:hAnsi="Century Gothic" w:cs="Century Gothic"/>
          <w:bCs/>
        </w:rPr>
        <w:t>r</w:t>
      </w:r>
      <w:r w:rsidRPr="00B16AE8">
        <w:rPr>
          <w:rFonts w:ascii="Century Gothic" w:eastAsia="Century Gothic" w:hAnsi="Century Gothic" w:cs="Century Gothic"/>
          <w:bCs/>
        </w:rPr>
        <w:t xml:space="preserve"> disposiciones que obliguen a</w:t>
      </w:r>
      <w:r>
        <w:rPr>
          <w:rFonts w:ascii="Century Gothic" w:eastAsia="Century Gothic" w:hAnsi="Century Gothic" w:cs="Century Gothic"/>
          <w:bCs/>
        </w:rPr>
        <w:t xml:space="preserve"> </w:t>
      </w:r>
      <w:r w:rsidRPr="00B16AE8">
        <w:rPr>
          <w:rFonts w:ascii="Century Gothic" w:eastAsia="Century Gothic" w:hAnsi="Century Gothic" w:cs="Century Gothic"/>
          <w:bCs/>
        </w:rPr>
        <w:t>la elaboración conjunta de anteproyectos</w:t>
      </w:r>
      <w:r w:rsidR="00D42C83">
        <w:rPr>
          <w:rFonts w:ascii="Century Gothic" w:eastAsia="Century Gothic" w:hAnsi="Century Gothic" w:cs="Century Gothic"/>
          <w:bCs/>
        </w:rPr>
        <w:t xml:space="preserve"> dentro de la </w:t>
      </w:r>
      <w:r>
        <w:rPr>
          <w:rFonts w:ascii="Century Gothic" w:eastAsia="Century Gothic" w:hAnsi="Century Gothic" w:cs="Century Gothic"/>
          <w:bCs/>
        </w:rPr>
        <w:t>Ley de Presupuesto de Egresos, Contabilidad Gubernamental y Gasto Público</w:t>
      </w:r>
      <w:r w:rsidR="00D42C83">
        <w:rPr>
          <w:rFonts w:ascii="Century Gothic" w:eastAsia="Century Gothic" w:hAnsi="Century Gothic" w:cs="Century Gothic"/>
          <w:bCs/>
        </w:rPr>
        <w:t xml:space="preserve">, alineándose </w:t>
      </w:r>
      <w:r w:rsidRPr="00B16AE8">
        <w:rPr>
          <w:rFonts w:ascii="Century Gothic" w:eastAsia="Century Gothic" w:hAnsi="Century Gothic" w:cs="Century Gothic"/>
          <w:bCs/>
        </w:rPr>
        <w:t xml:space="preserve">con precedentes legislativos como la </w:t>
      </w:r>
      <w:r>
        <w:rPr>
          <w:rFonts w:ascii="Century Gothic" w:eastAsia="Century Gothic" w:hAnsi="Century Gothic" w:cs="Century Gothic"/>
          <w:bCs/>
        </w:rPr>
        <w:t xml:space="preserve">propia </w:t>
      </w:r>
      <w:r w:rsidRPr="00B16AE8">
        <w:rPr>
          <w:rFonts w:ascii="Century Gothic" w:eastAsia="Century Gothic" w:hAnsi="Century Gothic" w:cs="Century Gothic"/>
          <w:bCs/>
        </w:rPr>
        <w:t xml:space="preserve">reforma al Código Municipal que reforzó </w:t>
      </w:r>
      <w:r>
        <w:rPr>
          <w:rFonts w:ascii="Century Gothic" w:eastAsia="Century Gothic" w:hAnsi="Century Gothic" w:cs="Century Gothic"/>
          <w:bCs/>
        </w:rPr>
        <w:t>participación de las Juntas Municipales en la construcción del Presupuesto de Egresos de los municipios</w:t>
      </w:r>
      <w:r w:rsidRPr="00B16AE8">
        <w:rPr>
          <w:rFonts w:ascii="Century Gothic" w:eastAsia="Century Gothic" w:hAnsi="Century Gothic" w:cs="Century Gothic"/>
          <w:bCs/>
        </w:rPr>
        <w:t xml:space="preserve">  prom</w:t>
      </w:r>
      <w:r>
        <w:rPr>
          <w:rFonts w:ascii="Century Gothic" w:eastAsia="Century Gothic" w:hAnsi="Century Gothic" w:cs="Century Gothic"/>
          <w:bCs/>
        </w:rPr>
        <w:t>oviendo así</w:t>
      </w:r>
      <w:r w:rsidRPr="00B16AE8">
        <w:rPr>
          <w:rFonts w:ascii="Century Gothic" w:eastAsia="Century Gothic" w:hAnsi="Century Gothic" w:cs="Century Gothic"/>
          <w:bCs/>
        </w:rPr>
        <w:t xml:space="preserve"> la subsidiariedad municipal</w:t>
      </w:r>
      <w:r>
        <w:rPr>
          <w:rFonts w:ascii="Century Gothic" w:eastAsia="Century Gothic" w:hAnsi="Century Gothic" w:cs="Century Gothic"/>
          <w:bCs/>
        </w:rPr>
        <w:t xml:space="preserve"> y </w:t>
      </w:r>
      <w:r w:rsidRPr="00B16AE8">
        <w:rPr>
          <w:rFonts w:ascii="Century Gothic" w:eastAsia="Century Gothic" w:hAnsi="Century Gothic" w:cs="Century Gothic"/>
          <w:bCs/>
        </w:rPr>
        <w:t xml:space="preserve">beneficiando a zonas vulnerables sin </w:t>
      </w:r>
      <w:r>
        <w:rPr>
          <w:rFonts w:ascii="Century Gothic" w:eastAsia="Century Gothic" w:hAnsi="Century Gothic" w:cs="Century Gothic"/>
          <w:bCs/>
        </w:rPr>
        <w:t>que esto represente un i</w:t>
      </w:r>
      <w:r w:rsidRPr="00B16AE8">
        <w:rPr>
          <w:rFonts w:ascii="Century Gothic" w:eastAsia="Century Gothic" w:hAnsi="Century Gothic" w:cs="Century Gothic"/>
          <w:bCs/>
        </w:rPr>
        <w:t>ncrement</w:t>
      </w:r>
      <w:r>
        <w:rPr>
          <w:rFonts w:ascii="Century Gothic" w:eastAsia="Century Gothic" w:hAnsi="Century Gothic" w:cs="Century Gothic"/>
          <w:bCs/>
        </w:rPr>
        <w:t>o al</w:t>
      </w:r>
      <w:r w:rsidRPr="00B16AE8">
        <w:rPr>
          <w:rFonts w:ascii="Century Gothic" w:eastAsia="Century Gothic" w:hAnsi="Century Gothic" w:cs="Century Gothic"/>
          <w:bCs/>
        </w:rPr>
        <w:t xml:space="preserve"> gasto estatal</w:t>
      </w:r>
      <w:r>
        <w:rPr>
          <w:rFonts w:ascii="Century Gothic" w:eastAsia="Century Gothic" w:hAnsi="Century Gothic" w:cs="Century Gothic"/>
          <w:bCs/>
        </w:rPr>
        <w:t>.</w:t>
      </w:r>
    </w:p>
    <w:p w14:paraId="0D61078F" w14:textId="77777777" w:rsidR="00FF45FB" w:rsidRDefault="00FF45FB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3412B7EB" w14:textId="0B6550D8" w:rsidR="00FF45FB" w:rsidRDefault="00FF45FB" w:rsidP="00FF45FB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Es así que, la presente propuesta</w:t>
      </w:r>
      <w:r w:rsidRPr="00FF45FB">
        <w:rPr>
          <w:rFonts w:ascii="Century Gothic" w:eastAsia="Century Gothic" w:hAnsi="Century Gothic" w:cs="Century Gothic"/>
          <w:bCs/>
        </w:rPr>
        <w:t xml:space="preserve"> no </w:t>
      </w:r>
      <w:r>
        <w:rPr>
          <w:rFonts w:ascii="Century Gothic" w:eastAsia="Century Gothic" w:hAnsi="Century Gothic" w:cs="Century Gothic"/>
          <w:bCs/>
        </w:rPr>
        <w:t>contraviene</w:t>
      </w:r>
      <w:r w:rsidRPr="00FF45FB">
        <w:rPr>
          <w:rFonts w:ascii="Century Gothic" w:eastAsia="Century Gothic" w:hAnsi="Century Gothic" w:cs="Century Gothic"/>
          <w:bCs/>
        </w:rPr>
        <w:t xml:space="preserve"> la autonomía municipal consagrada en el artículo 115 constitucional ni </w:t>
      </w:r>
      <w:r>
        <w:rPr>
          <w:rFonts w:ascii="Century Gothic" w:eastAsia="Century Gothic" w:hAnsi="Century Gothic" w:cs="Century Gothic"/>
          <w:bCs/>
        </w:rPr>
        <w:t xml:space="preserve">las disposiciones contenidas en </w:t>
      </w:r>
      <w:r w:rsidR="00D42C83">
        <w:rPr>
          <w:rFonts w:ascii="Century Gothic" w:eastAsia="Century Gothic" w:hAnsi="Century Gothic" w:cs="Century Gothic"/>
          <w:bCs/>
        </w:rPr>
        <w:t xml:space="preserve">el </w:t>
      </w:r>
      <w:r w:rsidR="00D42C83" w:rsidRPr="00FF45FB">
        <w:rPr>
          <w:rFonts w:ascii="Century Gothic" w:eastAsia="Century Gothic" w:hAnsi="Century Gothic" w:cs="Century Gothic"/>
          <w:bCs/>
        </w:rPr>
        <w:t>Código</w:t>
      </w:r>
      <w:r w:rsidRPr="00FF45FB">
        <w:rPr>
          <w:rFonts w:ascii="Century Gothic" w:eastAsia="Century Gothic" w:hAnsi="Century Gothic" w:cs="Century Gothic"/>
          <w:bCs/>
        </w:rPr>
        <w:t xml:space="preserve"> Municipal, </w:t>
      </w:r>
      <w:r>
        <w:rPr>
          <w:rFonts w:ascii="Century Gothic" w:eastAsia="Century Gothic" w:hAnsi="Century Gothic" w:cs="Century Gothic"/>
          <w:bCs/>
        </w:rPr>
        <w:t xml:space="preserve">dado que </w:t>
      </w:r>
      <w:r w:rsidRPr="00FF45FB">
        <w:rPr>
          <w:rFonts w:ascii="Century Gothic" w:eastAsia="Century Gothic" w:hAnsi="Century Gothic" w:cs="Century Gothic"/>
          <w:bCs/>
        </w:rPr>
        <w:t>no impone destinos específicos de gasto, n</w:t>
      </w:r>
      <w:r>
        <w:rPr>
          <w:rFonts w:ascii="Century Gothic" w:eastAsia="Century Gothic" w:hAnsi="Century Gothic" w:cs="Century Gothic"/>
          <w:bCs/>
        </w:rPr>
        <w:t>i</w:t>
      </w:r>
      <w:r w:rsidRPr="00FF45FB">
        <w:rPr>
          <w:rFonts w:ascii="Century Gothic" w:eastAsia="Century Gothic" w:hAnsi="Century Gothic" w:cs="Century Gothic"/>
          <w:bCs/>
        </w:rPr>
        <w:t xml:space="preserve"> crea nuevos órganos </w:t>
      </w:r>
      <w:r>
        <w:rPr>
          <w:rFonts w:ascii="Century Gothic" w:eastAsia="Century Gothic" w:hAnsi="Century Gothic" w:cs="Century Gothic"/>
          <w:bCs/>
        </w:rPr>
        <w:t>que pudieran</w:t>
      </w:r>
      <w:r w:rsidRPr="00FF45FB">
        <w:rPr>
          <w:rFonts w:ascii="Century Gothic" w:eastAsia="Century Gothic" w:hAnsi="Century Gothic" w:cs="Century Gothic"/>
          <w:bCs/>
        </w:rPr>
        <w:t xml:space="preserve"> altera</w:t>
      </w:r>
      <w:r>
        <w:rPr>
          <w:rFonts w:ascii="Century Gothic" w:eastAsia="Century Gothic" w:hAnsi="Century Gothic" w:cs="Century Gothic"/>
          <w:bCs/>
        </w:rPr>
        <w:t>r</w:t>
      </w:r>
      <w:r w:rsidRPr="00FF45FB">
        <w:rPr>
          <w:rFonts w:ascii="Century Gothic" w:eastAsia="Century Gothic" w:hAnsi="Century Gothic" w:cs="Century Gothic"/>
          <w:bCs/>
        </w:rPr>
        <w:t xml:space="preserve"> la estructura orgánica de los Ayuntamientos</w:t>
      </w:r>
      <w:r w:rsidR="00D42C83">
        <w:rPr>
          <w:rFonts w:ascii="Century Gothic" w:eastAsia="Century Gothic" w:hAnsi="Century Gothic" w:cs="Century Gothic"/>
          <w:bCs/>
        </w:rPr>
        <w:t xml:space="preserve"> </w:t>
      </w:r>
      <w:r w:rsidRPr="00FF45FB">
        <w:rPr>
          <w:rFonts w:ascii="Century Gothic" w:eastAsia="Century Gothic" w:hAnsi="Century Gothic" w:cs="Century Gothic"/>
          <w:bCs/>
        </w:rPr>
        <w:t>sin menoscabar la facultad exclusiva del Cabildo para aprobar el Presupuesto de Egresos</w:t>
      </w:r>
      <w:r w:rsidR="00D42C83">
        <w:rPr>
          <w:rFonts w:ascii="Century Gothic" w:eastAsia="Century Gothic" w:hAnsi="Century Gothic" w:cs="Century Gothic"/>
          <w:bCs/>
        </w:rPr>
        <w:t xml:space="preserve"> y determinar los procedimientos que para ello estimen necesarios.</w:t>
      </w:r>
    </w:p>
    <w:p w14:paraId="6F7ACC70" w14:textId="77777777" w:rsidR="00FF45FB" w:rsidRDefault="00FF45FB" w:rsidP="00FF45FB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6477BB1F" w14:textId="4CF49E14" w:rsidR="00FF45FB" w:rsidRDefault="00D42C83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En tal virtud, consideramos que, a</w:t>
      </w:r>
      <w:r w:rsidR="00FF45FB" w:rsidRPr="00FF45FB">
        <w:rPr>
          <w:rFonts w:ascii="Century Gothic" w:eastAsia="Century Gothic" w:hAnsi="Century Gothic" w:cs="Century Gothic"/>
          <w:bCs/>
        </w:rPr>
        <w:t xml:space="preserve">l </w:t>
      </w:r>
      <w:r>
        <w:rPr>
          <w:rFonts w:ascii="Century Gothic" w:eastAsia="Century Gothic" w:hAnsi="Century Gothic" w:cs="Century Gothic"/>
          <w:bCs/>
        </w:rPr>
        <w:t>sugerir</w:t>
      </w:r>
      <w:r w:rsidR="00FF45FB" w:rsidRPr="00FF45FB">
        <w:rPr>
          <w:rFonts w:ascii="Century Gothic" w:eastAsia="Century Gothic" w:hAnsi="Century Gothic" w:cs="Century Gothic"/>
          <w:bCs/>
        </w:rPr>
        <w:t xml:space="preserve"> un porcentaje mínimo</w:t>
      </w:r>
      <w:r w:rsidR="00FF45FB">
        <w:rPr>
          <w:rFonts w:ascii="Century Gothic" w:eastAsia="Century Gothic" w:hAnsi="Century Gothic" w:cs="Century Gothic"/>
          <w:bCs/>
        </w:rPr>
        <w:t xml:space="preserve"> de </w:t>
      </w:r>
      <w:r>
        <w:rPr>
          <w:rFonts w:ascii="Century Gothic" w:eastAsia="Century Gothic" w:hAnsi="Century Gothic" w:cs="Century Gothic"/>
          <w:bCs/>
        </w:rPr>
        <w:t xml:space="preserve">presupuesto, se </w:t>
      </w:r>
      <w:r w:rsidR="00444252">
        <w:rPr>
          <w:rFonts w:ascii="Century Gothic" w:eastAsia="Century Gothic" w:hAnsi="Century Gothic" w:cs="Century Gothic"/>
          <w:bCs/>
        </w:rPr>
        <w:t xml:space="preserve">establece </w:t>
      </w:r>
      <w:r w:rsidR="00444252" w:rsidRPr="00FF45FB">
        <w:rPr>
          <w:rFonts w:ascii="Century Gothic" w:eastAsia="Century Gothic" w:hAnsi="Century Gothic" w:cs="Century Gothic"/>
          <w:bCs/>
        </w:rPr>
        <w:t>un</w:t>
      </w:r>
      <w:r w:rsidR="00FF45FB" w:rsidRPr="00FF45FB">
        <w:rPr>
          <w:rFonts w:ascii="Century Gothic" w:eastAsia="Century Gothic" w:hAnsi="Century Gothic" w:cs="Century Gothic"/>
          <w:bCs/>
        </w:rPr>
        <w:t xml:space="preserve"> piso de equidad </w:t>
      </w:r>
      <w:r>
        <w:rPr>
          <w:rFonts w:ascii="Century Gothic" w:eastAsia="Century Gothic" w:hAnsi="Century Gothic" w:cs="Century Gothic"/>
          <w:bCs/>
        </w:rPr>
        <w:t>-</w:t>
      </w:r>
      <w:r w:rsidR="00FF45FB" w:rsidRPr="00FF45FB">
        <w:rPr>
          <w:rFonts w:ascii="Century Gothic" w:eastAsia="Century Gothic" w:hAnsi="Century Gothic" w:cs="Century Gothic"/>
          <w:bCs/>
        </w:rPr>
        <w:t>no un techo</w:t>
      </w:r>
      <w:r>
        <w:rPr>
          <w:rFonts w:ascii="Century Gothic" w:eastAsia="Century Gothic" w:hAnsi="Century Gothic" w:cs="Century Gothic"/>
          <w:bCs/>
        </w:rPr>
        <w:t>-</w:t>
      </w:r>
      <w:r w:rsidR="00FF45FB" w:rsidRPr="00FF45FB">
        <w:rPr>
          <w:rFonts w:ascii="Century Gothic" w:eastAsia="Century Gothic" w:hAnsi="Century Gothic" w:cs="Century Gothic"/>
          <w:bCs/>
        </w:rPr>
        <w:t xml:space="preserve"> que respeta la libre administración hacendaria municipal, toda vez que dichos recursos forman parte del presupuesto total del municipio y su distribución final sigue siendo competencia del Ayuntamiento, conforme a los principios de programación, presupuestación y ejecución previstos en </w:t>
      </w:r>
      <w:r w:rsidR="00FF45FB">
        <w:rPr>
          <w:rFonts w:ascii="Century Gothic" w:eastAsia="Century Gothic" w:hAnsi="Century Gothic" w:cs="Century Gothic"/>
          <w:bCs/>
        </w:rPr>
        <w:t>la multicitada</w:t>
      </w:r>
      <w:r w:rsidR="00FF45FB" w:rsidRPr="00FF45FB">
        <w:rPr>
          <w:rFonts w:ascii="Century Gothic" w:eastAsia="Century Gothic" w:hAnsi="Century Gothic" w:cs="Century Gothic"/>
          <w:bCs/>
        </w:rPr>
        <w:t xml:space="preserve"> Ley.</w:t>
      </w:r>
    </w:p>
    <w:p w14:paraId="2F7A16DE" w14:textId="77777777" w:rsidR="008309D5" w:rsidRDefault="008309D5" w:rsidP="00C24B2F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</w:p>
    <w:p w14:paraId="4FF0F2AC" w14:textId="6CAA7645" w:rsidR="00C24B2F" w:rsidRPr="008309D5" w:rsidRDefault="00D42C83" w:rsidP="008309D5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lastRenderedPageBreak/>
        <w:t xml:space="preserve">Consideramos por lo tanto </w:t>
      </w:r>
      <w:r w:rsidR="00654C18">
        <w:rPr>
          <w:rFonts w:ascii="Century Gothic" w:eastAsia="Century Gothic" w:hAnsi="Century Gothic" w:cs="Century Gothic"/>
          <w:bCs/>
        </w:rPr>
        <w:t>que, lo</w:t>
      </w:r>
      <w:r>
        <w:rPr>
          <w:rFonts w:ascii="Century Gothic" w:eastAsia="Century Gothic" w:hAnsi="Century Gothic" w:cs="Century Gothic"/>
          <w:bCs/>
        </w:rPr>
        <w:t xml:space="preserve"> </w:t>
      </w:r>
      <w:r w:rsidR="00654C18">
        <w:rPr>
          <w:rFonts w:ascii="Century Gothic" w:eastAsia="Century Gothic" w:hAnsi="Century Gothic" w:cs="Century Gothic"/>
          <w:bCs/>
        </w:rPr>
        <w:t>aquí planteado</w:t>
      </w:r>
      <w:r w:rsidR="008309D5">
        <w:rPr>
          <w:rFonts w:ascii="Century Gothic" w:eastAsia="Century Gothic" w:hAnsi="Century Gothic" w:cs="Century Gothic"/>
          <w:bCs/>
        </w:rPr>
        <w:t xml:space="preserve"> fortalece la legalidad a</w:t>
      </w:r>
      <w:r>
        <w:rPr>
          <w:rFonts w:ascii="Century Gothic" w:eastAsia="Century Gothic" w:hAnsi="Century Gothic" w:cs="Century Gothic"/>
          <w:bCs/>
        </w:rPr>
        <w:t xml:space="preserve"> través de</w:t>
      </w:r>
      <w:r w:rsidR="00654C18">
        <w:rPr>
          <w:rFonts w:ascii="Century Gothic" w:eastAsia="Century Gothic" w:hAnsi="Century Gothic" w:cs="Century Gothic"/>
          <w:bCs/>
        </w:rPr>
        <w:t xml:space="preserve"> los principios de transparencia </w:t>
      </w:r>
      <w:r w:rsidR="008309D5">
        <w:rPr>
          <w:rFonts w:ascii="Century Gothic" w:eastAsia="Century Gothic" w:hAnsi="Century Gothic" w:cs="Century Gothic"/>
          <w:bCs/>
        </w:rPr>
        <w:t xml:space="preserve">alineados </w:t>
      </w:r>
      <w:r w:rsidR="00654C18">
        <w:rPr>
          <w:rFonts w:ascii="Century Gothic" w:eastAsia="Century Gothic" w:hAnsi="Century Gothic" w:cs="Century Gothic"/>
          <w:bCs/>
        </w:rPr>
        <w:t>a su vez a la</w:t>
      </w:r>
      <w:r w:rsidR="008309D5">
        <w:rPr>
          <w:rFonts w:ascii="Century Gothic" w:eastAsia="Century Gothic" w:hAnsi="Century Gothic" w:cs="Century Gothic"/>
          <w:bCs/>
        </w:rPr>
        <w:t xml:space="preserve"> disciplina financiera, </w:t>
      </w:r>
      <w:r w:rsidR="00C24B2F">
        <w:rPr>
          <w:rFonts w:ascii="Century Gothic" w:hAnsi="Century Gothic"/>
        </w:rPr>
        <w:t xml:space="preserve">por lo que nos permitimos someter a consideración del Pleno, </w:t>
      </w:r>
      <w:r w:rsidR="00C24B2F">
        <w:rPr>
          <w:rFonts w:ascii="Century Gothic" w:eastAsia="Century Gothic" w:hAnsi="Century Gothic" w:cs="Century Gothic"/>
        </w:rPr>
        <w:t>el siguiente proyecto con carácter de:</w:t>
      </w:r>
    </w:p>
    <w:p w14:paraId="699AA1B3" w14:textId="77777777" w:rsidR="00C24B2F" w:rsidRDefault="00C24B2F" w:rsidP="00C24B2F">
      <w:pPr>
        <w:spacing w:before="240" w:after="240" w:line="36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D E C R E T O:</w:t>
      </w:r>
    </w:p>
    <w:p w14:paraId="40BE4D1A" w14:textId="24767AE5" w:rsidR="00246B19" w:rsidRPr="00246B19" w:rsidRDefault="00C24B2F" w:rsidP="00246B19">
      <w:pPr>
        <w:spacing w:line="360" w:lineRule="auto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/>
        </w:rPr>
        <w:t>ARTÍCULO ÚNICO.</w:t>
      </w:r>
      <w:r w:rsidR="00246B19">
        <w:rPr>
          <w:rFonts w:ascii="Century Gothic" w:eastAsia="Century Gothic" w:hAnsi="Century Gothic" w:cs="Century Gothic"/>
          <w:b/>
        </w:rPr>
        <w:t xml:space="preserve"> </w:t>
      </w:r>
      <w:r w:rsidR="00246B19">
        <w:rPr>
          <w:rFonts w:ascii="Century Gothic" w:eastAsia="Century Gothic" w:hAnsi="Century Gothic" w:cs="Century Gothic"/>
          <w:bCs/>
        </w:rPr>
        <w:t>Se reforman</w:t>
      </w:r>
      <w:r w:rsidR="00246B19" w:rsidRPr="00246B19">
        <w:rPr>
          <w:rFonts w:ascii="Century Gothic" w:eastAsia="Century Gothic" w:hAnsi="Century Gothic" w:cs="Century Gothic"/>
          <w:bCs/>
        </w:rPr>
        <w:t xml:space="preserve"> los artículos 32, 36 </w:t>
      </w:r>
      <w:r w:rsidR="00246B19">
        <w:rPr>
          <w:rFonts w:ascii="Century Gothic" w:eastAsia="Century Gothic" w:hAnsi="Century Gothic" w:cs="Century Gothic"/>
          <w:bCs/>
        </w:rPr>
        <w:t>en su f</w:t>
      </w:r>
      <w:r w:rsidR="00246B19" w:rsidRPr="00246B19">
        <w:rPr>
          <w:rFonts w:ascii="Century Gothic" w:eastAsia="Century Gothic" w:hAnsi="Century Gothic" w:cs="Century Gothic"/>
          <w:bCs/>
        </w:rPr>
        <w:t>racción VI</w:t>
      </w:r>
      <w:r w:rsidR="00654C18">
        <w:rPr>
          <w:rFonts w:ascii="Century Gothic" w:eastAsia="Century Gothic" w:hAnsi="Century Gothic" w:cs="Century Gothic"/>
          <w:bCs/>
        </w:rPr>
        <w:t xml:space="preserve"> y </w:t>
      </w:r>
      <w:r w:rsidR="00246B19" w:rsidRPr="00246B19">
        <w:rPr>
          <w:rFonts w:ascii="Century Gothic" w:eastAsia="Century Gothic" w:hAnsi="Century Gothic" w:cs="Century Gothic"/>
          <w:bCs/>
        </w:rPr>
        <w:t>47</w:t>
      </w:r>
      <w:r w:rsidR="00654C18">
        <w:rPr>
          <w:rFonts w:ascii="Century Gothic" w:eastAsia="Century Gothic" w:hAnsi="Century Gothic" w:cs="Century Gothic"/>
          <w:bCs/>
        </w:rPr>
        <w:t xml:space="preserve">, </w:t>
      </w:r>
      <w:r w:rsidR="00246B19" w:rsidRPr="00246B19">
        <w:rPr>
          <w:rFonts w:ascii="Century Gothic" w:eastAsia="Century Gothic" w:hAnsi="Century Gothic" w:cs="Century Gothic"/>
          <w:bCs/>
        </w:rPr>
        <w:t xml:space="preserve">todos </w:t>
      </w:r>
      <w:r w:rsidR="00246B19">
        <w:rPr>
          <w:rFonts w:ascii="Century Gothic" w:eastAsia="Century Gothic" w:hAnsi="Century Gothic" w:cs="Century Gothic"/>
          <w:bCs/>
        </w:rPr>
        <w:t xml:space="preserve">ellos </w:t>
      </w:r>
      <w:r w:rsidR="00246B19" w:rsidRPr="00246B19">
        <w:rPr>
          <w:rFonts w:ascii="Century Gothic" w:eastAsia="Century Gothic" w:hAnsi="Century Gothic" w:cs="Century Gothic"/>
          <w:bCs/>
        </w:rPr>
        <w:t xml:space="preserve">de la Ley de Presupuesto de Egresos, Contabilidad Gubernamental y Gasto Público del Estado de Chihuahua, para quedar </w:t>
      </w:r>
      <w:r w:rsidR="00246B19">
        <w:rPr>
          <w:rFonts w:ascii="Century Gothic" w:eastAsia="Century Gothic" w:hAnsi="Century Gothic" w:cs="Century Gothic"/>
          <w:bCs/>
        </w:rPr>
        <w:t>redactados de la siguiente manera</w:t>
      </w:r>
      <w:r w:rsidR="00246B19" w:rsidRPr="00246B19">
        <w:rPr>
          <w:rFonts w:ascii="Century Gothic" w:eastAsia="Century Gothic" w:hAnsi="Century Gothic" w:cs="Century Gothic"/>
          <w:bCs/>
        </w:rPr>
        <w:t>:</w:t>
      </w:r>
    </w:p>
    <w:p w14:paraId="3DE9DDDB" w14:textId="13F3FBDC" w:rsidR="00C24B2F" w:rsidRDefault="00C24B2F" w:rsidP="00246B19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14:paraId="64AD8473" w14:textId="77777777" w:rsidR="00246B19" w:rsidRPr="00FF45FB" w:rsidRDefault="00246B19" w:rsidP="00246B19">
      <w:pPr>
        <w:spacing w:line="360" w:lineRule="auto"/>
        <w:ind w:firstLine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FF45FB">
        <w:rPr>
          <w:rFonts w:ascii="Century Gothic" w:eastAsia="Century Gothic" w:hAnsi="Century Gothic" w:cs="Century Gothic"/>
          <w:b/>
          <w:sz w:val="22"/>
          <w:szCs w:val="22"/>
        </w:rPr>
        <w:t>Artículo 32…</w:t>
      </w:r>
    </w:p>
    <w:p w14:paraId="46D831C5" w14:textId="77777777" w:rsidR="00246B19" w:rsidRPr="00FF45FB" w:rsidRDefault="00246B19" w:rsidP="00246B19">
      <w:pPr>
        <w:spacing w:line="360" w:lineRule="auto"/>
        <w:ind w:firstLine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0F98BBCC" w14:textId="3CD575ED" w:rsidR="00246B19" w:rsidRPr="00FF45FB" w:rsidRDefault="00246B19" w:rsidP="00246B19">
      <w:pPr>
        <w:spacing w:line="360" w:lineRule="auto"/>
        <w:ind w:firstLine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F45FB">
        <w:rPr>
          <w:rFonts w:ascii="Century Gothic" w:eastAsia="Century Gothic" w:hAnsi="Century Gothic" w:cs="Century Gothic"/>
          <w:bCs/>
          <w:sz w:val="22"/>
          <w:szCs w:val="22"/>
        </w:rPr>
        <w:t>…</w:t>
      </w:r>
    </w:p>
    <w:p w14:paraId="27EFA67D" w14:textId="77777777" w:rsidR="00246B19" w:rsidRPr="00FF45FB" w:rsidRDefault="00246B19" w:rsidP="00246B19">
      <w:pPr>
        <w:spacing w:line="360" w:lineRule="auto"/>
        <w:ind w:firstLine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2D903988" w14:textId="1FFD72B0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246B19">
        <w:rPr>
          <w:rFonts w:ascii="Century Gothic" w:eastAsia="Century Gothic" w:hAnsi="Century Gothic" w:cs="Century Gothic"/>
          <w:b/>
          <w:sz w:val="22"/>
          <w:szCs w:val="22"/>
        </w:rPr>
        <w:t xml:space="preserve">Tratándose de los municipios, estos procederán conforme a lo dispuesto por el Código </w:t>
      </w:r>
      <w:r w:rsidR="00654C18" w:rsidRPr="00246B19">
        <w:rPr>
          <w:rFonts w:ascii="Century Gothic" w:eastAsia="Century Gothic" w:hAnsi="Century Gothic" w:cs="Century Gothic"/>
          <w:b/>
          <w:sz w:val="22"/>
          <w:szCs w:val="22"/>
        </w:rPr>
        <w:t>Municipal,</w:t>
      </w:r>
      <w:r w:rsidRPr="00246B19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 w:rsidRPr="00FF45FB">
        <w:rPr>
          <w:rFonts w:ascii="Century Gothic" w:eastAsia="Century Gothic" w:hAnsi="Century Gothic" w:cs="Century Gothic"/>
          <w:b/>
          <w:sz w:val="22"/>
          <w:szCs w:val="22"/>
        </w:rPr>
        <w:t>así como por lo dispuesto</w:t>
      </w:r>
      <w:r w:rsidRPr="00246B19">
        <w:rPr>
          <w:rFonts w:ascii="Century Gothic" w:eastAsia="Century Gothic" w:hAnsi="Century Gothic" w:cs="Century Gothic"/>
          <w:b/>
          <w:sz w:val="22"/>
          <w:szCs w:val="22"/>
        </w:rPr>
        <w:t xml:space="preserve"> por esta Ley, </w:t>
      </w:r>
      <w:r w:rsidR="00654C18">
        <w:rPr>
          <w:rFonts w:ascii="Century Gothic" w:eastAsia="Century Gothic" w:hAnsi="Century Gothic" w:cs="Century Gothic"/>
          <w:b/>
          <w:sz w:val="22"/>
          <w:szCs w:val="22"/>
        </w:rPr>
        <w:t xml:space="preserve">buscando </w:t>
      </w:r>
      <w:r w:rsidRPr="00246B19">
        <w:rPr>
          <w:rFonts w:ascii="Century Gothic" w:eastAsia="Century Gothic" w:hAnsi="Century Gothic" w:cs="Century Gothic"/>
          <w:b/>
          <w:sz w:val="22"/>
          <w:szCs w:val="22"/>
        </w:rPr>
        <w:t>garantiza</w:t>
      </w:r>
      <w:r w:rsidR="00654C18">
        <w:rPr>
          <w:rFonts w:ascii="Century Gothic" w:eastAsia="Century Gothic" w:hAnsi="Century Gothic" w:cs="Century Gothic"/>
          <w:b/>
          <w:sz w:val="22"/>
          <w:szCs w:val="22"/>
        </w:rPr>
        <w:t>r</w:t>
      </w:r>
      <w:r w:rsidRPr="00246B19">
        <w:rPr>
          <w:rFonts w:ascii="Century Gothic" w:eastAsia="Century Gothic" w:hAnsi="Century Gothic" w:cs="Century Gothic"/>
          <w:b/>
          <w:sz w:val="22"/>
          <w:szCs w:val="22"/>
        </w:rPr>
        <w:t xml:space="preserve"> la integración obligatoria y vinculante de los anteproyectos de presupuesto de las Juntas Municipales al Presupuesto de Egresos de la cabecera municipal.</w:t>
      </w:r>
    </w:p>
    <w:p w14:paraId="0D726FDF" w14:textId="77777777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0DB462B" w14:textId="4ACD92E0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FF45FB">
        <w:rPr>
          <w:rFonts w:ascii="Century Gothic" w:eastAsia="Century Gothic" w:hAnsi="Century Gothic" w:cs="Century Gothic"/>
          <w:b/>
          <w:sz w:val="22"/>
          <w:szCs w:val="22"/>
        </w:rPr>
        <w:t>Artículo 36…</w:t>
      </w:r>
    </w:p>
    <w:p w14:paraId="4BB53FC8" w14:textId="1A57FA22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F45FB">
        <w:rPr>
          <w:rFonts w:ascii="Century Gothic" w:eastAsia="Century Gothic" w:hAnsi="Century Gothic" w:cs="Century Gothic"/>
          <w:bCs/>
          <w:sz w:val="22"/>
          <w:szCs w:val="22"/>
        </w:rPr>
        <w:t>I a la V…</w:t>
      </w:r>
    </w:p>
    <w:p w14:paraId="2D450B0E" w14:textId="77777777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D5C4056" w14:textId="0A1FD18D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F45FB">
        <w:rPr>
          <w:rFonts w:ascii="Century Gothic" w:eastAsia="Century Gothic" w:hAnsi="Century Gothic" w:cs="Century Gothic"/>
          <w:b/>
          <w:sz w:val="22"/>
          <w:szCs w:val="22"/>
        </w:rPr>
        <w:t xml:space="preserve">VI. </w:t>
      </w:r>
      <w:r w:rsidRPr="00FF45FB">
        <w:rPr>
          <w:rFonts w:ascii="Century Gothic" w:eastAsia="Century Gothic" w:hAnsi="Century Gothic" w:cs="Century Gothic"/>
          <w:bCs/>
          <w:sz w:val="22"/>
          <w:szCs w:val="22"/>
        </w:rPr>
        <w:t>Clasificación por objeto del gasto, por unidad administrativa, económica, funcional, programática</w:t>
      </w:r>
      <w:r w:rsidRPr="00FF45FB">
        <w:rPr>
          <w:rFonts w:ascii="Century Gothic" w:eastAsia="Century Gothic" w:hAnsi="Century Gothic" w:cs="Century Gothic"/>
          <w:b/>
          <w:sz w:val="22"/>
          <w:szCs w:val="22"/>
        </w:rPr>
        <w:t xml:space="preserve"> y por sección municipal, con desglose de recursos </w:t>
      </w:r>
      <w:r w:rsidRPr="00FF45FB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 xml:space="preserve">asignados a cada Junta Municipal </w:t>
      </w:r>
      <w:r w:rsidRPr="00FF45FB">
        <w:rPr>
          <w:rFonts w:ascii="Century Gothic" w:eastAsia="Century Gothic" w:hAnsi="Century Gothic" w:cs="Century Gothic"/>
          <w:bCs/>
          <w:sz w:val="22"/>
          <w:szCs w:val="22"/>
        </w:rPr>
        <w:t>y demás particularidades que señale la normatividad aplicable.</w:t>
      </w:r>
    </w:p>
    <w:p w14:paraId="4ED06C04" w14:textId="77777777" w:rsidR="00246B19" w:rsidRPr="00FF45FB" w:rsidRDefault="00246B19" w:rsidP="00246B19">
      <w:pPr>
        <w:spacing w:line="360" w:lineRule="auto"/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AA7E0CB" w14:textId="59259F94" w:rsidR="00DB3F07" w:rsidRPr="00FF45FB" w:rsidRDefault="00246B19" w:rsidP="00DB3F07">
      <w:pPr>
        <w:pStyle w:val="NormalWeb"/>
        <w:spacing w:line="360" w:lineRule="auto"/>
        <w:ind w:left="720"/>
        <w:jc w:val="both"/>
        <w:rPr>
          <w:rFonts w:ascii="Century Gothic" w:hAnsi="Century Gothic"/>
          <w:color w:val="000000"/>
          <w:sz w:val="22"/>
          <w:szCs w:val="22"/>
        </w:rPr>
      </w:pPr>
      <w:r w:rsidRPr="00FF45FB">
        <w:rPr>
          <w:rFonts w:ascii="Century Gothic" w:hAnsi="Century Gothic"/>
          <w:b/>
          <w:bCs/>
          <w:color w:val="000000"/>
          <w:sz w:val="22"/>
          <w:szCs w:val="22"/>
        </w:rPr>
        <w:t>Artículo 47</w:t>
      </w:r>
      <w:r w:rsidRPr="00FF45FB">
        <w:rPr>
          <w:rFonts w:ascii="Century Gothic" w:hAnsi="Century Gothic"/>
          <w:color w:val="000000"/>
          <w:sz w:val="22"/>
          <w:szCs w:val="22"/>
        </w:rPr>
        <w:t xml:space="preserve">. El ejercicio del gasto público relativo a la realización de obra pública, adquisición de bienes, servicios y la celebración de contratos de arrendamientos, o de Contratos de Proyectos de </w:t>
      </w:r>
      <w:r w:rsidRPr="00246B19">
        <w:rPr>
          <w:rFonts w:ascii="Century Gothic" w:hAnsi="Century Gothic"/>
          <w:color w:val="000000"/>
          <w:sz w:val="22"/>
          <w:szCs w:val="22"/>
        </w:rPr>
        <w:t>Asociación Público Privada</w:t>
      </w:r>
      <w:r w:rsidRPr="00FF45FB">
        <w:rPr>
          <w:rFonts w:ascii="Century Gothic" w:hAnsi="Century Gothic"/>
          <w:color w:val="000000"/>
          <w:sz w:val="22"/>
          <w:szCs w:val="22"/>
        </w:rPr>
        <w:t xml:space="preserve"> se efectuará con base a calendarios financieros y de metas propuestas por los entes públicos, </w:t>
      </w:r>
      <w:r w:rsidRPr="00FF45FB">
        <w:rPr>
          <w:rFonts w:ascii="Century Gothic" w:hAnsi="Century Gothic"/>
          <w:b/>
          <w:bCs/>
          <w:color w:val="000000"/>
          <w:sz w:val="22"/>
          <w:szCs w:val="22"/>
        </w:rPr>
        <w:t>incluyendo la participación de las Juntas Municipales en la formulación de sus calendarios seccionales,</w:t>
      </w:r>
      <w:r w:rsidRPr="00FF45FB">
        <w:rPr>
          <w:rFonts w:ascii="Century Gothic" w:hAnsi="Century Gothic"/>
          <w:color w:val="000000"/>
          <w:sz w:val="22"/>
          <w:szCs w:val="22"/>
        </w:rPr>
        <w:t xml:space="preserve"> de acuerdo con las normas y lineamientos que fije la Secretaría</w:t>
      </w:r>
      <w:r w:rsidR="00DB3F07" w:rsidRPr="00FF45FB">
        <w:rPr>
          <w:rFonts w:ascii="Century Gothic" w:hAnsi="Century Gothic"/>
          <w:color w:val="000000"/>
          <w:sz w:val="22"/>
          <w:szCs w:val="22"/>
        </w:rPr>
        <w:t xml:space="preserve">, las que </w:t>
      </w:r>
      <w:r w:rsidR="00DB3F07" w:rsidRPr="00DB3F07">
        <w:rPr>
          <w:rFonts w:ascii="Century Gothic" w:hAnsi="Century Gothic"/>
          <w:color w:val="000000"/>
          <w:sz w:val="22"/>
          <w:szCs w:val="22"/>
        </w:rPr>
        <w:t>comunicarán a más tardar durante el mes de enero de cada año.</w:t>
      </w:r>
    </w:p>
    <w:p w14:paraId="5452A0B9" w14:textId="4B837C81" w:rsidR="00DB3F07" w:rsidRPr="00FF45FB" w:rsidRDefault="00246B19" w:rsidP="005819DD">
      <w:pPr>
        <w:pStyle w:val="NormalWeb"/>
        <w:spacing w:line="360" w:lineRule="auto"/>
        <w:ind w:left="720" w:firstLine="60"/>
        <w:jc w:val="both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FF45FB">
        <w:rPr>
          <w:rFonts w:ascii="Century Gothic" w:hAnsi="Century Gothic"/>
          <w:color w:val="000000"/>
          <w:sz w:val="22"/>
          <w:szCs w:val="22"/>
        </w:rPr>
        <w:t xml:space="preserve">Tratándose de los Municipios, lo dispuesto en el párrafo anterior lo llevará a cabo la unidad administrativa competente </w:t>
      </w:r>
      <w:r w:rsidRPr="00FF45FB">
        <w:rPr>
          <w:rFonts w:ascii="Century Gothic" w:hAnsi="Century Gothic"/>
          <w:b/>
          <w:bCs/>
          <w:color w:val="000000"/>
          <w:sz w:val="22"/>
          <w:szCs w:val="22"/>
        </w:rPr>
        <w:t>en coordinación con las Juntas Municipales</w:t>
      </w:r>
      <w:r w:rsidR="00654C18">
        <w:rPr>
          <w:rFonts w:ascii="Century Gothic" w:hAnsi="Century Gothic"/>
          <w:b/>
          <w:bCs/>
          <w:color w:val="000000"/>
          <w:sz w:val="22"/>
          <w:szCs w:val="22"/>
        </w:rPr>
        <w:t xml:space="preserve">, buscando garantizar una asignación mínima del 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>5% del Presupuesto de Egresos total</w:t>
      </w:r>
      <w:r w:rsidR="00DB3F07" w:rsidRPr="00FF45FB">
        <w:rPr>
          <w:rFonts w:ascii="Century Gothic" w:hAnsi="Century Gothic"/>
          <w:b/>
          <w:bCs/>
          <w:color w:val="000000"/>
          <w:sz w:val="22"/>
          <w:szCs w:val="22"/>
        </w:rPr>
        <w:t xml:space="preserve"> de la cabecera municipal, tomando en cuenta 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 xml:space="preserve">proporcionalmente </w:t>
      </w:r>
      <w:r w:rsidR="00DB3F07" w:rsidRPr="00FF45FB">
        <w:rPr>
          <w:rFonts w:ascii="Century Gothic" w:hAnsi="Century Gothic"/>
          <w:b/>
          <w:bCs/>
          <w:color w:val="000000"/>
          <w:sz w:val="22"/>
          <w:szCs w:val="22"/>
        </w:rPr>
        <w:t>el índice de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 xml:space="preserve"> </w:t>
      </w:r>
      <w:r w:rsidR="005819DD" w:rsidRPr="00DB3F07">
        <w:rPr>
          <w:rFonts w:ascii="Century Gothic" w:hAnsi="Century Gothic"/>
          <w:b/>
          <w:bCs/>
          <w:color w:val="000000"/>
          <w:sz w:val="22"/>
          <w:szCs w:val="22"/>
        </w:rPr>
        <w:t>población</w:t>
      </w:r>
      <w:r w:rsidR="005819DD">
        <w:rPr>
          <w:rFonts w:ascii="Century Gothic" w:hAnsi="Century Gothic"/>
          <w:b/>
          <w:bCs/>
          <w:color w:val="000000"/>
          <w:sz w:val="22"/>
          <w:szCs w:val="22"/>
        </w:rPr>
        <w:t xml:space="preserve"> </w:t>
      </w:r>
      <w:r w:rsidR="005819DD" w:rsidRPr="0021761B">
        <w:rPr>
          <w:rFonts w:ascii="Century Gothic" w:hAnsi="Century Gothic"/>
          <w:b/>
          <w:bCs/>
          <w:color w:val="000000"/>
          <w:sz w:val="22"/>
          <w:szCs w:val="22"/>
        </w:rPr>
        <w:t>de</w:t>
      </w:r>
      <w:r w:rsidR="0021761B">
        <w:rPr>
          <w:rFonts w:ascii="Century Gothic" w:hAnsi="Century Gothic"/>
          <w:b/>
          <w:bCs/>
          <w:color w:val="000000"/>
          <w:sz w:val="22"/>
          <w:szCs w:val="22"/>
        </w:rPr>
        <w:t xml:space="preserve"> acuerdo con</w:t>
      </w:r>
      <w:r w:rsidR="0021761B" w:rsidRPr="0021761B">
        <w:rPr>
          <w:rFonts w:ascii="Century Gothic" w:hAnsi="Century Gothic"/>
          <w:b/>
          <w:bCs/>
          <w:color w:val="000000"/>
          <w:sz w:val="22"/>
          <w:szCs w:val="22"/>
        </w:rPr>
        <w:t xml:space="preserve"> el último censo del Instituto Nacional de Estadística y Geografía</w:t>
      </w:r>
      <w:r w:rsidR="00654C18">
        <w:rPr>
          <w:rFonts w:ascii="Century Gothic" w:hAnsi="Century Gothic"/>
          <w:b/>
          <w:bCs/>
          <w:color w:val="000000"/>
          <w:sz w:val="22"/>
          <w:szCs w:val="22"/>
        </w:rPr>
        <w:t xml:space="preserve">. 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 xml:space="preserve">El Presupuesto integrado </w:t>
      </w:r>
      <w:r w:rsidR="00DB3F07" w:rsidRPr="00FF45FB">
        <w:rPr>
          <w:rFonts w:ascii="Century Gothic" w:hAnsi="Century Gothic"/>
          <w:b/>
          <w:bCs/>
          <w:color w:val="000000"/>
          <w:sz w:val="22"/>
          <w:szCs w:val="22"/>
        </w:rPr>
        <w:t xml:space="preserve">se 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>publica</w:t>
      </w:r>
      <w:r w:rsidR="00DB3F07" w:rsidRPr="00FF45FB">
        <w:rPr>
          <w:rFonts w:ascii="Century Gothic" w:hAnsi="Century Gothic"/>
          <w:b/>
          <w:bCs/>
          <w:color w:val="000000"/>
          <w:sz w:val="22"/>
          <w:szCs w:val="22"/>
        </w:rPr>
        <w:t>rá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 xml:space="preserve"> en el portal de transparencia municipal</w:t>
      </w:r>
      <w:r w:rsidR="00654C18">
        <w:rPr>
          <w:rFonts w:ascii="Century Gothic" w:hAnsi="Century Gothic"/>
          <w:b/>
          <w:bCs/>
          <w:color w:val="000000"/>
          <w:sz w:val="22"/>
          <w:szCs w:val="22"/>
        </w:rPr>
        <w:t xml:space="preserve">, </w:t>
      </w:r>
      <w:r w:rsidR="00DB3F07" w:rsidRPr="00FF45FB">
        <w:rPr>
          <w:rFonts w:ascii="Century Gothic" w:hAnsi="Century Gothic"/>
          <w:b/>
          <w:bCs/>
          <w:color w:val="000000"/>
          <w:sz w:val="22"/>
          <w:szCs w:val="22"/>
        </w:rPr>
        <w:t>incluyendo el</w:t>
      </w:r>
      <w:r w:rsidR="00DB3F07" w:rsidRPr="00DB3F07">
        <w:rPr>
          <w:rFonts w:ascii="Century Gothic" w:hAnsi="Century Gothic"/>
          <w:b/>
          <w:bCs/>
          <w:color w:val="000000"/>
          <w:sz w:val="22"/>
          <w:szCs w:val="22"/>
        </w:rPr>
        <w:t xml:space="preserve"> desglose por sección. </w:t>
      </w:r>
    </w:p>
    <w:p w14:paraId="6E65A3BD" w14:textId="77777777" w:rsidR="00C24B2F" w:rsidRPr="007241A6" w:rsidRDefault="00C24B2F" w:rsidP="00C24B2F">
      <w:pPr>
        <w:spacing w:before="240" w:after="240" w:line="360" w:lineRule="auto"/>
        <w:jc w:val="center"/>
        <w:rPr>
          <w:rFonts w:ascii="Century Gothic" w:eastAsia="Century Gothic" w:hAnsi="Century Gothic" w:cs="Century Gothic"/>
          <w:b/>
          <w:bCs/>
          <w:highlight w:val="white"/>
          <w:lang w:val="en-US"/>
        </w:rPr>
      </w:pPr>
      <w:r w:rsidRPr="007241A6">
        <w:rPr>
          <w:rFonts w:ascii="Century Gothic" w:eastAsia="Century Gothic" w:hAnsi="Century Gothic" w:cs="Century Gothic"/>
          <w:b/>
          <w:bCs/>
          <w:highlight w:val="white"/>
          <w:lang w:val="en-US"/>
        </w:rPr>
        <w:t>T R A N S I T O R I O S.</w:t>
      </w:r>
    </w:p>
    <w:p w14:paraId="4C47830B" w14:textId="47A738DE" w:rsidR="00C24B2F" w:rsidRDefault="00654C18" w:rsidP="0091448B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ÚNICO</w:t>
      </w:r>
      <w:r w:rsidR="00C24B2F">
        <w:rPr>
          <w:rFonts w:ascii="Century Gothic" w:eastAsia="Century Gothic" w:hAnsi="Century Gothic" w:cs="Century Gothic"/>
          <w:b/>
        </w:rPr>
        <w:t xml:space="preserve">. </w:t>
      </w:r>
      <w:r w:rsidR="00C24B2F">
        <w:rPr>
          <w:rFonts w:ascii="Century Gothic" w:eastAsia="Century Gothic" w:hAnsi="Century Gothic" w:cs="Century Gothic"/>
        </w:rPr>
        <w:t xml:space="preserve">El presente Decreto entrará en vigor al día siguientes de su publicación en el Periódico Oficial del </w:t>
      </w:r>
      <w:r w:rsidR="00444252">
        <w:rPr>
          <w:rFonts w:ascii="Century Gothic" w:eastAsia="Century Gothic" w:hAnsi="Century Gothic" w:cs="Century Gothic"/>
        </w:rPr>
        <w:t xml:space="preserve">Estado; las disposiciones referentes a la planeación presupuestal </w:t>
      </w:r>
      <w:r>
        <w:rPr>
          <w:rFonts w:ascii="Century Gothic" w:eastAsia="Century Gothic" w:hAnsi="Century Gothic" w:cs="Century Gothic"/>
        </w:rPr>
        <w:t>será</w:t>
      </w:r>
      <w:r w:rsidR="00444252"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</w:rPr>
        <w:t xml:space="preserve"> aplicable</w:t>
      </w:r>
      <w:r w:rsidR="00444252"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</w:rPr>
        <w:t xml:space="preserve"> a partir </w:t>
      </w:r>
      <w:r w:rsidR="00444252">
        <w:rPr>
          <w:rFonts w:ascii="Century Gothic" w:eastAsia="Century Gothic" w:hAnsi="Century Gothic" w:cs="Century Gothic"/>
        </w:rPr>
        <w:t>del año fiscal inmediato</w:t>
      </w:r>
      <w:r w:rsidR="00444252" w:rsidRPr="00444252">
        <w:rPr>
          <w:rFonts w:ascii="Century Gothic" w:eastAsia="Century Gothic" w:hAnsi="Century Gothic" w:cs="Century Gothic"/>
        </w:rPr>
        <w:t xml:space="preserve"> </w:t>
      </w:r>
      <w:r w:rsidR="00444252">
        <w:rPr>
          <w:rFonts w:ascii="Century Gothic" w:eastAsia="Century Gothic" w:hAnsi="Century Gothic" w:cs="Century Gothic"/>
        </w:rPr>
        <w:t>siguiente.</w:t>
      </w:r>
    </w:p>
    <w:p w14:paraId="6E7B20B9" w14:textId="4A21775D" w:rsidR="00C24B2F" w:rsidRDefault="00C24B2F" w:rsidP="00C24B2F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lastRenderedPageBreak/>
        <w:t xml:space="preserve">ECONÓMICO. - </w:t>
      </w:r>
      <w:r>
        <w:rPr>
          <w:rFonts w:ascii="Century Gothic" w:eastAsia="Century Gothic" w:hAnsi="Century Gothic" w:cs="Century Gothic"/>
        </w:rPr>
        <w:t>Aprobado que sea, túrnese a la Secretaría de Asuntos Legislativos y Jurídicos para que elabore la minuta de DECRETO, en los términos en que deba publicarse.</w:t>
      </w:r>
    </w:p>
    <w:p w14:paraId="00ED0647" w14:textId="77777777" w:rsidR="00444252" w:rsidRDefault="00444252" w:rsidP="00C24B2F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</w:p>
    <w:p w14:paraId="04A35059" w14:textId="0B75A967" w:rsidR="00C24B2F" w:rsidRDefault="00C24B2F" w:rsidP="00C24B2F">
      <w:pPr>
        <w:spacing w:before="240" w:after="240"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 A D O</w:t>
      </w:r>
      <w:r>
        <w:rPr>
          <w:rFonts w:ascii="Century Gothic" w:eastAsia="Century Gothic" w:hAnsi="Century Gothic" w:cs="Century Gothic"/>
        </w:rPr>
        <w:t xml:space="preserve"> en el Salón de Sesiones del Poder Legislativo en la Ciudad de Chihuahua, Chih., a los 23 días del mes de octubre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del año dos mil veinticinco. </w:t>
      </w:r>
    </w:p>
    <w:p w14:paraId="1C344F43" w14:textId="77777777" w:rsidR="00551440" w:rsidRDefault="006A0F6D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ATENTAMENTE,</w:t>
      </w:r>
    </w:p>
    <w:p w14:paraId="1DD17A2F" w14:textId="4A0969DD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662F20DE" w14:textId="390CDFD5" w:rsidR="00444252" w:rsidRDefault="00444252">
      <w:pPr>
        <w:jc w:val="center"/>
        <w:rPr>
          <w:rFonts w:ascii="Century Gothic" w:eastAsia="Century Gothic" w:hAnsi="Century Gothic" w:cs="Century Gothic"/>
          <w:b/>
        </w:rPr>
      </w:pPr>
    </w:p>
    <w:p w14:paraId="3DF3B988" w14:textId="77777777" w:rsidR="00444252" w:rsidRDefault="00444252">
      <w:pPr>
        <w:jc w:val="center"/>
        <w:rPr>
          <w:rFonts w:ascii="Century Gothic" w:eastAsia="Century Gothic" w:hAnsi="Century Gothic" w:cs="Century Gothic"/>
          <w:b/>
        </w:rPr>
      </w:pPr>
    </w:p>
    <w:p w14:paraId="08492370" w14:textId="77777777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78E1224D" w14:textId="77777777" w:rsidR="00551440" w:rsidRDefault="006A0F6D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DIP. OSCAR DANIEL AVITIA ARELLANES.</w:t>
      </w:r>
    </w:p>
    <w:p w14:paraId="6FEDE106" w14:textId="77777777" w:rsidR="00551440" w:rsidRDefault="00551440">
      <w:pPr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7"/>
        <w:gridCol w:w="4411"/>
      </w:tblGrid>
      <w:tr w:rsidR="00551440" w14:paraId="5CE56C3D" w14:textId="77777777">
        <w:trPr>
          <w:trHeight w:val="1530"/>
        </w:trPr>
        <w:tc>
          <w:tcPr>
            <w:tcW w:w="4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A987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601A6DBE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Edin Cuauhtémoc Estrada Sotelo</w:t>
            </w:r>
          </w:p>
        </w:tc>
        <w:tc>
          <w:tcPr>
            <w:tcW w:w="4411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F9B9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67A91708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Magdalena Rentería Pérez</w:t>
            </w:r>
          </w:p>
        </w:tc>
      </w:tr>
      <w:tr w:rsidR="00551440" w14:paraId="50B6F337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544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E8CD648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Brenda Francisca Ríos Prieto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4680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16E54C6" w14:textId="41D312A4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Dip. Elizabeth </w:t>
            </w:r>
            <w:r w:rsidR="00380A4B"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Guzmán</w:t>
            </w: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Argueta</w:t>
            </w:r>
          </w:p>
        </w:tc>
      </w:tr>
      <w:tr w:rsidR="00551440" w14:paraId="0AA6018C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632B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lastRenderedPageBreak/>
              <w:t xml:space="preserve"> </w:t>
            </w:r>
          </w:p>
          <w:p w14:paraId="51F22876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Edith Palma Ontiveros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076A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72B45176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Herminia Gómez Carrasco</w:t>
            </w:r>
          </w:p>
        </w:tc>
      </w:tr>
      <w:tr w:rsidR="00551440" w14:paraId="45357C28" w14:textId="77777777">
        <w:trPr>
          <w:trHeight w:val="153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1E12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230C5396" w14:textId="2006198B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Dip. Leticia Ortega </w:t>
            </w:r>
            <w:r w:rsidR="00380A4B"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Máynez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5A11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3B5EF6F9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María Antonieta Pérez Reyes</w:t>
            </w:r>
          </w:p>
        </w:tc>
      </w:tr>
      <w:tr w:rsidR="00551440" w14:paraId="69257EA5" w14:textId="77777777">
        <w:trPr>
          <w:trHeight w:val="2010"/>
        </w:trPr>
        <w:tc>
          <w:tcPr>
            <w:tcW w:w="4426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F23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16A1AA43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Jael Argüelles Díaz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843C" w14:textId="77777777" w:rsidR="00551440" w:rsidRDefault="006A0F6D">
            <w:pPr>
              <w:spacing w:before="240" w:after="12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  <w:p w14:paraId="4896DEF8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   Dip. Pedro Torres Estrada</w:t>
            </w:r>
          </w:p>
          <w:p w14:paraId="5EF49C85" w14:textId="77777777" w:rsidR="00551440" w:rsidRDefault="006A0F6D">
            <w:pPr>
              <w:spacing w:before="240" w:after="240" w:line="360" w:lineRule="auto"/>
              <w:jc w:val="center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 xml:space="preserve"> </w:t>
            </w:r>
          </w:p>
        </w:tc>
      </w:tr>
      <w:tr w:rsidR="00551440" w14:paraId="4B5830F9" w14:textId="77777777">
        <w:trPr>
          <w:trHeight w:val="930"/>
        </w:trPr>
        <w:tc>
          <w:tcPr>
            <w:tcW w:w="8837" w:type="dxa"/>
            <w:gridSpan w:val="2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6219" w14:textId="77777777" w:rsidR="00551440" w:rsidRDefault="006A0F6D">
            <w:pPr>
              <w:spacing w:before="240" w:after="120" w:line="360" w:lineRule="auto"/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</w:pPr>
            <w:r>
              <w:rPr>
                <w:rFonts w:ascii="Century Gothic" w:eastAsia="Century Gothic" w:hAnsi="Century Gothic" w:cs="Century Gothic"/>
                <w:b/>
                <w:shd w:val="clear" w:color="auto" w:fill="FEFFFF"/>
              </w:rPr>
              <w:t>Dip. Rosana Díaz Reyes</w:t>
            </w:r>
          </w:p>
        </w:tc>
      </w:tr>
    </w:tbl>
    <w:p w14:paraId="115B9CC6" w14:textId="77777777" w:rsidR="00551440" w:rsidRDefault="00551440">
      <w:pPr>
        <w:jc w:val="center"/>
        <w:rPr>
          <w:rFonts w:ascii="Century Gothic" w:eastAsia="Century Gothic" w:hAnsi="Century Gothic" w:cs="Century Gothic"/>
          <w:b/>
        </w:rPr>
      </w:pPr>
    </w:p>
    <w:p w14:paraId="029A0304" w14:textId="77777777" w:rsidR="00551440" w:rsidRDefault="00551440">
      <w:pPr>
        <w:spacing w:after="240"/>
        <w:rPr>
          <w:rFonts w:ascii="Century Gothic" w:eastAsia="Century Gothic" w:hAnsi="Century Gothic" w:cs="Century Gothic"/>
        </w:rPr>
      </w:pPr>
    </w:p>
    <w:p w14:paraId="697274EF" w14:textId="77777777" w:rsidR="00551440" w:rsidRDefault="00551440">
      <w:pPr>
        <w:spacing w:after="240"/>
        <w:rPr>
          <w:rFonts w:ascii="Century Gothic" w:eastAsia="Century Gothic" w:hAnsi="Century Gothic" w:cs="Century Gothic"/>
        </w:rPr>
      </w:pPr>
    </w:p>
    <w:p w14:paraId="66FCF5C7" w14:textId="77777777" w:rsidR="00551440" w:rsidRDefault="006A0F6D">
      <w:pPr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</w:p>
    <w:sectPr w:rsidR="00551440" w:rsidSect="005819DD">
      <w:headerReference w:type="default" r:id="rId8"/>
      <w:footerReference w:type="default" r:id="rId9"/>
      <w:pgSz w:w="12240" w:h="15840"/>
      <w:pgMar w:top="2835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8583C" w14:textId="77777777" w:rsidR="006A0F6D" w:rsidRDefault="006A0F6D">
      <w:r>
        <w:separator/>
      </w:r>
    </w:p>
  </w:endnote>
  <w:endnote w:type="continuationSeparator" w:id="0">
    <w:p w14:paraId="49311AB2" w14:textId="77777777" w:rsidR="006A0F6D" w:rsidRDefault="006A0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957C24-F139-45EA-86F6-25B32C473ACA}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FC2FF09-D858-4423-B3EA-6D0AB463A1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EF23BD-9D11-4439-B354-BE5E695D47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121AC8-FA10-4BF6-A403-ED7499DD530E}"/>
    <w:embedItalic r:id="rId5" w:fontKey="{4979E211-666B-48FE-9C33-A09046E1F12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8C7EF9F-D4B4-4FEC-BEE8-A23AA343A66B}"/>
    <w:embedBold r:id="rId7" w:fontKey="{56A6412A-1204-4F4A-B23A-75D48D683EE3}"/>
    <w:embedItalic r:id="rId8" w:fontKey="{42D53684-3245-4052-9C82-24866BB5FE7E}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9" w:fontKey="{A82ED8C7-7D3E-4181-9F37-95614172CA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6A3B" w14:textId="77777777" w:rsidR="00551440" w:rsidRDefault="006A0F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 xml:space="preserve">pág.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380A4B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1A89408A" w14:textId="77777777" w:rsidR="00551440" w:rsidRDefault="005514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1D769" w14:textId="77777777" w:rsidR="006A0F6D" w:rsidRDefault="006A0F6D">
      <w:r>
        <w:separator/>
      </w:r>
    </w:p>
  </w:footnote>
  <w:footnote w:type="continuationSeparator" w:id="0">
    <w:p w14:paraId="46A27A0B" w14:textId="77777777" w:rsidR="006A0F6D" w:rsidRDefault="006A0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F141" w14:textId="77777777" w:rsidR="00D42C83" w:rsidRDefault="00D42C83" w:rsidP="00D42C83">
    <w:pPr>
      <w:ind w:left="1" w:hanging="3"/>
      <w:jc w:val="right"/>
      <w:rPr>
        <w:rFonts w:ascii="Rage Italic" w:eastAsia="Rage Italic" w:hAnsi="Rage Italic" w:cs="Rage Italic"/>
        <w:color w:val="000000"/>
        <w:sz w:val="28"/>
        <w:szCs w:val="28"/>
      </w:rPr>
    </w:pPr>
  </w:p>
  <w:p w14:paraId="118F3208" w14:textId="77777777" w:rsidR="00D42C83" w:rsidRDefault="00D42C83" w:rsidP="00D42C83">
    <w:pPr>
      <w:ind w:left="1" w:hanging="3"/>
      <w:jc w:val="right"/>
      <w:rPr>
        <w:rFonts w:ascii="Rage Italic" w:eastAsia="Rage Italic" w:hAnsi="Rage Italic" w:cs="Rage Italic"/>
        <w:color w:val="000000"/>
        <w:sz w:val="28"/>
        <w:szCs w:val="28"/>
      </w:rPr>
    </w:pPr>
  </w:p>
  <w:p w14:paraId="6D68FF53" w14:textId="5CBB1E88" w:rsidR="00551440" w:rsidRDefault="006A0F6D" w:rsidP="00D42C83">
    <w:pPr>
      <w:ind w:left="1" w:hanging="3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5D5F5FDB" wp14:editId="2EED3D29">
          <wp:extent cx="810577" cy="810577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577" cy="8105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18086A" w14:textId="77777777" w:rsidR="00551440" w:rsidRDefault="005514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0741D"/>
    <w:multiLevelType w:val="multilevel"/>
    <w:tmpl w:val="8B70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D14CCD"/>
    <w:multiLevelType w:val="hybridMultilevel"/>
    <w:tmpl w:val="F70419F4"/>
    <w:lvl w:ilvl="0" w:tplc="BCEADC8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40"/>
    <w:rsid w:val="00001E57"/>
    <w:rsid w:val="0021761B"/>
    <w:rsid w:val="00246B19"/>
    <w:rsid w:val="0029181A"/>
    <w:rsid w:val="003309AC"/>
    <w:rsid w:val="00380A4B"/>
    <w:rsid w:val="00424E91"/>
    <w:rsid w:val="00444252"/>
    <w:rsid w:val="00551440"/>
    <w:rsid w:val="005819DD"/>
    <w:rsid w:val="005D059E"/>
    <w:rsid w:val="00606AE6"/>
    <w:rsid w:val="00654C18"/>
    <w:rsid w:val="006A0F6D"/>
    <w:rsid w:val="00766096"/>
    <w:rsid w:val="007B64FB"/>
    <w:rsid w:val="008309D5"/>
    <w:rsid w:val="0091448B"/>
    <w:rsid w:val="009A100D"/>
    <w:rsid w:val="009E5792"/>
    <w:rsid w:val="00B06AE7"/>
    <w:rsid w:val="00B16AE8"/>
    <w:rsid w:val="00C24B2F"/>
    <w:rsid w:val="00D42C83"/>
    <w:rsid w:val="00DB3F07"/>
    <w:rsid w:val="00FF45FB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8C56C"/>
  <w15:docId w15:val="{FCA78D34-48A3-5346-9AD6-7A19BCCA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Ttulo1">
    <w:name w:val="heading 1"/>
    <w:basedOn w:val="Normal"/>
    <w:link w:val="Ttulo1Car"/>
    <w:uiPriority w:val="9"/>
    <w:qFormat/>
    <w:rsid w:val="00F0073E"/>
    <w:pPr>
      <w:widowControl w:val="0"/>
      <w:autoSpaceDE w:val="0"/>
      <w:autoSpaceDN w:val="0"/>
      <w:spacing w:before="9"/>
      <w:ind w:left="134"/>
      <w:outlineLvl w:val="0"/>
    </w:pPr>
    <w:rPr>
      <w:rFonts w:ascii="Arial MT" w:eastAsia="Arial MT" w:hAnsi="Arial MT" w:cs="Arial MT"/>
      <w:sz w:val="25"/>
      <w:szCs w:val="25"/>
      <w:lang w:val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4F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F0073E"/>
    <w:rPr>
      <w:rFonts w:ascii="Arial MT" w:eastAsia="Arial MT" w:hAnsi="Arial MT" w:cs="Arial MT"/>
      <w:sz w:val="25"/>
      <w:szCs w:val="25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953C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53C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953C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953C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2E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E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0D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0DC5"/>
  </w:style>
  <w:style w:type="paragraph" w:styleId="Piedepgina">
    <w:name w:val="footer"/>
    <w:basedOn w:val="Normal"/>
    <w:link w:val="PiedepginaCar"/>
    <w:uiPriority w:val="99"/>
    <w:unhideWhenUsed/>
    <w:rsid w:val="00570D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DC5"/>
  </w:style>
  <w:style w:type="table" w:styleId="Tablaconcuadrcula">
    <w:name w:val="Table Grid"/>
    <w:basedOn w:val="Tablanormal"/>
    <w:uiPriority w:val="39"/>
    <w:rsid w:val="00F5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065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C2022"/>
    <w:rPr>
      <w:color w:val="954F72" w:themeColor="followedHyperlink"/>
      <w:u w:val="single"/>
    </w:rPr>
  </w:style>
  <w:style w:type="paragraph" w:styleId="Prrafodelista">
    <w:name w:val="List Paragraph"/>
    <w:aliases w:val="Imagen,Tabla de contenido"/>
    <w:basedOn w:val="Normal"/>
    <w:link w:val="PrrafodelistaCar"/>
    <w:uiPriority w:val="34"/>
    <w:qFormat/>
    <w:rsid w:val="00CF3743"/>
    <w:pPr>
      <w:ind w:left="720"/>
      <w:contextualSpacing/>
    </w:pPr>
  </w:style>
  <w:style w:type="character" w:customStyle="1" w:styleId="PrrafodelistaCar">
    <w:name w:val="Párrafo de lista Car"/>
    <w:aliases w:val="Imagen Car,Tabla de contenido Car"/>
    <w:link w:val="Prrafodelista"/>
    <w:uiPriority w:val="34"/>
    <w:locked/>
    <w:rsid w:val="004A6D84"/>
  </w:style>
  <w:style w:type="paragraph" w:customStyle="1" w:styleId="TableParagraph">
    <w:name w:val="Table Paragraph"/>
    <w:basedOn w:val="Normal"/>
    <w:uiPriority w:val="1"/>
    <w:qFormat/>
    <w:rsid w:val="00F0073E"/>
    <w:pPr>
      <w:widowControl w:val="0"/>
      <w:autoSpaceDE w:val="0"/>
      <w:autoSpaceDN w:val="0"/>
    </w:pPr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0073E"/>
    <w:pPr>
      <w:widowControl w:val="0"/>
      <w:autoSpaceDE w:val="0"/>
      <w:autoSpaceDN w:val="0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073E"/>
    <w:rPr>
      <w:rFonts w:ascii="Arial MT" w:eastAsia="Arial MT" w:hAnsi="Arial MT" w:cs="Arial MT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49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49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49E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49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49E5"/>
    <w:rPr>
      <w:b/>
      <w:bCs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4FA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037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0373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030373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262EDE"/>
    <w:rPr>
      <w:b/>
      <w:bCs/>
    </w:rPr>
  </w:style>
  <w:style w:type="paragraph" w:styleId="NormalWeb">
    <w:name w:val="Normal (Web)"/>
    <w:basedOn w:val="Normal"/>
    <w:uiPriority w:val="99"/>
    <w:unhideWhenUsed/>
    <w:rsid w:val="00262ED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435E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-indent">
    <w:name w:val="no-indent"/>
    <w:basedOn w:val="Normal"/>
    <w:rsid w:val="00D870D5"/>
    <w:pPr>
      <w:spacing w:before="100" w:beforeAutospacing="1" w:after="100" w:afterAutospacing="1"/>
    </w:pPr>
  </w:style>
  <w:style w:type="character" w:customStyle="1" w:styleId="credito">
    <w:name w:val="credito"/>
    <w:basedOn w:val="Fuentedeprrafopredeter"/>
    <w:rsid w:val="00D870D5"/>
  </w:style>
  <w:style w:type="character" w:styleId="nfasis">
    <w:name w:val="Emphasis"/>
    <w:basedOn w:val="Fuentedeprrafopredeter"/>
    <w:uiPriority w:val="20"/>
    <w:qFormat/>
    <w:rsid w:val="00691835"/>
    <w:rPr>
      <w:i/>
      <w:iCs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PA4R/kqXnGZi6Mh+mNMli1BeQ==">CgMxLjA4AHIhMUNFdm9iZUFfWEtRMmFYR1hiQ3JOdmhQUk5nWG5XSVlj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1371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Cruces Franco</dc:creator>
  <cp:lastModifiedBy>Andrea Daniela Flores Chacon</cp:lastModifiedBy>
  <cp:revision>2</cp:revision>
  <dcterms:created xsi:type="dcterms:W3CDTF">2025-10-22T20:56:00Z</dcterms:created>
  <dcterms:modified xsi:type="dcterms:W3CDTF">2025-10-22T20:56:00Z</dcterms:modified>
</cp:coreProperties>
</file>