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6AA416B9" w14:textId="2B8613EF" w:rsidR="008B55F9" w:rsidRPr="008B55F9" w:rsidRDefault="008B55F9" w:rsidP="008B55F9">
      <w:pPr>
        <w:spacing w:after="160" w:line="259" w:lineRule="auto"/>
        <w:jc w:val="both"/>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H. CONGRESO DEL ESTADO DE CHIHUAHUA</w:t>
      </w:r>
    </w:p>
    <w:p w14:paraId="490D1B62" w14:textId="51B78680" w:rsidR="008B55F9" w:rsidRPr="008B55F9" w:rsidRDefault="008B55F9" w:rsidP="008B55F9">
      <w:pPr>
        <w:spacing w:after="160" w:line="259" w:lineRule="auto"/>
        <w:jc w:val="both"/>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 xml:space="preserve">PRESENTE. – </w:t>
      </w:r>
    </w:p>
    <w:p w14:paraId="3F2E354E" w14:textId="583E4F63" w:rsidR="00E26596" w:rsidRDefault="008B55F9" w:rsidP="00823A58">
      <w:pPr>
        <w:jc w:val="both"/>
        <w:rPr>
          <w:rFonts w:ascii="Century Gothic" w:hAnsi="Century Gothic"/>
          <w:sz w:val="28"/>
          <w:szCs w:val="24"/>
        </w:rPr>
      </w:pPr>
      <w:r w:rsidRPr="008B55F9">
        <w:rPr>
          <w:rFonts w:ascii="Century Gothic" w:eastAsiaTheme="minorHAnsi" w:hAnsi="Century Gothic" w:cstheme="minorBidi"/>
          <w:sz w:val="28"/>
          <w:szCs w:val="24"/>
          <w:lang w:val="es-MX"/>
        </w:rPr>
        <w:t xml:space="preserve">Los suscritos en nuestro carácter de diputadas y diputados de la </w:t>
      </w:r>
      <w:r w:rsidRPr="008B55F9">
        <w:rPr>
          <w:rFonts w:ascii="Century Gothic" w:eastAsiaTheme="minorHAnsi" w:hAnsi="Century Gothic" w:cstheme="minorBidi"/>
          <w:b/>
          <w:sz w:val="28"/>
          <w:szCs w:val="24"/>
          <w:lang w:val="es-MX"/>
        </w:rPr>
        <w:t>Sexagésima Octava Legislatura</w:t>
      </w:r>
      <w:r w:rsidRPr="008B55F9">
        <w:rPr>
          <w:rFonts w:ascii="Century Gothic" w:eastAsiaTheme="minorHAnsi" w:hAnsi="Century Gothic" w:cstheme="minorBidi"/>
          <w:sz w:val="28"/>
          <w:szCs w:val="24"/>
          <w:lang w:val="es-MX"/>
        </w:rPr>
        <w:t xml:space="preserve"> de H. Congreso del Estado de Chihuahua integrantes del </w:t>
      </w:r>
      <w:r w:rsidRPr="008B55F9">
        <w:rPr>
          <w:rFonts w:ascii="Century Gothic" w:eastAsiaTheme="minorHAnsi" w:hAnsi="Century Gothic" w:cstheme="minorBidi"/>
          <w:b/>
          <w:sz w:val="28"/>
          <w:szCs w:val="24"/>
          <w:lang w:val="es-MX"/>
        </w:rPr>
        <w:t>Grupo Parlamentario de MORENA</w:t>
      </w:r>
      <w:r w:rsidRPr="008B55F9">
        <w:rPr>
          <w:rFonts w:ascii="Century Gothic" w:eastAsiaTheme="minorHAnsi" w:hAnsi="Century Gothic" w:cstheme="minorBidi"/>
          <w:sz w:val="28"/>
          <w:szCs w:val="24"/>
          <w:lang w:val="es-MX"/>
        </w:rPr>
        <w:t xml:space="preserve"> con fundamento en los artículos 169 de la Ley Orgánica y artículo 2, fracción IX del Reglamento Interior y de Prácticas Parlamentarias ambos del Poder Legislativo, comparezco ante esta Soberanía, a fin de presentar la </w:t>
      </w:r>
      <w:bookmarkStart w:id="0" w:name="_Hlk210824261"/>
      <w:r w:rsidRPr="008B55F9">
        <w:rPr>
          <w:rFonts w:ascii="Century Gothic" w:eastAsiaTheme="minorHAnsi" w:hAnsi="Century Gothic" w:cstheme="minorBidi"/>
          <w:b/>
          <w:sz w:val="28"/>
          <w:szCs w:val="24"/>
          <w:lang w:val="es-MX"/>
        </w:rPr>
        <w:t>Proposición con Carácter de Punto de Acuerdo</w:t>
      </w:r>
      <w:r w:rsidRPr="008B55F9">
        <w:rPr>
          <w:rFonts w:ascii="Century Gothic" w:eastAsiaTheme="minorHAnsi" w:hAnsi="Century Gothic" w:cstheme="minorBidi"/>
          <w:sz w:val="28"/>
          <w:szCs w:val="24"/>
          <w:lang w:val="es-MX"/>
        </w:rPr>
        <w:t xml:space="preserve"> con el propósito de </w:t>
      </w:r>
      <w:r w:rsidRPr="008B55F9">
        <w:rPr>
          <w:rFonts w:ascii="Century Gothic" w:eastAsiaTheme="minorHAnsi" w:hAnsi="Century Gothic" w:cstheme="minorBidi"/>
          <w:b/>
          <w:sz w:val="28"/>
          <w:szCs w:val="24"/>
          <w:lang w:val="es-MX"/>
        </w:rPr>
        <w:t>exhortar</w:t>
      </w:r>
      <w:r w:rsidRPr="008B55F9">
        <w:rPr>
          <w:rFonts w:ascii="Century Gothic" w:eastAsiaTheme="minorHAnsi" w:hAnsi="Century Gothic" w:cstheme="minorBidi"/>
          <w:sz w:val="28"/>
          <w:szCs w:val="24"/>
          <w:lang w:val="es-MX"/>
        </w:rPr>
        <w:t xml:space="preserve"> </w:t>
      </w:r>
      <w:r w:rsidR="00F5323E" w:rsidRPr="00F5323E">
        <w:rPr>
          <w:rFonts w:ascii="Century Gothic" w:eastAsiaTheme="minorHAnsi" w:hAnsi="Century Gothic" w:cstheme="minorBidi"/>
          <w:sz w:val="28"/>
          <w:szCs w:val="24"/>
          <w:lang w:val="es-MX"/>
        </w:rPr>
        <w:t xml:space="preserve">a la </w:t>
      </w:r>
      <w:r w:rsidR="00A94CC4">
        <w:rPr>
          <w:rFonts w:ascii="Century Gothic" w:eastAsiaTheme="minorHAnsi" w:hAnsi="Century Gothic" w:cstheme="minorBidi"/>
          <w:b/>
          <w:sz w:val="28"/>
          <w:szCs w:val="24"/>
          <w:lang w:val="es-MX"/>
        </w:rPr>
        <w:t>Secretaría de Seguridad Pública del Estado</w:t>
      </w:r>
      <w:r w:rsidR="00F5323E" w:rsidRPr="00F5323E">
        <w:rPr>
          <w:rFonts w:ascii="Century Gothic" w:eastAsiaTheme="minorHAnsi" w:hAnsi="Century Gothic" w:cstheme="minorBidi"/>
          <w:sz w:val="28"/>
          <w:szCs w:val="24"/>
          <w:lang w:val="es-MX"/>
        </w:rPr>
        <w:t xml:space="preserve"> para que,</w:t>
      </w:r>
      <w:r w:rsidR="00925C10">
        <w:rPr>
          <w:rFonts w:ascii="Century Gothic" w:eastAsiaTheme="minorHAnsi" w:hAnsi="Century Gothic" w:cstheme="minorBidi"/>
          <w:sz w:val="28"/>
          <w:szCs w:val="24"/>
          <w:lang w:val="es-MX"/>
        </w:rPr>
        <w:t xml:space="preserve"> </w:t>
      </w:r>
      <w:bookmarkEnd w:id="0"/>
      <w:r w:rsidR="00A94CC4" w:rsidRPr="00A94CC4">
        <w:rPr>
          <w:rFonts w:ascii="Century Gothic" w:eastAsiaTheme="minorHAnsi" w:hAnsi="Century Gothic" w:cstheme="minorBidi"/>
          <w:sz w:val="28"/>
          <w:szCs w:val="24"/>
          <w:lang w:val="es-MX"/>
        </w:rPr>
        <w:t xml:space="preserve">a través de la </w:t>
      </w:r>
      <w:r w:rsidR="00DD55EF" w:rsidRPr="00DD55EF">
        <w:rPr>
          <w:rFonts w:ascii="Century Gothic" w:eastAsiaTheme="minorHAnsi" w:hAnsi="Century Gothic" w:cstheme="minorBidi"/>
          <w:sz w:val="28"/>
          <w:szCs w:val="24"/>
          <w:lang w:val="es-MX"/>
        </w:rPr>
        <w:t>Subsecretaría de Movilidad de Estado</w:t>
      </w:r>
      <w:r w:rsidR="00A94CC4" w:rsidRPr="00A94CC4">
        <w:rPr>
          <w:rFonts w:ascii="Century Gothic" w:eastAsiaTheme="minorHAnsi" w:hAnsi="Century Gothic" w:cstheme="minorBidi"/>
          <w:sz w:val="28"/>
          <w:szCs w:val="24"/>
          <w:lang w:val="es-MX"/>
        </w:rPr>
        <w:t xml:space="preserve">, adopte medidas en la </w:t>
      </w:r>
      <w:r w:rsidR="00A94CC4" w:rsidRPr="00A94CC4">
        <w:rPr>
          <w:rFonts w:ascii="Century Gothic" w:eastAsiaTheme="minorHAnsi" w:hAnsi="Century Gothic" w:cstheme="minorBidi"/>
          <w:b/>
          <w:sz w:val="28"/>
          <w:szCs w:val="24"/>
          <w:lang w:val="es-MX"/>
        </w:rPr>
        <w:t xml:space="preserve">expedición de permisos especiales para personas con discapacidad y la vigencia del permiso sea prolongada </w:t>
      </w:r>
      <w:r w:rsidR="00A94CC4" w:rsidRPr="00A94CC4">
        <w:rPr>
          <w:rFonts w:ascii="Century Gothic" w:eastAsiaTheme="minorHAnsi" w:hAnsi="Century Gothic" w:cstheme="minorBidi"/>
          <w:sz w:val="28"/>
          <w:szCs w:val="24"/>
          <w:lang w:val="es-MX"/>
        </w:rPr>
        <w:t>y acorde a la duración de la licencia de conducir</w:t>
      </w:r>
      <w:r w:rsidR="00A94CC4">
        <w:rPr>
          <w:rFonts w:ascii="Century Gothic" w:eastAsiaTheme="minorHAnsi" w:hAnsi="Century Gothic" w:cstheme="minorBidi"/>
          <w:sz w:val="28"/>
          <w:szCs w:val="24"/>
          <w:lang w:val="es-MX"/>
        </w:rPr>
        <w:t>,</w:t>
      </w:r>
      <w:r w:rsidR="00E26596">
        <w:rPr>
          <w:rFonts w:ascii="Century Gothic" w:eastAsiaTheme="minorHAnsi" w:hAnsi="Century Gothic" w:cstheme="minorBidi"/>
          <w:b/>
          <w:bCs/>
          <w:sz w:val="28"/>
          <w:szCs w:val="24"/>
          <w:lang w:val="es-MX"/>
        </w:rPr>
        <w:t xml:space="preserve"> </w:t>
      </w:r>
      <w:r w:rsidR="00E26596" w:rsidRPr="00C96651">
        <w:rPr>
          <w:rFonts w:ascii="Century Gothic" w:hAnsi="Century Gothic"/>
          <w:sz w:val="28"/>
          <w:szCs w:val="24"/>
        </w:rPr>
        <w:t xml:space="preserve">con sustento en la siguiente: </w:t>
      </w:r>
    </w:p>
    <w:p w14:paraId="16E05812" w14:textId="56C0D813" w:rsidR="008B55F9" w:rsidRPr="006C2284" w:rsidRDefault="008B55F9" w:rsidP="008B55F9">
      <w:pPr>
        <w:spacing w:after="160" w:line="259" w:lineRule="auto"/>
        <w:jc w:val="both"/>
        <w:rPr>
          <w:rFonts w:ascii="Century Gothic" w:eastAsiaTheme="minorHAnsi" w:hAnsi="Century Gothic" w:cstheme="minorBidi"/>
          <w:b/>
          <w:bCs/>
          <w:sz w:val="28"/>
          <w:szCs w:val="24"/>
          <w:lang w:val="es-MX"/>
        </w:rPr>
      </w:pPr>
    </w:p>
    <w:p w14:paraId="379F595F" w14:textId="77777777" w:rsidR="008B55F9" w:rsidRPr="008B55F9" w:rsidRDefault="008B55F9" w:rsidP="008B55F9">
      <w:pPr>
        <w:spacing w:after="160" w:line="259" w:lineRule="auto"/>
        <w:jc w:val="center"/>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EXPOSICIÓN DE MOTIVOS</w:t>
      </w:r>
    </w:p>
    <w:p w14:paraId="4E6467B8" w14:textId="77777777"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 xml:space="preserve">La Ley para la inclusión y el Desarrollo de las Personas con Discapacidad del Estado de Chihuahua, reconoce el derecho de accesibilidad, libre tránsito y desplazamiento, en condiciones de seguridad y dignidad en favor de las personas con discapacidad. </w:t>
      </w:r>
    </w:p>
    <w:p w14:paraId="31F968E2" w14:textId="77777777" w:rsidR="00E8139C" w:rsidRDefault="00E8139C" w:rsidP="00A94CC4">
      <w:pPr>
        <w:jc w:val="both"/>
        <w:rPr>
          <w:rFonts w:ascii="Century Gothic" w:eastAsiaTheme="minorHAnsi" w:hAnsi="Century Gothic" w:cstheme="minorBidi"/>
          <w:sz w:val="28"/>
          <w:lang w:val="es-MX"/>
        </w:rPr>
      </w:pPr>
    </w:p>
    <w:p w14:paraId="60081C91" w14:textId="77777777" w:rsidR="00E8139C"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 xml:space="preserve">Los llamados espacios azules son áreas de estacionamiento público reservadas para el uso exclusivo de personas con discapacidad, con el propósito de facilitar su movilidad y garantizar su derecho a transitar de manera libre, segura y accesible. Para hacer uso de estos </w:t>
      </w:r>
    </w:p>
    <w:p w14:paraId="630AF316" w14:textId="77777777" w:rsidR="00E8139C" w:rsidRDefault="00E8139C" w:rsidP="00A94CC4">
      <w:pPr>
        <w:jc w:val="both"/>
        <w:rPr>
          <w:rFonts w:ascii="Century Gothic" w:eastAsiaTheme="minorHAnsi" w:hAnsi="Century Gothic" w:cstheme="minorBidi"/>
          <w:sz w:val="28"/>
          <w:lang w:val="es-MX"/>
        </w:rPr>
      </w:pPr>
    </w:p>
    <w:p w14:paraId="7CEBD6A1" w14:textId="59035194"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 xml:space="preserve">espacios, las personas interesadas deben contar con placas o permisos especiales, los cuales son emitidos por las autoridades competentes, como la </w:t>
      </w:r>
      <w:r w:rsidR="009C443C">
        <w:rPr>
          <w:rFonts w:ascii="Century Gothic" w:eastAsiaTheme="minorHAnsi" w:hAnsi="Century Gothic" w:cstheme="minorBidi"/>
          <w:sz w:val="28"/>
          <w:lang w:val="es-MX"/>
        </w:rPr>
        <w:t>Subsecretaría de Movilidad del Estado</w:t>
      </w:r>
      <w:r w:rsidRPr="00A94CC4">
        <w:rPr>
          <w:rFonts w:ascii="Century Gothic" w:eastAsiaTheme="minorHAnsi" w:hAnsi="Century Gothic" w:cstheme="minorBidi"/>
          <w:sz w:val="28"/>
          <w:lang w:val="es-MX"/>
        </w:rPr>
        <w:t>, según el tipo de discapacidad y las condiciones particulares de cada caso.</w:t>
      </w:r>
    </w:p>
    <w:p w14:paraId="7E95E80E" w14:textId="7B657A99" w:rsid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De acuerdo con el Reglamento de la Ley de Vialidad y Tránsito para el Estado de Chihuahua, las personas con discapacidad tienen preferencia en el uso de las vías públicas, como una medida de accesibilidad.</w:t>
      </w:r>
    </w:p>
    <w:p w14:paraId="7F1D4A6C" w14:textId="77777777" w:rsidR="00E8139C" w:rsidRPr="00A94CC4" w:rsidRDefault="00E8139C" w:rsidP="00A94CC4">
      <w:pPr>
        <w:jc w:val="both"/>
        <w:rPr>
          <w:rFonts w:ascii="Century Gothic" w:eastAsiaTheme="minorHAnsi" w:hAnsi="Century Gothic" w:cstheme="minorBidi"/>
          <w:sz w:val="28"/>
          <w:lang w:val="es-MX"/>
        </w:rPr>
      </w:pPr>
    </w:p>
    <w:p w14:paraId="57F44DCE" w14:textId="77777777"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 xml:space="preserve">En la normativa estatal se contemplan </w:t>
      </w:r>
      <w:r w:rsidRPr="000F636B">
        <w:rPr>
          <w:rFonts w:ascii="Century Gothic" w:eastAsiaTheme="minorHAnsi" w:hAnsi="Century Gothic" w:cstheme="minorBidi"/>
          <w:b/>
          <w:sz w:val="28"/>
          <w:lang w:val="es-MX"/>
        </w:rPr>
        <w:t>dos tipos principales de autorización</w:t>
      </w:r>
      <w:r w:rsidRPr="00A94CC4">
        <w:rPr>
          <w:rFonts w:ascii="Century Gothic" w:eastAsiaTheme="minorHAnsi" w:hAnsi="Century Gothic" w:cstheme="minorBidi"/>
          <w:sz w:val="28"/>
          <w:lang w:val="es-MX"/>
        </w:rPr>
        <w:t>:</w:t>
      </w:r>
    </w:p>
    <w:p w14:paraId="5259C741" w14:textId="77777777" w:rsidR="00A94CC4" w:rsidRPr="000F636B" w:rsidRDefault="00A94CC4" w:rsidP="000F636B">
      <w:pPr>
        <w:pStyle w:val="Prrafodelista"/>
        <w:numPr>
          <w:ilvl w:val="0"/>
          <w:numId w:val="3"/>
        </w:numPr>
        <w:jc w:val="both"/>
        <w:rPr>
          <w:rFonts w:ascii="Century Gothic" w:eastAsiaTheme="minorHAnsi" w:hAnsi="Century Gothic" w:cstheme="minorBidi"/>
          <w:sz w:val="28"/>
          <w:lang w:val="es-MX"/>
        </w:rPr>
      </w:pPr>
      <w:r w:rsidRPr="000F636B">
        <w:rPr>
          <w:rFonts w:ascii="Century Gothic" w:eastAsiaTheme="minorHAnsi" w:hAnsi="Century Gothic" w:cstheme="minorBidi"/>
          <w:sz w:val="28"/>
          <w:lang w:val="es-MX"/>
        </w:rPr>
        <w:t>Las placas para vehículos de personas con discapacidad, las cuales expide la Secretaría de Hacienda cuando se trata de una discapacidad motriz permanente y el vehículo pertenece a la misma persona con discapacidad.</w:t>
      </w:r>
    </w:p>
    <w:p w14:paraId="593DE646" w14:textId="4E33DDF3" w:rsidR="00A94CC4" w:rsidRPr="000F636B" w:rsidRDefault="00A94CC4" w:rsidP="000F636B">
      <w:pPr>
        <w:pStyle w:val="Prrafodelista"/>
        <w:numPr>
          <w:ilvl w:val="0"/>
          <w:numId w:val="3"/>
        </w:numPr>
        <w:jc w:val="both"/>
        <w:rPr>
          <w:rFonts w:ascii="Century Gothic" w:eastAsiaTheme="minorHAnsi" w:hAnsi="Century Gothic" w:cstheme="minorBidi"/>
          <w:sz w:val="28"/>
          <w:lang w:val="es-MX"/>
        </w:rPr>
      </w:pPr>
      <w:r w:rsidRPr="000F636B">
        <w:rPr>
          <w:rFonts w:ascii="Century Gothic" w:eastAsiaTheme="minorHAnsi" w:hAnsi="Century Gothic" w:cstheme="minorBidi"/>
          <w:sz w:val="28"/>
          <w:lang w:val="es-MX"/>
        </w:rPr>
        <w:t xml:space="preserve">Los permisos especiales de discapacidad, que son otorgados por la </w:t>
      </w:r>
      <w:r w:rsidR="007C2E14">
        <w:rPr>
          <w:rFonts w:ascii="Century Gothic" w:eastAsiaTheme="minorHAnsi" w:hAnsi="Century Gothic" w:cstheme="minorBidi"/>
          <w:sz w:val="28"/>
          <w:lang w:val="es-MX"/>
        </w:rPr>
        <w:t>autoridad</w:t>
      </w:r>
      <w:r w:rsidRPr="000F636B">
        <w:rPr>
          <w:rFonts w:ascii="Century Gothic" w:eastAsiaTheme="minorHAnsi" w:hAnsi="Century Gothic" w:cstheme="minorBidi"/>
          <w:sz w:val="28"/>
          <w:lang w:val="es-MX"/>
        </w:rPr>
        <w:t xml:space="preserve"> correspondiente. Estos permisos se expiden para un solo vehículo y se destinan, principalmente, a personas con discapacidad temporal. Sin embargo, el propio reglamento también contempla la posibilidad de otorgarlos a personas con discapacidad permanente.</w:t>
      </w:r>
    </w:p>
    <w:p w14:paraId="36B7E738" w14:textId="77777777"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Actualmente, el reglamento establece que dichos permisos deben expedirse con una fecha de vencimiento atendiendo al certificado médico presentado. No obstante, en la práctica, la mayoría de los permisos especiales tienen una vigencia máxima de un año, sin diferenciar entre una discapacidad temporal o permanente.</w:t>
      </w:r>
    </w:p>
    <w:p w14:paraId="6AEBA31C" w14:textId="77777777" w:rsidR="00E8139C" w:rsidRDefault="00E8139C" w:rsidP="00A94CC4">
      <w:pPr>
        <w:jc w:val="both"/>
        <w:rPr>
          <w:rFonts w:ascii="Century Gothic" w:eastAsiaTheme="minorHAnsi" w:hAnsi="Century Gothic" w:cstheme="minorBidi"/>
          <w:sz w:val="28"/>
          <w:lang w:val="es-MX"/>
        </w:rPr>
      </w:pPr>
    </w:p>
    <w:p w14:paraId="72180FE8" w14:textId="77777777" w:rsidR="009C443C" w:rsidRDefault="009C443C" w:rsidP="00A94CC4">
      <w:pPr>
        <w:jc w:val="both"/>
        <w:rPr>
          <w:rFonts w:ascii="Century Gothic" w:eastAsiaTheme="minorHAnsi" w:hAnsi="Century Gothic" w:cstheme="minorBidi"/>
          <w:sz w:val="28"/>
          <w:lang w:val="es-MX"/>
        </w:rPr>
      </w:pPr>
    </w:p>
    <w:p w14:paraId="482E1660" w14:textId="6F5D872F"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 xml:space="preserve">Esta situación genera una barrera administrativa y de accesibilidad, ya que las personas con discapacidad permanente se ven obligadas a </w:t>
      </w:r>
      <w:r w:rsidRPr="000F636B">
        <w:rPr>
          <w:rFonts w:ascii="Century Gothic" w:eastAsiaTheme="minorHAnsi" w:hAnsi="Century Gothic" w:cstheme="minorBidi"/>
          <w:b/>
          <w:sz w:val="28"/>
          <w:lang w:val="es-MX"/>
        </w:rPr>
        <w:t>renovar cada año</w:t>
      </w:r>
      <w:r w:rsidRPr="00A94CC4">
        <w:rPr>
          <w:rFonts w:ascii="Century Gothic" w:eastAsiaTheme="minorHAnsi" w:hAnsi="Century Gothic" w:cstheme="minorBidi"/>
          <w:sz w:val="28"/>
          <w:lang w:val="es-MX"/>
        </w:rPr>
        <w:t xml:space="preserve"> su permiso. Este proceso implica tiempo, desplazamientos, gastos y trámites repetitivos que pueden resultar </w:t>
      </w:r>
      <w:r w:rsidR="00E8139C">
        <w:rPr>
          <w:rFonts w:ascii="Century Gothic" w:eastAsiaTheme="minorHAnsi" w:hAnsi="Century Gothic" w:cstheme="minorBidi"/>
          <w:sz w:val="28"/>
          <w:lang w:val="es-MX"/>
        </w:rPr>
        <w:t xml:space="preserve"> </w:t>
      </w:r>
      <w:r w:rsidRPr="00A94CC4">
        <w:rPr>
          <w:rFonts w:ascii="Century Gothic" w:eastAsiaTheme="minorHAnsi" w:hAnsi="Century Gothic" w:cstheme="minorBidi"/>
          <w:sz w:val="28"/>
          <w:lang w:val="es-MX"/>
        </w:rPr>
        <w:t>innecesarios, que generan una doble vulneración pues mientras una persona sin discapacidad puede utilizar cualquier estacionamiento sin costo ni trámite, una persona con discapacidad debe invertir recursos de manera reiterada solo para acceder a un derecho ya reconocido, de igual manera son procesos que contravienen el principio de ajustes razonables y accesibilidad reconocido en la Convención sobre los Derechos de las Personas con Discapacidad y en la propia legislación mexicana.</w:t>
      </w:r>
    </w:p>
    <w:p w14:paraId="2B1D4235" w14:textId="77777777"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 xml:space="preserve">En comparación con otros estados de la República, Chihuahua presenta áreas de oportunidad para mejorar los procesos de renovación de los permisos especiales de discapacidad. En diversas entidades federativas, estos permisos cuentan con vigencias más amplias, de entre tres y cinco años, lo que reduce la carga administrativa.  </w:t>
      </w:r>
    </w:p>
    <w:p w14:paraId="1C81C339" w14:textId="77777777"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Las personas adultas mayores también enfrentan barreras, y se encuentran en una situación similar, a menudo deben realizar los mismos trámites y renovar cada año su permiso especial, esto resulta poco accesible.</w:t>
      </w:r>
    </w:p>
    <w:p w14:paraId="392B1EA0" w14:textId="77777777"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Si el propósito de los espacios azules es garantizar los derechos de accesibilidad, libre tránsito y desplazamiento en condiciones de seguridad y dignidad, resulta contradictorio que para ejercerlos se exijan procesos burocráticos que, lejos de apoyar, imponen una carga económica y administrativa desproporcionada sobre las personas con discapacidad.</w:t>
      </w:r>
    </w:p>
    <w:p w14:paraId="3D7B22F5" w14:textId="77777777" w:rsidR="00E8139C" w:rsidRDefault="00E8139C" w:rsidP="00A94CC4">
      <w:pPr>
        <w:jc w:val="both"/>
        <w:rPr>
          <w:rFonts w:ascii="Century Gothic" w:eastAsiaTheme="minorHAnsi" w:hAnsi="Century Gothic" w:cstheme="minorBidi"/>
          <w:sz w:val="28"/>
          <w:lang w:val="es-MX"/>
        </w:rPr>
      </w:pPr>
    </w:p>
    <w:p w14:paraId="60429593" w14:textId="77777777" w:rsidR="00E8139C" w:rsidRDefault="00E8139C" w:rsidP="00A94CC4">
      <w:pPr>
        <w:jc w:val="both"/>
        <w:rPr>
          <w:rFonts w:ascii="Century Gothic" w:eastAsiaTheme="minorHAnsi" w:hAnsi="Century Gothic" w:cstheme="minorBidi"/>
          <w:sz w:val="28"/>
          <w:lang w:val="es-MX"/>
        </w:rPr>
      </w:pPr>
    </w:p>
    <w:p w14:paraId="4642AD73" w14:textId="67E26E16" w:rsidR="00A94CC4" w:rsidRPr="00A94CC4" w:rsidRDefault="00A94CC4" w:rsidP="00A94CC4">
      <w:pPr>
        <w:jc w:val="both"/>
        <w:rPr>
          <w:rFonts w:ascii="Century Gothic" w:eastAsiaTheme="minorHAnsi" w:hAnsi="Century Gothic" w:cstheme="minorBidi"/>
          <w:sz w:val="28"/>
          <w:lang w:val="es-MX"/>
        </w:rPr>
      </w:pPr>
      <w:r w:rsidRPr="00A94CC4">
        <w:rPr>
          <w:rFonts w:ascii="Century Gothic" w:eastAsiaTheme="minorHAnsi" w:hAnsi="Century Gothic" w:cstheme="minorBidi"/>
          <w:sz w:val="28"/>
          <w:lang w:val="es-MX"/>
        </w:rPr>
        <w:t>Garantizar la accesibilidad no se limita únicamente al entorno físico, sino también a los procesos administrativos y a la manera en que las instituciones públicas interactúan con las personas con discapacidad. En este sentido, los trámites y servicios deben diseñarse haciendo ajustes razonables, eliminando barreras que dificulten el ejercicio pleno de los derechos. Por ello, la presente propuesta busca que la vigencia de los permisos especiales de discapacidad sea acorde a cada persona. En los casos de discapacidad permanente, se propone que la vigencia del permiso sea equivalente a la de la licencia de conducir, o bien, de una duración más amplia, con el fin de evitar renovaciones innecesarias, garantizar la accesibilidad administrativa y promover un trato digno y equitativo. Este ajuste no sólo facilita la movilidad y autonomía de las personas con discapacidad, sino que también representa una acción concreta en cumplimiento de los compromisos asumidos por el Estado en materia de inclusión y derechos humanos.</w:t>
      </w:r>
    </w:p>
    <w:p w14:paraId="775A7E44" w14:textId="77777777" w:rsidR="002C5C43" w:rsidRPr="00A94CC4" w:rsidRDefault="002C5C43" w:rsidP="008F2117">
      <w:pPr>
        <w:jc w:val="both"/>
        <w:rPr>
          <w:rFonts w:ascii="Century Gothic" w:hAnsi="Century Gothic"/>
          <w:sz w:val="28"/>
          <w:szCs w:val="24"/>
          <w:lang w:val="es-MX"/>
        </w:rPr>
      </w:pPr>
    </w:p>
    <w:p w14:paraId="03C48516" w14:textId="74A62259" w:rsidR="00823A58" w:rsidRDefault="008F2117" w:rsidP="002C5C43">
      <w:pPr>
        <w:jc w:val="both"/>
        <w:rPr>
          <w:rFonts w:ascii="Century Gothic" w:hAnsi="Century Gothic"/>
          <w:sz w:val="28"/>
          <w:szCs w:val="24"/>
        </w:rPr>
      </w:pPr>
      <w:r w:rsidRPr="00C96651">
        <w:rPr>
          <w:rFonts w:ascii="Century Gothic" w:hAnsi="Century Gothic"/>
          <w:sz w:val="28"/>
          <w:szCs w:val="24"/>
        </w:rPr>
        <w:t>Por lo anteriormente expuesto me permito poner a consideración del Pleno el siguiente:</w:t>
      </w:r>
    </w:p>
    <w:p w14:paraId="2480A0CD" w14:textId="77777777" w:rsidR="00E8139C" w:rsidRPr="002C5C43" w:rsidRDefault="00E8139C" w:rsidP="002C5C43">
      <w:pPr>
        <w:jc w:val="both"/>
        <w:rPr>
          <w:rFonts w:ascii="Century Gothic" w:hAnsi="Century Gothic"/>
          <w:sz w:val="28"/>
          <w:szCs w:val="24"/>
        </w:rPr>
      </w:pPr>
    </w:p>
    <w:p w14:paraId="7FD8C36D" w14:textId="038AED76" w:rsidR="008F2117" w:rsidRPr="008F2117" w:rsidRDefault="008F2117" w:rsidP="008F2117">
      <w:pPr>
        <w:jc w:val="center"/>
        <w:rPr>
          <w:rFonts w:ascii="Century Gothic" w:hAnsi="Century Gothic"/>
          <w:b/>
          <w:sz w:val="28"/>
          <w:szCs w:val="24"/>
        </w:rPr>
      </w:pPr>
      <w:r w:rsidRPr="008F2117">
        <w:rPr>
          <w:rFonts w:ascii="Century Gothic" w:hAnsi="Century Gothic"/>
          <w:b/>
          <w:sz w:val="28"/>
          <w:szCs w:val="24"/>
        </w:rPr>
        <w:t>ACUERDO</w:t>
      </w:r>
    </w:p>
    <w:p w14:paraId="6EAB5045" w14:textId="641D2345" w:rsidR="00E8139C" w:rsidRDefault="00824224" w:rsidP="000F636B">
      <w:pPr>
        <w:jc w:val="both"/>
        <w:rPr>
          <w:rFonts w:ascii="Century Gothic" w:eastAsiaTheme="minorHAnsi" w:hAnsi="Century Gothic" w:cstheme="minorBidi"/>
          <w:b/>
          <w:sz w:val="28"/>
          <w:lang w:val="es-MX"/>
        </w:rPr>
      </w:pPr>
      <w:r w:rsidRPr="00824224">
        <w:rPr>
          <w:rFonts w:ascii="Century Gothic" w:eastAsiaTheme="minorHAnsi" w:hAnsi="Century Gothic" w:cstheme="minorBidi"/>
          <w:b/>
          <w:sz w:val="28"/>
          <w:lang w:val="es-MX"/>
        </w:rPr>
        <w:t>PRIMERO.</w:t>
      </w:r>
      <w:r w:rsidRPr="00824224">
        <w:rPr>
          <w:rFonts w:ascii="Century Gothic" w:eastAsiaTheme="minorHAnsi" w:hAnsi="Century Gothic" w:cstheme="minorBidi"/>
          <w:sz w:val="28"/>
          <w:lang w:val="es-MX"/>
        </w:rPr>
        <w:t xml:space="preserve"> </w:t>
      </w:r>
      <w:r w:rsidR="000F636B" w:rsidRPr="000F636B">
        <w:rPr>
          <w:rFonts w:ascii="Century Gothic" w:eastAsiaTheme="minorHAnsi" w:hAnsi="Century Gothic" w:cstheme="minorBidi"/>
          <w:sz w:val="28"/>
          <w:lang w:val="es-MX"/>
        </w:rPr>
        <w:t xml:space="preserve">Se exhorta respetuosamente a la Secretaría de Seguridad Pública del Estado, para que, a través de la </w:t>
      </w:r>
      <w:r w:rsidR="00DD55EF">
        <w:rPr>
          <w:rFonts w:ascii="Century Gothic" w:eastAsiaTheme="minorHAnsi" w:hAnsi="Century Gothic" w:cstheme="minorBidi"/>
          <w:sz w:val="28"/>
          <w:lang w:val="es-MX"/>
        </w:rPr>
        <w:t>Subsecretaría de Movilidad de</w:t>
      </w:r>
      <w:r w:rsidR="005B3FE3">
        <w:rPr>
          <w:rFonts w:ascii="Century Gothic" w:eastAsiaTheme="minorHAnsi" w:hAnsi="Century Gothic" w:cstheme="minorBidi"/>
          <w:sz w:val="28"/>
          <w:lang w:val="es-MX"/>
        </w:rPr>
        <w:t>l</w:t>
      </w:r>
      <w:r w:rsidR="00DD55EF">
        <w:rPr>
          <w:rFonts w:ascii="Century Gothic" w:eastAsiaTheme="minorHAnsi" w:hAnsi="Century Gothic" w:cstheme="minorBidi"/>
          <w:sz w:val="28"/>
          <w:lang w:val="es-MX"/>
        </w:rPr>
        <w:t xml:space="preserve"> Estado</w:t>
      </w:r>
      <w:r w:rsidR="000F636B" w:rsidRPr="000F636B">
        <w:rPr>
          <w:rFonts w:ascii="Century Gothic" w:eastAsiaTheme="minorHAnsi" w:hAnsi="Century Gothic" w:cstheme="minorBidi"/>
          <w:sz w:val="28"/>
          <w:lang w:val="es-MX"/>
        </w:rPr>
        <w:t xml:space="preserve">, </w:t>
      </w:r>
      <w:r w:rsidR="00BF18A4" w:rsidRPr="00BF18A4">
        <w:rPr>
          <w:rFonts w:ascii="Century Gothic" w:eastAsiaTheme="minorHAnsi" w:hAnsi="Century Gothic" w:cstheme="minorBidi"/>
          <w:sz w:val="28"/>
          <w:lang w:val="es-MX"/>
        </w:rPr>
        <w:t>adopte medidas en la expedición de permisos especiales para personas con discapacidad, de modo que, tratándose de discapacidades permanentes, la vigencia del permiso sea prolongada y acorde a la duración de la licencia de conducir.</w:t>
      </w:r>
    </w:p>
    <w:p w14:paraId="75673255" w14:textId="77777777" w:rsidR="00E8139C" w:rsidRDefault="00E8139C" w:rsidP="000F636B">
      <w:pPr>
        <w:jc w:val="both"/>
        <w:rPr>
          <w:rFonts w:ascii="Century Gothic" w:eastAsiaTheme="minorHAnsi" w:hAnsi="Century Gothic" w:cstheme="minorBidi"/>
          <w:b/>
          <w:sz w:val="28"/>
          <w:lang w:val="es-MX"/>
        </w:rPr>
      </w:pPr>
    </w:p>
    <w:p w14:paraId="21A3DC3A" w14:textId="77777777" w:rsidR="00BF18A4" w:rsidRDefault="00BF18A4" w:rsidP="000F636B">
      <w:pPr>
        <w:jc w:val="both"/>
        <w:rPr>
          <w:rFonts w:ascii="Century Gothic" w:eastAsiaTheme="minorHAnsi" w:hAnsi="Century Gothic" w:cstheme="minorBidi"/>
          <w:b/>
          <w:sz w:val="28"/>
          <w:lang w:val="es-MX"/>
        </w:rPr>
      </w:pPr>
    </w:p>
    <w:p w14:paraId="33C6D74F" w14:textId="4CDEFD2F" w:rsidR="008B55F9" w:rsidRPr="008B55F9" w:rsidRDefault="008B55F9" w:rsidP="000F636B">
      <w:pPr>
        <w:jc w:val="both"/>
        <w:rPr>
          <w:rFonts w:ascii="Century Gothic" w:eastAsiaTheme="minorHAnsi" w:hAnsi="Century Gothic" w:cstheme="minorBidi"/>
          <w:sz w:val="28"/>
          <w:lang w:val="es-MX"/>
        </w:rPr>
      </w:pPr>
      <w:r w:rsidRPr="008B55F9">
        <w:rPr>
          <w:rFonts w:ascii="Century Gothic" w:eastAsiaTheme="minorHAnsi" w:hAnsi="Century Gothic" w:cstheme="minorBidi"/>
          <w:b/>
          <w:sz w:val="28"/>
          <w:lang w:val="es-MX"/>
        </w:rPr>
        <w:t xml:space="preserve">ECONÓMICO. – </w:t>
      </w:r>
      <w:r w:rsidRPr="008B55F9">
        <w:rPr>
          <w:rFonts w:ascii="Century Gothic" w:eastAsiaTheme="minorHAnsi" w:hAnsi="Century Gothic" w:cstheme="minorBidi"/>
          <w:sz w:val="28"/>
          <w:lang w:val="es-MX"/>
        </w:rPr>
        <w:t xml:space="preserve">Aprobado que sea, túrnese a la </w:t>
      </w:r>
      <w:proofErr w:type="gramStart"/>
      <w:r w:rsidRPr="008B55F9">
        <w:rPr>
          <w:rFonts w:ascii="Century Gothic" w:eastAsiaTheme="minorHAnsi" w:hAnsi="Century Gothic" w:cstheme="minorBidi"/>
          <w:sz w:val="28"/>
          <w:lang w:val="es-MX"/>
        </w:rPr>
        <w:t>Secretaria</w:t>
      </w:r>
      <w:proofErr w:type="gramEnd"/>
      <w:r w:rsidRPr="008B55F9">
        <w:rPr>
          <w:rFonts w:ascii="Century Gothic" w:eastAsiaTheme="minorHAnsi" w:hAnsi="Century Gothic" w:cstheme="minorBidi"/>
          <w:sz w:val="28"/>
          <w:lang w:val="es-MX"/>
        </w:rPr>
        <w:t xml:space="preserve"> para que elabore la Minuta de acuerdo correspondiente. </w:t>
      </w:r>
    </w:p>
    <w:p w14:paraId="068FC5B8" w14:textId="65A0230A" w:rsidR="005D359B" w:rsidRDefault="008B55F9" w:rsidP="00D22CDF">
      <w:pPr>
        <w:spacing w:after="160" w:line="259" w:lineRule="auto"/>
        <w:jc w:val="both"/>
        <w:rPr>
          <w:rFonts w:ascii="Century Gothic" w:eastAsiaTheme="minorHAnsi" w:hAnsi="Century Gothic" w:cstheme="minorBidi"/>
          <w:sz w:val="28"/>
          <w:lang w:val="es-MX"/>
        </w:rPr>
      </w:pPr>
      <w:r w:rsidRPr="008B55F9">
        <w:rPr>
          <w:rFonts w:ascii="Century Gothic" w:eastAsiaTheme="minorHAnsi" w:hAnsi="Century Gothic" w:cstheme="minorBidi"/>
          <w:b/>
          <w:i/>
          <w:sz w:val="28"/>
          <w:lang w:val="es-MX"/>
        </w:rPr>
        <w:t>Dado</w:t>
      </w:r>
      <w:r w:rsidRPr="008B55F9">
        <w:rPr>
          <w:rFonts w:ascii="Century Gothic" w:eastAsiaTheme="minorHAnsi" w:hAnsi="Century Gothic" w:cstheme="minorBidi"/>
          <w:sz w:val="28"/>
          <w:lang w:val="es-MX"/>
        </w:rPr>
        <w:t xml:space="preserve"> en el Salón de Sesiones del Poder Legislativo, en la ciudad de Chihuahua, Chihuahua a </w:t>
      </w:r>
      <w:r w:rsidR="000F636B">
        <w:rPr>
          <w:rFonts w:ascii="Century Gothic" w:eastAsiaTheme="minorHAnsi" w:hAnsi="Century Gothic" w:cstheme="minorBidi"/>
          <w:sz w:val="28"/>
          <w:lang w:val="es-MX"/>
        </w:rPr>
        <w:t>16</w:t>
      </w:r>
      <w:r w:rsidRPr="008B55F9">
        <w:rPr>
          <w:rFonts w:ascii="Century Gothic" w:eastAsiaTheme="minorHAnsi" w:hAnsi="Century Gothic" w:cstheme="minorBidi"/>
          <w:sz w:val="28"/>
          <w:lang w:val="es-MX"/>
        </w:rPr>
        <w:t xml:space="preserve"> de </w:t>
      </w:r>
      <w:r w:rsidR="00F64FDA">
        <w:rPr>
          <w:rFonts w:ascii="Century Gothic" w:eastAsiaTheme="minorHAnsi" w:hAnsi="Century Gothic" w:cstheme="minorBidi"/>
          <w:sz w:val="28"/>
          <w:lang w:val="es-MX"/>
        </w:rPr>
        <w:t>octubre</w:t>
      </w:r>
      <w:r w:rsidRPr="008B55F9">
        <w:rPr>
          <w:rFonts w:ascii="Century Gothic" w:eastAsiaTheme="minorHAnsi" w:hAnsi="Century Gothic" w:cstheme="minorBidi"/>
          <w:sz w:val="28"/>
          <w:lang w:val="es-MX"/>
        </w:rPr>
        <w:t xml:space="preserve"> de 2025.  </w:t>
      </w:r>
    </w:p>
    <w:p w14:paraId="2824C7EF" w14:textId="4B6D2DEB" w:rsidR="00D51118" w:rsidRDefault="00D51118" w:rsidP="00D22CDF">
      <w:pPr>
        <w:spacing w:after="160" w:line="259" w:lineRule="auto"/>
        <w:jc w:val="both"/>
        <w:rPr>
          <w:rFonts w:ascii="Century Gothic" w:eastAsiaTheme="minorHAnsi" w:hAnsi="Century Gothic" w:cstheme="minorBidi"/>
          <w:sz w:val="28"/>
          <w:lang w:val="es-MX"/>
        </w:rPr>
      </w:pPr>
    </w:p>
    <w:p w14:paraId="368770CE" w14:textId="77777777" w:rsidR="000F636B" w:rsidRPr="00D22CDF" w:rsidRDefault="000F636B" w:rsidP="00D22CDF">
      <w:pPr>
        <w:spacing w:after="160" w:line="259" w:lineRule="auto"/>
        <w:jc w:val="both"/>
        <w:rPr>
          <w:rFonts w:ascii="Century Gothic" w:eastAsiaTheme="minorHAnsi" w:hAnsi="Century Gothic" w:cstheme="minorBidi"/>
          <w:sz w:val="28"/>
          <w:lang w:val="es-MX"/>
        </w:rPr>
      </w:pPr>
    </w:p>
    <w:p w14:paraId="0E7944FC" w14:textId="12746430" w:rsidR="006C6B4D" w:rsidRDefault="006C6B4D" w:rsidP="002C5C43">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1634365E" w14:textId="77777777" w:rsidR="002C5C43" w:rsidRDefault="002C5C43" w:rsidP="002C5C43">
      <w:pPr>
        <w:jc w:val="center"/>
        <w:rPr>
          <w:rFonts w:ascii="Century Gothic" w:hAnsi="Century Gothic" w:cs="Arial"/>
          <w:b/>
          <w:bCs/>
          <w:sz w:val="28"/>
          <w:szCs w:val="28"/>
        </w:rPr>
      </w:pPr>
    </w:p>
    <w:p w14:paraId="5C20A8B8" w14:textId="77777777" w:rsidR="005D359B" w:rsidRPr="005D359B" w:rsidRDefault="005D359B" w:rsidP="005D359B">
      <w:pPr>
        <w:jc w:val="center"/>
        <w:rPr>
          <w:rFonts w:ascii="Century Gothic" w:hAnsi="Century Gothic" w:cs="Arial"/>
          <w:b/>
          <w:bCs/>
          <w:sz w:val="28"/>
          <w:szCs w:val="28"/>
        </w:rPr>
      </w:pPr>
    </w:p>
    <w:p w14:paraId="5D583297" w14:textId="4200CC9F"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w:t>
      </w:r>
      <w:r w:rsidR="00AE0FB9">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576E685D" w14:textId="41A698F8" w:rsidR="00D51118" w:rsidRDefault="00D51118" w:rsidP="00AE0FB9">
      <w:pPr>
        <w:rPr>
          <w:rFonts w:ascii="Century Gothic" w:hAnsi="Century Gothic" w:cs="Arial"/>
          <w:b/>
          <w:bCs/>
          <w:sz w:val="28"/>
          <w:szCs w:val="28"/>
        </w:rPr>
      </w:pPr>
    </w:p>
    <w:p w14:paraId="2F472C20" w14:textId="2F135088" w:rsidR="00D51118" w:rsidRDefault="00D51118" w:rsidP="00AE0FB9">
      <w:pPr>
        <w:rPr>
          <w:rFonts w:ascii="Century Gothic" w:hAnsi="Century Gothic" w:cs="Arial"/>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rsidRPr="00D22CDF" w14:paraId="3525C040" w14:textId="77777777" w:rsidTr="00550936">
        <w:tc>
          <w:tcPr>
            <w:tcW w:w="4675" w:type="dxa"/>
          </w:tcPr>
          <w:p w14:paraId="4E46FF90" w14:textId="77777777" w:rsidR="00D22CDF" w:rsidRPr="00D22CDF" w:rsidRDefault="00D22CDF" w:rsidP="00550936">
            <w:pPr>
              <w:jc w:val="center"/>
              <w:rPr>
                <w:rFonts w:ascii="Century Gothic" w:hAnsi="Century Gothic"/>
                <w:b/>
                <w:sz w:val="28"/>
                <w:szCs w:val="24"/>
              </w:rPr>
            </w:pPr>
          </w:p>
          <w:p w14:paraId="2EFD7D1A" w14:textId="14B4325A" w:rsidR="00550936" w:rsidRPr="00D22CDF" w:rsidRDefault="00AE0FB9" w:rsidP="00AE0FB9">
            <w:pPr>
              <w:jc w:val="center"/>
              <w:rPr>
                <w:rFonts w:ascii="Century Gothic" w:hAnsi="Century Gothic" w:cs="Arial"/>
                <w:bCs/>
                <w:sz w:val="28"/>
                <w:szCs w:val="28"/>
              </w:rPr>
            </w:pPr>
            <w:r>
              <w:rPr>
                <w:rFonts w:ascii="Century Gothic" w:eastAsia="Century Gothic" w:hAnsi="Century Gothic" w:cs="Century Gothic"/>
                <w:b/>
                <w:color w:val="000000"/>
                <w:sz w:val="28"/>
                <w:szCs w:val="28"/>
              </w:rPr>
              <w:t>DIP. ELIZABETH GUZMÁN ARGUETA</w:t>
            </w:r>
          </w:p>
        </w:tc>
        <w:tc>
          <w:tcPr>
            <w:tcW w:w="4675" w:type="dxa"/>
          </w:tcPr>
          <w:p w14:paraId="3681D8F7" w14:textId="77777777" w:rsidR="00D22CDF" w:rsidRPr="00D22CDF" w:rsidRDefault="00D22CDF" w:rsidP="00550936">
            <w:pPr>
              <w:jc w:val="center"/>
              <w:rPr>
                <w:rFonts w:ascii="Century Gothic" w:hAnsi="Century Gothic"/>
                <w:b/>
                <w:color w:val="000000"/>
                <w:sz w:val="28"/>
                <w:szCs w:val="24"/>
              </w:rPr>
            </w:pPr>
          </w:p>
          <w:p w14:paraId="49AEC736" w14:textId="14C72277" w:rsidR="00550936" w:rsidRPr="00D22CDF" w:rsidRDefault="00550936" w:rsidP="00550936">
            <w:pPr>
              <w:jc w:val="center"/>
              <w:rPr>
                <w:rFonts w:ascii="Century Gothic" w:hAnsi="Century Gothic"/>
                <w:b/>
                <w:color w:val="000000"/>
                <w:sz w:val="28"/>
                <w:szCs w:val="24"/>
              </w:rPr>
            </w:pPr>
            <w:r w:rsidRPr="00D22CDF">
              <w:rPr>
                <w:rFonts w:ascii="Century Gothic" w:hAnsi="Century Gothic"/>
                <w:b/>
                <w:color w:val="000000"/>
                <w:sz w:val="28"/>
                <w:szCs w:val="24"/>
              </w:rPr>
              <w:t>DIP. EDIN CUAUHTÉMOC ESTRADA SOTELO</w:t>
            </w:r>
          </w:p>
          <w:p w14:paraId="0B17E2FD" w14:textId="77777777" w:rsidR="00550936" w:rsidRDefault="00550936" w:rsidP="008F0FD6">
            <w:pPr>
              <w:jc w:val="both"/>
              <w:rPr>
                <w:rFonts w:ascii="Century Gothic" w:hAnsi="Century Gothic" w:cs="Arial"/>
                <w:bCs/>
                <w:sz w:val="28"/>
                <w:szCs w:val="28"/>
              </w:rPr>
            </w:pPr>
          </w:p>
          <w:p w14:paraId="4DB508F7" w14:textId="564408F1" w:rsidR="00712ACA" w:rsidRPr="00D22CDF" w:rsidRDefault="00712ACA" w:rsidP="008F0FD6">
            <w:pPr>
              <w:jc w:val="both"/>
              <w:rPr>
                <w:rFonts w:ascii="Century Gothic" w:hAnsi="Century Gothic" w:cs="Arial"/>
                <w:bCs/>
                <w:sz w:val="28"/>
                <w:szCs w:val="28"/>
              </w:rPr>
            </w:pPr>
          </w:p>
        </w:tc>
      </w:tr>
      <w:tr w:rsidR="00550936" w:rsidRPr="00D22CDF" w14:paraId="276FE90F" w14:textId="77777777" w:rsidTr="00550936">
        <w:tc>
          <w:tcPr>
            <w:tcW w:w="4675" w:type="dxa"/>
          </w:tcPr>
          <w:p w14:paraId="5E257C1B" w14:textId="77777777" w:rsidR="008B55F9" w:rsidRPr="00D22CDF" w:rsidRDefault="008B55F9" w:rsidP="00AE0FB9">
            <w:pPr>
              <w:rPr>
                <w:rFonts w:ascii="Century Gothic" w:hAnsi="Century Gothic"/>
                <w:b/>
                <w:color w:val="000000"/>
                <w:sz w:val="28"/>
                <w:szCs w:val="24"/>
              </w:rPr>
            </w:pPr>
          </w:p>
          <w:p w14:paraId="33C4BC02" w14:textId="6182B61D" w:rsidR="00550936" w:rsidRPr="00D22CDF" w:rsidRDefault="00550936" w:rsidP="00550936">
            <w:pPr>
              <w:jc w:val="center"/>
              <w:rPr>
                <w:rFonts w:ascii="Century Gothic" w:hAnsi="Century Gothic"/>
                <w:b/>
                <w:color w:val="000000"/>
                <w:sz w:val="28"/>
                <w:szCs w:val="24"/>
              </w:rPr>
            </w:pPr>
            <w:r w:rsidRPr="00D22CDF">
              <w:rPr>
                <w:rFonts w:ascii="Century Gothic" w:hAnsi="Century Gothic"/>
                <w:b/>
                <w:color w:val="000000"/>
                <w:sz w:val="28"/>
                <w:szCs w:val="24"/>
              </w:rPr>
              <w:t>DIP. EDITH PALMA ONTIVEROS.</w:t>
            </w:r>
          </w:p>
          <w:p w14:paraId="044D2CE6" w14:textId="09D617F8" w:rsidR="00550936" w:rsidRPr="00D22CDF" w:rsidRDefault="00550936" w:rsidP="008F0FD6">
            <w:pPr>
              <w:jc w:val="both"/>
              <w:rPr>
                <w:rFonts w:ascii="Century Gothic" w:hAnsi="Century Gothic" w:cs="Arial"/>
                <w:bCs/>
                <w:sz w:val="28"/>
                <w:szCs w:val="28"/>
              </w:rPr>
            </w:pPr>
          </w:p>
        </w:tc>
        <w:tc>
          <w:tcPr>
            <w:tcW w:w="4675" w:type="dxa"/>
          </w:tcPr>
          <w:p w14:paraId="116BDA83" w14:textId="3E9A2958" w:rsidR="008B55F9" w:rsidRPr="00D22CDF" w:rsidRDefault="008B55F9" w:rsidP="00AE0FB9">
            <w:pPr>
              <w:rPr>
                <w:rFonts w:ascii="Century Gothic" w:hAnsi="Century Gothic"/>
                <w:b/>
                <w:color w:val="000000"/>
                <w:sz w:val="28"/>
                <w:szCs w:val="24"/>
              </w:rPr>
            </w:pPr>
          </w:p>
          <w:p w14:paraId="1C08AE1C" w14:textId="77777777" w:rsidR="00712ACA" w:rsidRDefault="00712ACA" w:rsidP="00712ACA">
            <w:pPr>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DIP. ROSANA DÍAZ REYES.</w:t>
            </w:r>
          </w:p>
          <w:p w14:paraId="1FC01846" w14:textId="458BB76D" w:rsidR="00550936" w:rsidRPr="00D22CDF" w:rsidRDefault="00550936" w:rsidP="00550936">
            <w:pPr>
              <w:jc w:val="center"/>
              <w:rPr>
                <w:rFonts w:ascii="Century Gothic" w:hAnsi="Century Gothic" w:cs="Arial"/>
                <w:bCs/>
                <w:sz w:val="28"/>
                <w:szCs w:val="28"/>
              </w:rPr>
            </w:pPr>
          </w:p>
        </w:tc>
      </w:tr>
    </w:tbl>
    <w:p w14:paraId="344BFD06" w14:textId="1BA9491B" w:rsidR="008B55F9" w:rsidRDefault="008B55F9" w:rsidP="008F0FD6">
      <w:pPr>
        <w:jc w:val="both"/>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32E79EB1" w14:textId="402F81E2" w:rsidR="0071724D" w:rsidRDefault="0071724D" w:rsidP="003F1F22">
            <w:pPr>
              <w:rPr>
                <w:rFonts w:ascii="Century Gothic" w:hAnsi="Century Gothic"/>
                <w:b/>
                <w:color w:val="000000"/>
                <w:sz w:val="28"/>
                <w:szCs w:val="24"/>
              </w:rPr>
            </w:pPr>
          </w:p>
          <w:p w14:paraId="24574019" w14:textId="77777777" w:rsidR="00E8139C" w:rsidRDefault="00E8139C" w:rsidP="008F0FD6">
            <w:pPr>
              <w:jc w:val="both"/>
              <w:rPr>
                <w:rFonts w:ascii="Century Gothic" w:eastAsia="Century Gothic" w:hAnsi="Century Gothic" w:cs="Century Gothic"/>
                <w:b/>
                <w:sz w:val="28"/>
                <w:szCs w:val="28"/>
              </w:rPr>
            </w:pPr>
          </w:p>
          <w:p w14:paraId="142D8519" w14:textId="77777777" w:rsidR="00E8139C" w:rsidRDefault="00E8139C" w:rsidP="008F0FD6">
            <w:pPr>
              <w:jc w:val="both"/>
              <w:rPr>
                <w:rFonts w:ascii="Century Gothic" w:eastAsia="Century Gothic" w:hAnsi="Century Gothic" w:cs="Century Gothic"/>
                <w:b/>
                <w:sz w:val="28"/>
                <w:szCs w:val="28"/>
              </w:rPr>
            </w:pPr>
          </w:p>
          <w:p w14:paraId="1046677E" w14:textId="77777777" w:rsidR="00E8139C" w:rsidRDefault="00E8139C" w:rsidP="008F0FD6">
            <w:pPr>
              <w:jc w:val="both"/>
              <w:rPr>
                <w:rFonts w:ascii="Century Gothic" w:eastAsia="Century Gothic" w:hAnsi="Century Gothic" w:cs="Century Gothic"/>
                <w:b/>
                <w:sz w:val="28"/>
                <w:szCs w:val="28"/>
              </w:rPr>
            </w:pPr>
          </w:p>
          <w:p w14:paraId="418C7989" w14:textId="3157CC53" w:rsidR="00550936" w:rsidRDefault="00712ACA" w:rsidP="008F0FD6">
            <w:pPr>
              <w:jc w:val="both"/>
              <w:rPr>
                <w:rFonts w:ascii="Century Gothic" w:hAnsi="Century Gothic"/>
                <w:sz w:val="28"/>
                <w:szCs w:val="28"/>
              </w:rPr>
            </w:pPr>
            <w:r>
              <w:rPr>
                <w:rFonts w:ascii="Century Gothic" w:eastAsia="Century Gothic" w:hAnsi="Century Gothic" w:cs="Century Gothic"/>
                <w:b/>
                <w:sz w:val="28"/>
                <w:szCs w:val="28"/>
              </w:rPr>
              <w:t>DIP. BRENDA FRANCISCA RÍOS</w:t>
            </w:r>
            <w:r>
              <w:rPr>
                <w:rFonts w:ascii="Century Gothic" w:hAnsi="Century Gothic"/>
                <w:sz w:val="28"/>
                <w:szCs w:val="28"/>
              </w:rPr>
              <w:t xml:space="preserve"> </w:t>
            </w:r>
          </w:p>
          <w:p w14:paraId="4E89033D" w14:textId="77777777" w:rsidR="002350D5" w:rsidRDefault="002350D5" w:rsidP="008F0FD6">
            <w:pPr>
              <w:jc w:val="both"/>
              <w:rPr>
                <w:rFonts w:ascii="Century Gothic" w:hAnsi="Century Gothic"/>
                <w:sz w:val="28"/>
                <w:szCs w:val="28"/>
              </w:rPr>
            </w:pPr>
          </w:p>
          <w:p w14:paraId="34E93688" w14:textId="77777777" w:rsidR="002350D5" w:rsidRDefault="002350D5" w:rsidP="008F0FD6">
            <w:pPr>
              <w:jc w:val="both"/>
              <w:rPr>
                <w:rFonts w:ascii="Century Gothic" w:hAnsi="Century Gothic"/>
                <w:sz w:val="28"/>
                <w:szCs w:val="28"/>
              </w:rPr>
            </w:pPr>
          </w:p>
          <w:p w14:paraId="62D2BE0A" w14:textId="6350FC3A" w:rsidR="003F1F22" w:rsidRDefault="003F1F22" w:rsidP="008F0FD6">
            <w:pPr>
              <w:jc w:val="both"/>
              <w:rPr>
                <w:rFonts w:ascii="Century Gothic" w:hAnsi="Century Gothic"/>
                <w:sz w:val="28"/>
                <w:szCs w:val="28"/>
              </w:rPr>
            </w:pPr>
          </w:p>
        </w:tc>
        <w:tc>
          <w:tcPr>
            <w:tcW w:w="4675" w:type="dxa"/>
          </w:tcPr>
          <w:p w14:paraId="2EA56D9B" w14:textId="6E915338" w:rsidR="0071724D" w:rsidRDefault="00E8139C" w:rsidP="003F1F22">
            <w:pPr>
              <w:rPr>
                <w:rFonts w:ascii="Century Gothic" w:hAnsi="Century Gothic"/>
                <w:b/>
                <w:color w:val="000000"/>
                <w:sz w:val="28"/>
                <w:szCs w:val="24"/>
              </w:rPr>
            </w:pPr>
            <w:r>
              <w:rPr>
                <w:rFonts w:ascii="Century Gothic" w:hAnsi="Century Gothic"/>
                <w:noProof/>
                <w:sz w:val="28"/>
              </w:rPr>
              <w:lastRenderedPageBreak/>
              <mc:AlternateContent>
                <mc:Choice Requires="wps">
                  <w:drawing>
                    <wp:anchor distT="0" distB="0" distL="114300" distR="114300" simplePos="0" relativeHeight="251663360" behindDoc="0" locked="0" layoutInCell="1" allowOverlap="1" wp14:anchorId="4BEAE59F" wp14:editId="42601E2B">
                      <wp:simplePos x="0" y="0"/>
                      <wp:positionH relativeFrom="margin">
                        <wp:posOffset>-3414939</wp:posOffset>
                      </wp:positionH>
                      <wp:positionV relativeFrom="paragraph">
                        <wp:posOffset>-407398</wp:posOffset>
                      </wp:positionV>
                      <wp:extent cx="6477000" cy="65722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6477000" cy="657225"/>
                              </a:xfrm>
                              <a:prstGeom prst="rect">
                                <a:avLst/>
                              </a:prstGeom>
                              <a:solidFill>
                                <a:schemeClr val="lt1"/>
                              </a:solidFill>
                              <a:ln w="6350">
                                <a:solidFill>
                                  <a:prstClr val="black"/>
                                </a:solidFill>
                              </a:ln>
                            </wps:spPr>
                            <wps:txbx>
                              <w:txbxContent>
                                <w:p w14:paraId="613799AE" w14:textId="24D0BAE6" w:rsidR="00E8139C" w:rsidRPr="00506D9D" w:rsidRDefault="00E8139C" w:rsidP="00E8139C">
                                  <w:pPr>
                                    <w:rPr>
                                      <w:sz w:val="20"/>
                                    </w:rPr>
                                  </w:pPr>
                                  <w:r w:rsidRPr="00506D9D">
                                    <w:rPr>
                                      <w:sz w:val="20"/>
                                    </w:rPr>
                                    <w:t xml:space="preserve">Proposición con Carácter de Punto de Acuerdo con el propósito de </w:t>
                                  </w:r>
                                  <w:r w:rsidRPr="000F636B">
                                    <w:rPr>
                                      <w:sz w:val="20"/>
                                    </w:rPr>
                                    <w:t xml:space="preserve">exhortar a la Secretaría de Seguridad Pública del Estado para que, a través de la </w:t>
                                  </w:r>
                                  <w:r w:rsidR="00DD55EF" w:rsidRPr="00DD55EF">
                                    <w:rPr>
                                      <w:sz w:val="20"/>
                                    </w:rPr>
                                    <w:t>Subsecretaría de Movilidad de Estado</w:t>
                                  </w:r>
                                  <w:r w:rsidRPr="000F636B">
                                    <w:rPr>
                                      <w:sz w:val="20"/>
                                    </w:rPr>
                                    <w:t>, adopte medidas en la expedición de permisos especiales para personas con discapacidad y la vigencia del permiso sea prolongada</w:t>
                                  </w:r>
                                  <w:r>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AE59F" id="_x0000_t202" coordsize="21600,21600" o:spt="202" path="m,l,21600r21600,l21600,xe">
                      <v:stroke joinstyle="miter"/>
                      <v:path gradientshapeok="t" o:connecttype="rect"/>
                    </v:shapetype>
                    <v:shape id="Cuadro de texto 1" o:spid="_x0000_s1026" type="#_x0000_t202" style="position:absolute;margin-left:-268.9pt;margin-top:-32.1pt;width:510pt;height:5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MsTwIAAKgEAAAOAAAAZHJzL2Uyb0RvYy54bWysVMFu2zAMvQ/YPwi6L3aypN2COkWWosOA&#10;oi2QDj0rstwYk0VNUmJ3X78n2UnTbqdhF5kSn57IR9IXl12j2V45X5Mp+HiUc6aMpLI2TwX//nD9&#10;4RNnPghTCk1GFfxZeX65eP/uorVzNaEt6VI5BhLj560t+DYEO88yL7eqEX5EVhk4K3KNCNi6p6x0&#10;ogV7o7NJnp9lLbnSOpLKe5xe9U6+SPxVpWS4qyqvAtMFR2whrS6tm7hmiwsxf3LCbms5hCH+IYpG&#10;1AaPHqmuRBBs5+o/qJpaOvJUhZGkJqOqqqVKOSCbcf4mm/VWWJVygTjeHmXy/49W3u7vHatL1I4z&#10;IxqUaLUTpSNWKhZUF4iNo0it9XNg1xbo0H2hLl4Yzj0OY+5d5Zr4RVYMfsj9fJQYTEzi8Gx6fp7n&#10;cEn4zmbnk8ks0mQvt63z4auihkWj4A4lTMqK/Y0PPfQAiY950nV5XWudNrFt1Eo7thcouA4pRpC/&#10;QmnDWjz+cZYn4le+SH28v9FC/hjCO0GBTxvEHDXpc49W6DbdIMiGymfo5KhvN2/ldQ3eG+HDvXDo&#10;L+SPmQl3WCpNCIYGi7MtuV9/O494lB1ezlr0a8H9z51wijP9zaAhPo+n09jgaTOFsNi4U8/m1GN2&#10;zYqgEIqO6JIZ8UEfzMpR84jRWsZX4RJG4u2Ch4O5Cv0UYTSlWi4TCC1tRbgxaysjdaxI1POhexTO&#10;DvWMPXVLh84W8zdl7bHxpqHlLlBVp5pHgXtVB90xDqlrhtGN83a6T6iXH8ziNwAAAP//AwBQSwME&#10;FAAGAAgAAAAhAOburr3eAAAACwEAAA8AAABkcnMvZG93bnJldi54bWxMj8FOwzAQRO9I/IO1SNxa&#10;h6SUNMSpABUunCiIsxu7tkW8jmw3DX/PcoLbrGY087bdzn5gk47JBRRwsyyAaeyDcmgEfLw/L2pg&#10;KUtUcgioBXzrBNvu8qKVjQpnfNPTPhtGJZgaKcDmPDacp95qL9MyjBrJO4boZaYzGq6iPFO5H3hZ&#10;FGvupUNasHLUT1b3X/uTF7B7NBvT1zLaXa2cm+bP46t5EeL6an64B5b1nP/C8ItP6NAR0yGcUCU2&#10;CFjcVnfEnkmtVyUwiqzqksRBQLWpgHct//9D9wMAAP//AwBQSwECLQAUAAYACAAAACEAtoM4kv4A&#10;AADhAQAAEwAAAAAAAAAAAAAAAAAAAAAAW0NvbnRlbnRfVHlwZXNdLnhtbFBLAQItABQABgAIAAAA&#10;IQA4/SH/1gAAAJQBAAALAAAAAAAAAAAAAAAAAC8BAABfcmVscy8ucmVsc1BLAQItABQABgAIAAAA&#10;IQBmz1MsTwIAAKgEAAAOAAAAAAAAAAAAAAAAAC4CAABkcnMvZTJvRG9jLnhtbFBLAQItABQABgAI&#10;AAAAIQDm7q693gAAAAsBAAAPAAAAAAAAAAAAAAAAAKkEAABkcnMvZG93bnJldi54bWxQSwUGAAAA&#10;AAQABADzAAAAtAUAAAAA&#10;" fillcolor="white [3201]" strokeweight=".5pt">
                      <v:textbox>
                        <w:txbxContent>
                          <w:p w14:paraId="613799AE" w14:textId="24D0BAE6" w:rsidR="00E8139C" w:rsidRPr="00506D9D" w:rsidRDefault="00E8139C" w:rsidP="00E8139C">
                            <w:pPr>
                              <w:rPr>
                                <w:sz w:val="20"/>
                              </w:rPr>
                            </w:pPr>
                            <w:r w:rsidRPr="00506D9D">
                              <w:rPr>
                                <w:sz w:val="20"/>
                              </w:rPr>
                              <w:t xml:space="preserve">Proposición con Carácter de Punto de Acuerdo con el propósito de </w:t>
                            </w:r>
                            <w:r w:rsidRPr="000F636B">
                              <w:rPr>
                                <w:sz w:val="20"/>
                              </w:rPr>
                              <w:t xml:space="preserve">exhortar a la Secretaría de Seguridad Pública del Estado para que, a través de la </w:t>
                            </w:r>
                            <w:r w:rsidR="00DD55EF" w:rsidRPr="00DD55EF">
                              <w:rPr>
                                <w:sz w:val="20"/>
                              </w:rPr>
                              <w:t>Subsecretaría de Movilidad de Estado</w:t>
                            </w:r>
                            <w:r w:rsidRPr="000F636B">
                              <w:rPr>
                                <w:sz w:val="20"/>
                              </w:rPr>
                              <w:t>, adopte medidas en la expedición de permisos especiales para personas con discapacidad y la vigencia del permiso sea prolongada</w:t>
                            </w:r>
                            <w:r>
                              <w:rPr>
                                <w:sz w:val="20"/>
                              </w:rPr>
                              <w:t>.</w:t>
                            </w:r>
                          </w:p>
                        </w:txbxContent>
                      </v:textbox>
                      <w10:wrap anchorx="margin"/>
                    </v:shape>
                  </w:pict>
                </mc:Fallback>
              </mc:AlternateContent>
            </w:r>
          </w:p>
          <w:p w14:paraId="42696D1E" w14:textId="77777777" w:rsidR="00E8139C" w:rsidRDefault="00E8139C" w:rsidP="00CB2D83">
            <w:pPr>
              <w:jc w:val="center"/>
              <w:rPr>
                <w:rFonts w:ascii="Century Gothic" w:eastAsia="Century Gothic" w:hAnsi="Century Gothic" w:cs="Century Gothic"/>
                <w:b/>
                <w:color w:val="000000"/>
                <w:sz w:val="28"/>
                <w:szCs w:val="28"/>
              </w:rPr>
            </w:pPr>
          </w:p>
          <w:p w14:paraId="502A7851" w14:textId="77777777" w:rsidR="00E8139C" w:rsidRDefault="00E8139C" w:rsidP="00CB2D83">
            <w:pPr>
              <w:jc w:val="center"/>
              <w:rPr>
                <w:rFonts w:ascii="Century Gothic" w:eastAsia="Century Gothic" w:hAnsi="Century Gothic" w:cs="Century Gothic"/>
                <w:b/>
                <w:color w:val="000000"/>
                <w:sz w:val="28"/>
                <w:szCs w:val="28"/>
              </w:rPr>
            </w:pPr>
          </w:p>
          <w:p w14:paraId="7B72B157" w14:textId="77777777" w:rsidR="00E8139C" w:rsidRDefault="00E8139C" w:rsidP="00CB2D83">
            <w:pPr>
              <w:jc w:val="center"/>
              <w:rPr>
                <w:rFonts w:ascii="Century Gothic" w:eastAsia="Century Gothic" w:hAnsi="Century Gothic" w:cs="Century Gothic"/>
                <w:b/>
                <w:color w:val="000000"/>
                <w:sz w:val="28"/>
                <w:szCs w:val="28"/>
              </w:rPr>
            </w:pPr>
          </w:p>
          <w:p w14:paraId="39013AF4" w14:textId="08568D2D" w:rsidR="00CB2D83" w:rsidRDefault="00CB2D83" w:rsidP="00CB2D83">
            <w:pPr>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DIP. MARÍA ANTONIETA PÉREZ REYES.</w:t>
            </w:r>
          </w:p>
          <w:p w14:paraId="49D1829D" w14:textId="77777777"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42CA9A2" w14:textId="77777777" w:rsidR="00CB2D83" w:rsidRDefault="00CB2D83" w:rsidP="00CB2D83">
            <w:pPr>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lastRenderedPageBreak/>
              <w:t>DIP. MAGDALENA RENTERÍA PÉREZ.</w:t>
            </w:r>
          </w:p>
          <w:p w14:paraId="1CB56495" w14:textId="77777777" w:rsidR="002C5C43" w:rsidRDefault="002C5C43" w:rsidP="008F0FD6">
            <w:pPr>
              <w:jc w:val="both"/>
              <w:rPr>
                <w:rFonts w:ascii="Century Gothic" w:hAnsi="Century Gothic"/>
                <w:sz w:val="28"/>
                <w:szCs w:val="28"/>
              </w:rPr>
            </w:pPr>
          </w:p>
          <w:p w14:paraId="3FCA5112" w14:textId="77777777" w:rsidR="002C5C43" w:rsidRDefault="002C5C43" w:rsidP="008F0FD6">
            <w:pPr>
              <w:jc w:val="both"/>
              <w:rPr>
                <w:rFonts w:ascii="Century Gothic" w:hAnsi="Century Gothic"/>
                <w:sz w:val="28"/>
                <w:szCs w:val="28"/>
              </w:rPr>
            </w:pPr>
          </w:p>
          <w:p w14:paraId="7DFBD698" w14:textId="75E07A8C" w:rsidR="002C5C43" w:rsidRDefault="002C5C43" w:rsidP="008F0FD6">
            <w:pPr>
              <w:jc w:val="both"/>
              <w:rPr>
                <w:rFonts w:ascii="Century Gothic" w:hAnsi="Century Gothic"/>
                <w:sz w:val="28"/>
                <w:szCs w:val="28"/>
              </w:rPr>
            </w:pPr>
          </w:p>
        </w:tc>
        <w:tc>
          <w:tcPr>
            <w:tcW w:w="4675" w:type="dxa"/>
          </w:tcPr>
          <w:p w14:paraId="41649010" w14:textId="77E56C5E" w:rsidR="00550936" w:rsidRDefault="00CB2D83" w:rsidP="008F0FD6">
            <w:pPr>
              <w:jc w:val="both"/>
              <w:rPr>
                <w:rFonts w:ascii="Century Gothic" w:hAnsi="Century Gothic"/>
                <w:sz w:val="28"/>
                <w:szCs w:val="28"/>
              </w:rPr>
            </w:pPr>
            <w:r>
              <w:rPr>
                <w:rFonts w:ascii="Century Gothic" w:eastAsia="Century Gothic" w:hAnsi="Century Gothic" w:cs="Century Gothic"/>
                <w:b/>
                <w:color w:val="000000"/>
                <w:sz w:val="28"/>
                <w:szCs w:val="28"/>
              </w:rPr>
              <w:t>DIP. JAEL ARGÜELLES DÍAZ</w:t>
            </w:r>
          </w:p>
        </w:tc>
      </w:tr>
      <w:tr w:rsidR="00550936" w14:paraId="29177679" w14:textId="77777777" w:rsidTr="002350D5">
        <w:tc>
          <w:tcPr>
            <w:tcW w:w="4675" w:type="dxa"/>
          </w:tcPr>
          <w:p w14:paraId="6DF1333B" w14:textId="4AF4B155" w:rsidR="00550936" w:rsidRDefault="00CB2D83" w:rsidP="008F0FD6">
            <w:pPr>
              <w:jc w:val="both"/>
              <w:rPr>
                <w:rFonts w:ascii="Century Gothic" w:hAnsi="Century Gothic"/>
                <w:sz w:val="28"/>
                <w:szCs w:val="28"/>
              </w:rPr>
            </w:pPr>
            <w:r>
              <w:rPr>
                <w:rFonts w:ascii="Century Gothic" w:eastAsia="Century Gothic" w:hAnsi="Century Gothic" w:cs="Century Gothic"/>
                <w:b/>
                <w:color w:val="000000"/>
                <w:sz w:val="28"/>
                <w:szCs w:val="28"/>
              </w:rPr>
              <w:t>DIP. PEDRO TORRES ESTRADA</w:t>
            </w:r>
            <w:r>
              <w:rPr>
                <w:rFonts w:ascii="Century Gothic" w:hAnsi="Century Gothic"/>
                <w:sz w:val="28"/>
                <w:szCs w:val="28"/>
              </w:rPr>
              <w:t xml:space="preserve"> </w:t>
            </w:r>
          </w:p>
          <w:p w14:paraId="5F261B98" w14:textId="77777777" w:rsidR="002350D5" w:rsidRDefault="002350D5" w:rsidP="008F0FD6">
            <w:pPr>
              <w:jc w:val="both"/>
              <w:rPr>
                <w:rFonts w:ascii="Century Gothic" w:hAnsi="Century Gothic"/>
                <w:sz w:val="28"/>
                <w:szCs w:val="28"/>
              </w:rPr>
            </w:pPr>
          </w:p>
          <w:p w14:paraId="3CE61F71" w14:textId="77777777" w:rsidR="003F1F22" w:rsidRDefault="003F1F22" w:rsidP="008F0FD6">
            <w:pPr>
              <w:jc w:val="both"/>
              <w:rPr>
                <w:rFonts w:ascii="Century Gothic" w:hAnsi="Century Gothic"/>
                <w:sz w:val="28"/>
                <w:szCs w:val="28"/>
              </w:rPr>
            </w:pPr>
          </w:p>
          <w:p w14:paraId="36E7A704" w14:textId="53FD7108" w:rsidR="003F1F22" w:rsidRDefault="003F1F22" w:rsidP="008F0FD6">
            <w:pPr>
              <w:jc w:val="both"/>
              <w:rPr>
                <w:rFonts w:ascii="Century Gothic" w:hAnsi="Century Gothic"/>
                <w:sz w:val="28"/>
                <w:szCs w:val="28"/>
              </w:rPr>
            </w:pPr>
          </w:p>
        </w:tc>
        <w:tc>
          <w:tcPr>
            <w:tcW w:w="4675" w:type="dxa"/>
          </w:tcPr>
          <w:p w14:paraId="6FFF1D64" w14:textId="315B9FC0"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154A220E"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ÓSCAR DANIEL AVITIA ARELLANES</w:t>
            </w:r>
          </w:p>
        </w:tc>
        <w:tc>
          <w:tcPr>
            <w:tcW w:w="4675" w:type="dxa"/>
          </w:tcPr>
          <w:p w14:paraId="2A166860" w14:textId="77777777" w:rsidR="00550936" w:rsidRDefault="00550936" w:rsidP="008F0FD6">
            <w:pPr>
              <w:jc w:val="both"/>
              <w:rPr>
                <w:rFonts w:ascii="Century Gothic" w:hAnsi="Century Gothic"/>
                <w:sz w:val="28"/>
                <w:szCs w:val="28"/>
              </w:rPr>
            </w:pPr>
          </w:p>
        </w:tc>
      </w:tr>
    </w:tbl>
    <w:p w14:paraId="7A7C5B58" w14:textId="77777777" w:rsidR="002C5C43" w:rsidRDefault="002C5C43" w:rsidP="008F0FD6">
      <w:pPr>
        <w:jc w:val="both"/>
        <w:rPr>
          <w:rFonts w:ascii="Century Gothic" w:hAnsi="Century Gothic"/>
          <w:sz w:val="28"/>
          <w:szCs w:val="28"/>
        </w:rPr>
      </w:pPr>
    </w:p>
    <w:p w14:paraId="361931B3" w14:textId="3631EC6D" w:rsidR="002C5C43" w:rsidRDefault="00E8139C"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65408" behindDoc="0" locked="0" layoutInCell="1" allowOverlap="1" wp14:anchorId="23BA8B4F" wp14:editId="6828F7B2">
                <wp:simplePos x="0" y="0"/>
                <wp:positionH relativeFrom="margin">
                  <wp:posOffset>-217715</wp:posOffset>
                </wp:positionH>
                <wp:positionV relativeFrom="paragraph">
                  <wp:posOffset>439329</wp:posOffset>
                </wp:positionV>
                <wp:extent cx="6477000" cy="6572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6477000" cy="657225"/>
                        </a:xfrm>
                        <a:prstGeom prst="rect">
                          <a:avLst/>
                        </a:prstGeom>
                        <a:solidFill>
                          <a:schemeClr val="lt1"/>
                        </a:solidFill>
                        <a:ln w="6350">
                          <a:solidFill>
                            <a:prstClr val="black"/>
                          </a:solidFill>
                        </a:ln>
                      </wps:spPr>
                      <wps:txbx>
                        <w:txbxContent>
                          <w:p w14:paraId="7A0A4712" w14:textId="34686018" w:rsidR="00E8139C" w:rsidRPr="00506D9D" w:rsidRDefault="00E8139C" w:rsidP="00E8139C">
                            <w:pPr>
                              <w:rPr>
                                <w:sz w:val="20"/>
                              </w:rPr>
                            </w:pPr>
                            <w:r w:rsidRPr="00506D9D">
                              <w:rPr>
                                <w:sz w:val="20"/>
                              </w:rPr>
                              <w:t xml:space="preserve">Proposición con Carácter de Punto de Acuerdo con el propósito de </w:t>
                            </w:r>
                            <w:r w:rsidRPr="000F636B">
                              <w:rPr>
                                <w:sz w:val="20"/>
                              </w:rPr>
                              <w:t xml:space="preserve">exhortar a la Secretaría de Seguridad Pública del Estado para que, a través de la </w:t>
                            </w:r>
                            <w:r w:rsidR="00DD55EF" w:rsidRPr="00DD55EF">
                              <w:rPr>
                                <w:sz w:val="20"/>
                              </w:rPr>
                              <w:t>Subsecretaría de Movilidad de Estado</w:t>
                            </w:r>
                            <w:r w:rsidRPr="000F636B">
                              <w:rPr>
                                <w:sz w:val="20"/>
                              </w:rPr>
                              <w:t>, adopte medidas en la expedición de permisos especiales para personas con discapacidad y la vigencia del permiso sea prolongada</w:t>
                            </w:r>
                            <w:r>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A8B4F" id="Cuadro de texto 3" o:spid="_x0000_s1027" type="#_x0000_t202" style="position:absolute;left:0;text-align:left;margin-left:-17.15pt;margin-top:34.6pt;width:510pt;height:5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qLUQIAAK8EAAAOAAAAZHJzL2Uyb0RvYy54bWysVE1v2zAMvQ/YfxB0X+x8tjPiFFmKDAOC&#10;tkA69KzIUmxMFjVJiZ39+lGyk6bdTsMuMiU+PZGPpOd3ba3IUVhXgc7pcJBSIjSHotL7nH5/Xn+6&#10;pcR5pgumQIucnoSjd4uPH+aNycQISlCFsARJtMsak9PSe5MlieOlqJkbgBEanRJszTxu7T4pLGuQ&#10;vVbJKE1nSQO2MBa4cA5P7zsnXUR+KQX3j1I64YnKKcbm42rjugtrspizbG+ZKSveh8H+IYqaVRof&#10;vVDdM8/IwVZ/UNUVt+BA+gGHOgEpKy5iDpjNMH2XzbZkRsRcUBxnLjK5/0fLH45PllRFTseUaFZj&#10;iVYHVlgghSBetB7IOIjUGJchdmsQ7dsv0GKxz+cOD0PurbR1+GJWBP0o9+kiMTIRjoezyc1NmqKL&#10;o282vRmNpoEmeb1trPNfBdQkGDm1WMKoLDtunO+gZ0h4zIGqinWlVNyEthErZcmRYcGVjzEi+RuU&#10;0qTBx8fTNBK/8QXqy/2dYvxHH94VCvmUxpiDJl3uwfLtro1CXnTZQXFCuSx0XecMX1dIv2HOPzGL&#10;bYYy4Oj4R1ykAowJeouSEuyvv50HPFYfvZQ02LY5dT8PzApK1DeNffF5OJmEPo+bCeqLG3vt2V17&#10;9KFeAQo1xCE1PJoB79XZlBbqF5ywZXgVXUxzfDun/myufDdMOKFcLJcRhJ1tmN/oreGBOhQmyPrc&#10;vjBr+rKG1nqAc4Oz7F11O2y4qWF58CCrWPqgc6dqLz9ORWyefoLD2F3vI+r1P7P4DQAA//8DAFBL&#10;AwQUAAYACAAAACEAIc9kid4AAAAKAQAADwAAAGRycy9kb3ducmV2LnhtbEyPy07DMBBF90j8gzVI&#10;7FqHFJpH41SAChtWFNS1G09ti9iOYjcNf8+wguXoHt17ptnOrmcTjtEGL+BumQFD3wVlvRbw+fGy&#10;KIHFJL2SffAo4BsjbNvrq0bWKlz8O077pBmV+FhLASaloeY8dgadjMswoKfsFEYnE52j5mqUFyp3&#10;Pc+zbM2dtJ4WjBzw2WD3tT87AbsnXemulKPZlcraaT6c3vSrELc38+MGWMI5/cHwq0/q0JLTMZy9&#10;iqwXsFjdrwgVsK5yYARU5UMB7EhkkRfA24b/f6H9AQAA//8DAFBLAQItABQABgAIAAAAIQC2gziS&#10;/gAAAOEBAAATAAAAAAAAAAAAAAAAAAAAAABbQ29udGVudF9UeXBlc10ueG1sUEsBAi0AFAAGAAgA&#10;AAAhADj9If/WAAAAlAEAAAsAAAAAAAAAAAAAAAAALwEAAF9yZWxzLy5yZWxzUEsBAi0AFAAGAAgA&#10;AAAhACoWCotRAgAArwQAAA4AAAAAAAAAAAAAAAAALgIAAGRycy9lMm9Eb2MueG1sUEsBAi0AFAAG&#10;AAgAAAAhACHPZIneAAAACgEAAA8AAAAAAAAAAAAAAAAAqwQAAGRycy9kb3ducmV2LnhtbFBLBQYA&#10;AAAABAAEAPMAAAC2BQAAAAA=&#10;" fillcolor="white [3201]" strokeweight=".5pt">
                <v:textbox>
                  <w:txbxContent>
                    <w:p w14:paraId="7A0A4712" w14:textId="34686018" w:rsidR="00E8139C" w:rsidRPr="00506D9D" w:rsidRDefault="00E8139C" w:rsidP="00E8139C">
                      <w:pPr>
                        <w:rPr>
                          <w:sz w:val="20"/>
                        </w:rPr>
                      </w:pPr>
                      <w:r w:rsidRPr="00506D9D">
                        <w:rPr>
                          <w:sz w:val="20"/>
                        </w:rPr>
                        <w:t xml:space="preserve">Proposición con Carácter de Punto de Acuerdo con el propósito de </w:t>
                      </w:r>
                      <w:r w:rsidRPr="000F636B">
                        <w:rPr>
                          <w:sz w:val="20"/>
                        </w:rPr>
                        <w:t xml:space="preserve">exhortar a la Secretaría de Seguridad Pública del Estado para que, a través de la </w:t>
                      </w:r>
                      <w:r w:rsidR="00DD55EF" w:rsidRPr="00DD55EF">
                        <w:rPr>
                          <w:sz w:val="20"/>
                        </w:rPr>
                        <w:t>Subsecretaría de Movilidad de Estado</w:t>
                      </w:r>
                      <w:r w:rsidRPr="000F636B">
                        <w:rPr>
                          <w:sz w:val="20"/>
                        </w:rPr>
                        <w:t>, adopte medidas en la expedición de permisos especiales para personas con discapacidad y la vigencia del permiso sea prolongada</w:t>
                      </w:r>
                      <w:r>
                        <w:rPr>
                          <w:sz w:val="20"/>
                        </w:rPr>
                        <w:t>.</w:t>
                      </w:r>
                    </w:p>
                  </w:txbxContent>
                </v:textbox>
                <w10:wrap anchorx="margin"/>
              </v:shape>
            </w:pict>
          </mc:Fallback>
        </mc:AlternateContent>
      </w:r>
    </w:p>
    <w:p w14:paraId="7F199F8C" w14:textId="169D57B9" w:rsidR="002C5C43" w:rsidRDefault="002C5C43" w:rsidP="008F0FD6">
      <w:pPr>
        <w:jc w:val="both"/>
        <w:rPr>
          <w:rFonts w:ascii="Century Gothic" w:hAnsi="Century Gothic"/>
          <w:sz w:val="28"/>
          <w:szCs w:val="28"/>
        </w:rPr>
      </w:pPr>
    </w:p>
    <w:p w14:paraId="71EFD0F0" w14:textId="1F4623EA" w:rsidR="00550936" w:rsidRPr="008F0FD6" w:rsidRDefault="00550936" w:rsidP="008F0FD6">
      <w:pPr>
        <w:jc w:val="both"/>
        <w:rPr>
          <w:rFonts w:ascii="Century Gothic" w:hAnsi="Century Gothic"/>
          <w:sz w:val="28"/>
          <w:szCs w:val="28"/>
        </w:rPr>
      </w:pPr>
    </w:p>
    <w:sectPr w:rsidR="00550936" w:rsidRPr="008F0FD6" w:rsidSect="00035E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9CEB" w14:textId="77777777" w:rsidR="00AC54C2" w:rsidRDefault="00AC54C2" w:rsidP="009326A5">
      <w:pPr>
        <w:spacing w:after="0" w:line="240" w:lineRule="auto"/>
      </w:pPr>
      <w:r>
        <w:separator/>
      </w:r>
    </w:p>
  </w:endnote>
  <w:endnote w:type="continuationSeparator" w:id="0">
    <w:p w14:paraId="2BCC011B" w14:textId="77777777" w:rsidR="00AC54C2" w:rsidRDefault="00AC54C2"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150" w14:textId="77777777" w:rsidR="00CE6D74" w:rsidRDefault="00CE6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_x0000_s1028"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0FF2" w14:textId="77777777" w:rsidR="00CE6D74" w:rsidRDefault="00CE6D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7DB0" w14:textId="77777777" w:rsidR="00AC54C2" w:rsidRDefault="00AC54C2" w:rsidP="009326A5">
      <w:pPr>
        <w:spacing w:after="0" w:line="240" w:lineRule="auto"/>
      </w:pPr>
      <w:r>
        <w:separator/>
      </w:r>
    </w:p>
  </w:footnote>
  <w:footnote w:type="continuationSeparator" w:id="0">
    <w:p w14:paraId="59515698" w14:textId="77777777" w:rsidR="00AC54C2" w:rsidRDefault="00AC54C2"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F4F" w14:textId="77777777" w:rsidR="00CE6D74" w:rsidRDefault="00CE6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503094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212512157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57934132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3BB" w14:textId="77777777" w:rsidR="00CE6D74" w:rsidRDefault="00CE6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68F0"/>
    <w:multiLevelType w:val="hybridMultilevel"/>
    <w:tmpl w:val="DC9C0302"/>
    <w:lvl w:ilvl="0" w:tplc="AD2ADA08">
      <w:numFmt w:val="bullet"/>
      <w:lvlText w:val=""/>
      <w:lvlJc w:val="left"/>
      <w:pPr>
        <w:ind w:left="720" w:hanging="360"/>
      </w:pPr>
      <w:rPr>
        <w:rFonts w:ascii="Symbol" w:eastAsia="Century Gothic" w:hAnsi="Symbol"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344CA4"/>
    <w:multiLevelType w:val="hybridMultilevel"/>
    <w:tmpl w:val="D024A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2482E"/>
    <w:rsid w:val="00035E39"/>
    <w:rsid w:val="00074EE4"/>
    <w:rsid w:val="00096A50"/>
    <w:rsid w:val="000B6C4E"/>
    <w:rsid w:val="000C16B4"/>
    <w:rsid w:val="000C58CD"/>
    <w:rsid w:val="000D64F7"/>
    <w:rsid w:val="000E6A1E"/>
    <w:rsid w:val="000F636B"/>
    <w:rsid w:val="000F6696"/>
    <w:rsid w:val="00102B07"/>
    <w:rsid w:val="001339FD"/>
    <w:rsid w:val="00133A18"/>
    <w:rsid w:val="00145FE6"/>
    <w:rsid w:val="001E42BE"/>
    <w:rsid w:val="001E730F"/>
    <w:rsid w:val="002350D5"/>
    <w:rsid w:val="002718B1"/>
    <w:rsid w:val="00292BB1"/>
    <w:rsid w:val="002A44B6"/>
    <w:rsid w:val="002B5D1A"/>
    <w:rsid w:val="002C5C43"/>
    <w:rsid w:val="002D3521"/>
    <w:rsid w:val="002E0A34"/>
    <w:rsid w:val="0035781D"/>
    <w:rsid w:val="00361803"/>
    <w:rsid w:val="00385A76"/>
    <w:rsid w:val="003D7946"/>
    <w:rsid w:val="003E2041"/>
    <w:rsid w:val="003F1F22"/>
    <w:rsid w:val="00425180"/>
    <w:rsid w:val="00427610"/>
    <w:rsid w:val="004472DA"/>
    <w:rsid w:val="004614B8"/>
    <w:rsid w:val="00467054"/>
    <w:rsid w:val="00467346"/>
    <w:rsid w:val="00475CEA"/>
    <w:rsid w:val="00475E1C"/>
    <w:rsid w:val="004E1F8B"/>
    <w:rsid w:val="00506D9D"/>
    <w:rsid w:val="00517712"/>
    <w:rsid w:val="00535843"/>
    <w:rsid w:val="00550936"/>
    <w:rsid w:val="005562D4"/>
    <w:rsid w:val="005B3FE3"/>
    <w:rsid w:val="005D359B"/>
    <w:rsid w:val="005E2115"/>
    <w:rsid w:val="005F47E3"/>
    <w:rsid w:val="00631204"/>
    <w:rsid w:val="006335F9"/>
    <w:rsid w:val="00643FBF"/>
    <w:rsid w:val="00664B35"/>
    <w:rsid w:val="006953D0"/>
    <w:rsid w:val="006C2284"/>
    <w:rsid w:val="006C6B4D"/>
    <w:rsid w:val="006E3DF7"/>
    <w:rsid w:val="00712ACA"/>
    <w:rsid w:val="0071724D"/>
    <w:rsid w:val="00752F07"/>
    <w:rsid w:val="00787D4E"/>
    <w:rsid w:val="007A2E3F"/>
    <w:rsid w:val="007C2E14"/>
    <w:rsid w:val="007C56A9"/>
    <w:rsid w:val="007E4982"/>
    <w:rsid w:val="008177A6"/>
    <w:rsid w:val="00823A58"/>
    <w:rsid w:val="00824224"/>
    <w:rsid w:val="00855338"/>
    <w:rsid w:val="00882BF3"/>
    <w:rsid w:val="008B55F9"/>
    <w:rsid w:val="008E55A5"/>
    <w:rsid w:val="008F0FD6"/>
    <w:rsid w:val="008F2117"/>
    <w:rsid w:val="00912073"/>
    <w:rsid w:val="00925C10"/>
    <w:rsid w:val="009326A5"/>
    <w:rsid w:val="00946842"/>
    <w:rsid w:val="009B7AB3"/>
    <w:rsid w:val="009C443C"/>
    <w:rsid w:val="009E3534"/>
    <w:rsid w:val="00A200B9"/>
    <w:rsid w:val="00A20369"/>
    <w:rsid w:val="00A43466"/>
    <w:rsid w:val="00A94CC4"/>
    <w:rsid w:val="00A96159"/>
    <w:rsid w:val="00AC54C2"/>
    <w:rsid w:val="00AE0FB9"/>
    <w:rsid w:val="00B44B75"/>
    <w:rsid w:val="00B459D7"/>
    <w:rsid w:val="00B60555"/>
    <w:rsid w:val="00B63DD3"/>
    <w:rsid w:val="00B72EA6"/>
    <w:rsid w:val="00BC4538"/>
    <w:rsid w:val="00BF18A4"/>
    <w:rsid w:val="00CB1819"/>
    <w:rsid w:val="00CB2D83"/>
    <w:rsid w:val="00CE6D74"/>
    <w:rsid w:val="00D22CDF"/>
    <w:rsid w:val="00D26A85"/>
    <w:rsid w:val="00D51118"/>
    <w:rsid w:val="00D66DA7"/>
    <w:rsid w:val="00DA2F80"/>
    <w:rsid w:val="00DD55EF"/>
    <w:rsid w:val="00DF42B2"/>
    <w:rsid w:val="00E2025F"/>
    <w:rsid w:val="00E26014"/>
    <w:rsid w:val="00E26596"/>
    <w:rsid w:val="00E30EC5"/>
    <w:rsid w:val="00E5040A"/>
    <w:rsid w:val="00E667C6"/>
    <w:rsid w:val="00E8139C"/>
    <w:rsid w:val="00E931DF"/>
    <w:rsid w:val="00EA08B5"/>
    <w:rsid w:val="00F31EAB"/>
    <w:rsid w:val="00F371D5"/>
    <w:rsid w:val="00F5323E"/>
    <w:rsid w:val="00F62FF6"/>
    <w:rsid w:val="00F64FDA"/>
    <w:rsid w:val="00FA5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5A76"/>
    <w:pPr>
      <w:spacing w:before="100" w:beforeAutospacing="1" w:after="100" w:afterAutospacing="1" w:line="240" w:lineRule="auto"/>
    </w:pPr>
    <w:rPr>
      <w:rFonts w:ascii="Times New Roman" w:eastAsia="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2025-03-31T16:40:00Z</cp:lastPrinted>
  <dcterms:created xsi:type="dcterms:W3CDTF">2025-10-15T20:28:00Z</dcterms:created>
  <dcterms:modified xsi:type="dcterms:W3CDTF">2025-10-15T20:28:00Z</dcterms:modified>
</cp:coreProperties>
</file>