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E452" w14:textId="77777777" w:rsid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  <w:bookmarkStart w:id="0" w:name="_Hlk211248078"/>
    </w:p>
    <w:p w14:paraId="1BE29FC5" w14:textId="77777777" w:rsid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14CDD0EB" w14:textId="77777777" w:rsid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12D82D38" w14:textId="77777777" w:rsid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10F8BD50" w14:textId="36D48AA8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H. CONGRESO DEL ESTADO DE CHIHUAHUA.</w:t>
      </w:r>
    </w:p>
    <w:p w14:paraId="3183563E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PRESENTE. -</w:t>
      </w:r>
    </w:p>
    <w:p w14:paraId="16905A7F" w14:textId="77777777" w:rsidR="00136D45" w:rsidRPr="00136D45" w:rsidRDefault="00136D45" w:rsidP="00136D45">
      <w:pPr>
        <w:spacing w:after="0" w:line="360" w:lineRule="auto"/>
        <w:jc w:val="both"/>
        <w:rPr>
          <w:rFonts w:ascii="Century Gothic" w:eastAsia="Century Gothic" w:hAnsi="Century Gothic" w:cs="Century Gothic"/>
          <w:b/>
          <w:sz w:val="26"/>
          <w:szCs w:val="26"/>
          <w:lang w:eastAsia="es-MX"/>
        </w:rPr>
      </w:pPr>
    </w:p>
    <w:p w14:paraId="1DEFB1E2" w14:textId="05D113C7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sz w:val="28"/>
          <w:szCs w:val="28"/>
          <w:lang w:eastAsia="es-MX"/>
        </w:rPr>
        <w:t xml:space="preserve">Quien suscribe Leticia Ortega Máynez, Diputada integrante del Grupo Parlamentario de MORENA, con fundamento en lo dispuesto por el artículo 66 de la Constitución Política del Estado Libre y Soberano de Chihuahua me permito formular las siguientes preguntas a las autoridades: </w:t>
      </w:r>
      <w:r w:rsidRPr="00136D45">
        <w:rPr>
          <w:rFonts w:ascii="Arial" w:eastAsia="Century Gothic" w:hAnsi="Arial" w:cs="Arial"/>
          <w:b/>
          <w:bCs/>
          <w:sz w:val="28"/>
          <w:szCs w:val="28"/>
          <w:lang w:eastAsia="es-MX"/>
        </w:rPr>
        <w:t xml:space="preserve">SECRETARÍA DE SEGURIDAD PÚBLICA DEL ESTADO DE CHIHUAHUA; </w:t>
      </w:r>
      <w:r w:rsidRPr="00136D45">
        <w:rPr>
          <w:rFonts w:ascii="Arial" w:eastAsia="Century Gothic" w:hAnsi="Arial" w:cs="Arial"/>
          <w:sz w:val="28"/>
          <w:szCs w:val="28"/>
          <w:lang w:eastAsia="es-MX"/>
        </w:rPr>
        <w:t>cumpliendo con los requerimientos del numeral anteriormente citado, en espera que cada una dé respuesta puntual a lo que les corresponda según sus atribuciones y facultades, al tenor de la siguiente</w:t>
      </w: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:</w:t>
      </w:r>
    </w:p>
    <w:p w14:paraId="3AEBCE12" w14:textId="662D5D53" w:rsidR="00136D45" w:rsidRDefault="00136D45" w:rsidP="00F44AE1">
      <w:pPr>
        <w:spacing w:after="0" w:line="480" w:lineRule="auto"/>
        <w:jc w:val="center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EXPOSICIÓN DE MOTIVOS:</w:t>
      </w:r>
    </w:p>
    <w:p w14:paraId="75623528" w14:textId="77777777" w:rsidR="00F44AE1" w:rsidRDefault="00F44AE1" w:rsidP="00F44AE1">
      <w:pPr>
        <w:spacing w:after="0" w:line="480" w:lineRule="auto"/>
        <w:jc w:val="center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67A76CE3" w14:textId="572CA11B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La seguridad pública constituye una de las funciones esenciales y más sensibles del Estado. Su adecuada ejecución no solo exige eficacia operativa, sino también el estricto apego a los principios de legalidad,</w:t>
      </w:r>
      <w:r w:rsid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transparencia y rendición de cuentas. </w:t>
      </w:r>
    </w:p>
    <w:p w14:paraId="44D67642" w14:textId="77777777" w:rsidR="00F44AE1" w:rsidRDefault="00F44AE1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E900C01" w14:textId="77777777" w:rsidR="00F44AE1" w:rsidRDefault="00F44AE1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1D092818" w14:textId="72839FA2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En este sentido, la implementación de la denominada Plataforma Centinela —uno de los proyectos tecnológicos más costosos en la historia del estado de Chihuahua— ha despertado legítimas inquietudes en torno a su planeación, ejecución, supervisión y resultados. Dicho proyecto, adjudicado de manera directa a la empresa </w:t>
      </w:r>
      <w:proofErr w:type="spellStart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Seguritech</w:t>
      </w:r>
      <w:proofErr w:type="spellEnd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Privada S.A. de C.V., involucra un contrato estimado en más de cuatro mil setecientos millones de pesos, destinado a la instalación de una red de videovigilancia con más de tres mil cámaras PTZ, cuatro mil ochocientas cámaras fijas, mil setecientas noventa y una lectoras de placas, ciento dos arcos carreteros y once filtros Centinela, además de infraestructura informática, estaciones de trabajo y drones.</w:t>
      </w:r>
    </w:p>
    <w:p w14:paraId="1DE45965" w14:textId="77777777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Sin embargo, las cifras y los anuncios oficiales contrastan con la realidad que vive la ciudadanía. </w:t>
      </w:r>
    </w:p>
    <w:p w14:paraId="2BB7F674" w14:textId="77777777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45F468E5" w14:textId="77777777" w:rsidR="00F44AE1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Chihuahua sigue registrando altos índices de homicidios dolosos, desapariciones, extorsiones y delitos patrimoniales, colocándose de manera constante entre las entidades más violentas del país. </w:t>
      </w:r>
    </w:p>
    <w:p w14:paraId="705A55EC" w14:textId="77777777" w:rsidR="00F44AE1" w:rsidRDefault="00F44AE1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79D72A9B" w14:textId="77777777" w:rsidR="00F44AE1" w:rsidRDefault="00F44AE1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2C054CA" w14:textId="77777777" w:rsidR="00F44AE1" w:rsidRDefault="00F44AE1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76C99A98" w14:textId="178187E0" w:rsidR="00F44AE1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En ciudades como Juárez y Chihuahua capital, la percepción de inseguridad supera el 80%, según el INEGI. </w:t>
      </w:r>
    </w:p>
    <w:p w14:paraId="0353DC37" w14:textId="539E30F9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Este panorama evidencia que, pese a las millonarias inversiones, los resultados en materia de prevención y reducción del delito no han sido tangibles ni verificables.</w:t>
      </w:r>
    </w:p>
    <w:p w14:paraId="2045BC27" w14:textId="77777777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E2CA2B4" w14:textId="77777777" w:rsidR="00F44AE1" w:rsidRPr="00F44AE1" w:rsidRDefault="00F44AE1" w:rsidP="00F44AE1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A ello se suma la mala reputación pública y los antecedentes controvertidos de la empresa </w:t>
      </w:r>
      <w:proofErr w:type="spellStart"/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Seguritech</w:t>
      </w:r>
      <w:proofErr w:type="spellEnd"/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señalada por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sobrecostos, opacidad y adjudicaciones directas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en diversas entidades federativas. En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Baja California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investigaciones de </w:t>
      </w:r>
      <w:r w:rsidRPr="00F44AE1">
        <w:rPr>
          <w:rFonts w:ascii="Arial" w:eastAsia="Century Gothic" w:hAnsi="Arial" w:cs="Arial"/>
          <w:bCs/>
          <w:i/>
          <w:iCs/>
          <w:sz w:val="28"/>
          <w:szCs w:val="28"/>
          <w:lang w:eastAsia="es-MX"/>
        </w:rPr>
        <w:t>La Verdad Juárez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(2021) y </w:t>
      </w:r>
      <w:r w:rsidRPr="00F44AE1">
        <w:rPr>
          <w:rFonts w:ascii="Arial" w:eastAsia="Century Gothic" w:hAnsi="Arial" w:cs="Arial"/>
          <w:bCs/>
          <w:i/>
          <w:iCs/>
          <w:sz w:val="28"/>
          <w:szCs w:val="28"/>
          <w:lang w:eastAsia="es-MX"/>
        </w:rPr>
        <w:t>Zeta Tijuana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(2022) documentaron irregularidades en el contrato del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C5i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valuado en más de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700 millones de pesos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con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equipos sobrevalorados, pagos indebidos y falta de transparencia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>, sin resultados comprobables en materia de seguridad.</w:t>
      </w:r>
    </w:p>
    <w:p w14:paraId="516A9613" w14:textId="77777777" w:rsidR="00F44AE1" w:rsidRPr="00F44AE1" w:rsidRDefault="00F44AE1" w:rsidP="00F44AE1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En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Guanajuato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el portal </w:t>
      </w:r>
      <w:r w:rsidRPr="00F44AE1">
        <w:rPr>
          <w:rFonts w:ascii="Arial" w:eastAsia="Century Gothic" w:hAnsi="Arial" w:cs="Arial"/>
          <w:bCs/>
          <w:i/>
          <w:iCs/>
          <w:sz w:val="28"/>
          <w:szCs w:val="28"/>
          <w:lang w:eastAsia="es-MX"/>
        </w:rPr>
        <w:t>El Otro Enfoque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(julio de 2025) reveló que los contratos con </w:t>
      </w:r>
      <w:proofErr w:type="spellStart"/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>Seguritech</w:t>
      </w:r>
      <w:proofErr w:type="spellEnd"/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superan los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12 mil millones de pesos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muchos de ellos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reservados hasta 2030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y firmados durante el gobierno anterior. La actual administración ordenó su publicación parcial e 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lastRenderedPageBreak/>
        <w:t xml:space="preserve">instruyó una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investigación por posibles irregularidades y vínculos con actos de corrupción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>.</w:t>
      </w:r>
    </w:p>
    <w:p w14:paraId="010C4A12" w14:textId="77777777" w:rsidR="00F44AE1" w:rsidRPr="00F44AE1" w:rsidRDefault="00F44AE1" w:rsidP="00F44AE1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Asimismo, en la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Ciudad de México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y el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Estado de México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se han detectado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deficiencias técnicas y precios inflados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en contratos millonarios de videovigilancia y alarmas vecinales, lo que ha derivado en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observaciones de auditorías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y cuestionamientos públicos.</w:t>
      </w:r>
    </w:p>
    <w:p w14:paraId="4F824EFC" w14:textId="77777777" w:rsidR="00F44AE1" w:rsidRPr="00F44AE1" w:rsidRDefault="00F44AE1" w:rsidP="00F44AE1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Estos antecedentes confirman la necesidad de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extremar la supervisión y la rendición de cuentas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cuando dicha empresa es contratada con recursos públicos, dada su reiterada participación en proyectos marcados por </w:t>
      </w:r>
      <w:r w:rsidRPr="00F44AE1">
        <w:rPr>
          <w:rFonts w:ascii="Arial" w:eastAsia="Century Gothic" w:hAnsi="Arial" w:cs="Arial"/>
          <w:b/>
          <w:bCs/>
          <w:sz w:val="28"/>
          <w:szCs w:val="28"/>
          <w:lang w:eastAsia="es-MX"/>
        </w:rPr>
        <w:t>opacidad y falta de resultados verificables</w:t>
      </w:r>
      <w:r w:rsidRPr="00F44AE1">
        <w:rPr>
          <w:rFonts w:ascii="Arial" w:eastAsia="Century Gothic" w:hAnsi="Arial" w:cs="Arial"/>
          <w:bCs/>
          <w:sz w:val="28"/>
          <w:szCs w:val="28"/>
          <w:lang w:eastAsia="es-MX"/>
        </w:rPr>
        <w:t>.</w:t>
      </w:r>
    </w:p>
    <w:p w14:paraId="3F991BE8" w14:textId="77777777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4703ED47" w14:textId="2A83E999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En el caso particular de Chihuahua, la reserva de la información técnica del contrato y sus anexos bajo el argumento de seguridad pública impide la verificación ciudadana de los criterios técnicos, comparativos de costo-beneficio y mecanismos de control establecidos. Si bien la clasificación de información puede tener sustento jurídico, su uso excesivo erosiona la confianza pública y debilita la </w:t>
      </w:r>
      <w:proofErr w:type="gramStart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transparencia </w:t>
      </w:r>
      <w:r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gubernamental</w:t>
      </w:r>
      <w:proofErr w:type="gramEnd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, especialmente cuando se trata de proyectos de miles de millones de pesos financiados con recursos estatales.</w:t>
      </w:r>
    </w:p>
    <w:p w14:paraId="50BAF0B3" w14:textId="77777777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DB492DA" w14:textId="6255CE1A" w:rsid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lastRenderedPageBreak/>
        <w:t xml:space="preserve">La falta de datos verificables sobre la operatividad total de las cámaras, su conectividad con los subcentros regionales y la cobertura en municipios con mayor incidencia delictiva, genera legítimas dudas sobre el verdadero impacto del sistema. Si el Gobierno del Estado ha cumplido con las obligaciones contractuales en tiempo y forma, debe demostrarlo con evidencia técnica y pública. </w:t>
      </w:r>
    </w:p>
    <w:p w14:paraId="02B30D48" w14:textId="1D4D68A7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De igual manera, si se han detectado retrasos, deficiencias o incumplimientos, corresponde informar qué sanciones se han aplicado, en qué plazos y bajo qué fundamento jurídico.</w:t>
      </w:r>
    </w:p>
    <w:p w14:paraId="2A11264D" w14:textId="77777777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La Plataforma Centinela fue presentada como un modelo de vigilancia moderna y de inteligencia policial. No obstante, mientras la violencia se mantiene en niveles alarmantes y la opacidad prevalece, dicha promesa queda en entredicho. La seguridad pública no puede basarse en el discurso tecnológico, sino en resultados concretos y medibles que garanticen la protección efectiva de la población.</w:t>
      </w:r>
    </w:p>
    <w:p w14:paraId="6EF712B7" w14:textId="77777777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Por ello, resulta imperativo que las autoridades competentes respondan con claridad y evidencia documental a los cuestionamientos que aquí se formulan. Ninguna de estas preguntas se encuentra bajo reserva; al contrario, su respuesta constituye una obligación institucional frente a la ciudadanía y frente al Poder Legislativo.</w:t>
      </w:r>
    </w:p>
    <w:p w14:paraId="1795F6E9" w14:textId="2420CEFA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lastRenderedPageBreak/>
        <w:t>Solo mediante la transparencia, la rendición de cuentas y la evaluación objetiva de los resultados, se podrá afirmar que el proyecto Centinela cumple con su propósito fundamental: proteger a las y los chihuahuenses, y no servir a intereses empresariales o decisiones discrecionales alejadas del bien</w:t>
      </w:r>
      <w:r w:rsidR="00815760">
        <w:rPr>
          <w:rFonts w:ascii="Arial" w:eastAsia="Century Gothic" w:hAnsi="Arial" w:cs="Arial"/>
          <w:bCs/>
          <w:sz w:val="28"/>
          <w:szCs w:val="28"/>
          <w:lang w:eastAsia="es-MX"/>
        </w:rPr>
        <w:t>estar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común.</w:t>
      </w:r>
    </w:p>
    <w:p w14:paraId="4AB8756D" w14:textId="77777777" w:rsidR="00136D45" w:rsidRPr="00136D45" w:rsidRDefault="00136D45" w:rsidP="00136D45">
      <w:pPr>
        <w:spacing w:after="0" w:line="48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6C9DB62A" w14:textId="54E9E4F7" w:rsidR="00136D45" w:rsidRDefault="00136D45" w:rsidP="00136D45">
      <w:pPr>
        <w:spacing w:after="0" w:line="480" w:lineRule="auto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Por estos motivos, expreso las siguientes preguntas a las autoridades correspondientes</w:t>
      </w:r>
      <w:r>
        <w:rPr>
          <w:rFonts w:ascii="Arial" w:eastAsia="Century Gothic" w:hAnsi="Arial" w:cs="Arial"/>
          <w:bCs/>
          <w:sz w:val="28"/>
          <w:szCs w:val="28"/>
          <w:lang w:eastAsia="es-MX"/>
        </w:rPr>
        <w:t>:</w:t>
      </w:r>
    </w:p>
    <w:p w14:paraId="18083789" w14:textId="77777777" w:rsidR="00136D45" w:rsidRDefault="00136D45" w:rsidP="00136D45">
      <w:pPr>
        <w:spacing w:after="0" w:line="480" w:lineRule="auto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0872DA12" w14:textId="267CEF06" w:rsidR="00136D45" w:rsidRP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¿Cuáles fueron los criterios técnicos</w:t>
      </w:r>
      <w:r w:rsidR="00815760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y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operativos utilizados por la Secretaría de Seguridad Pública para justificar la adjudicación directa del contrato a la empresa </w:t>
      </w:r>
      <w:proofErr w:type="spellStart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Seguritech</w:t>
      </w:r>
      <w:proofErr w:type="spellEnd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, sin realizar un proceso de licitación pública?</w:t>
      </w:r>
    </w:p>
    <w:p w14:paraId="3924898E" w14:textId="6C819D20" w:rsid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¿Cuántos de los elementos comprometidos originalmente en el contrato (cámaras, arcos carreteros, subcentros, drones, lectores de placas, etc.) han sido efectivamente instalados y se encuentran operando a la fecha? Favor de desglosar por tipo de tecnología y municipio.</w:t>
      </w:r>
    </w:p>
    <w:p w14:paraId="4375BCDA" w14:textId="16DAC426" w:rsidR="00136D45" w:rsidRDefault="00136D45" w:rsidP="00136D45">
      <w:p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61A3AE2F" w14:textId="5F5E2CBF" w:rsidR="00136D45" w:rsidRDefault="00136D45" w:rsidP="00136D45">
      <w:p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AE775E7" w14:textId="77777777" w:rsidR="00136D45" w:rsidRDefault="00136D45" w:rsidP="00136D45">
      <w:p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3EB59692" w14:textId="575E477D" w:rsidR="00136D45" w:rsidRDefault="00136D45" w:rsidP="00136D45">
      <w:p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56E96831" w14:textId="77777777" w:rsidR="00136D45" w:rsidRPr="00136D45" w:rsidRDefault="00136D45" w:rsidP="00136D45">
      <w:p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49BDDC16" w14:textId="2FDEA8E7" w:rsidR="00136D45" w:rsidRP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¿Qué porcentaje de avance físico y operativo registra la Torre Centinela y la Plataforma Centinela al cierre del último trimestre, y cómo se compara ese avance con el cronograma pactado originalmente con el contratista?</w:t>
      </w:r>
    </w:p>
    <w:p w14:paraId="13B1071F" w14:textId="77777777" w:rsidR="00136D45" w:rsidRP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¿Cuáles mecanismos de supervisión ha implementado la Secretaría de Seguridad Pública para verificar el cumplimiento del contrato por parte de </w:t>
      </w:r>
      <w:proofErr w:type="spellStart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Seguritech</w:t>
      </w:r>
      <w:proofErr w:type="spellEnd"/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, y qué sanciones se han aplicado en caso de retrasos, fallas técnicas o incumplimientos parciales?</w:t>
      </w:r>
    </w:p>
    <w:p w14:paraId="096ADC8C" w14:textId="0E475259" w:rsid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¿Qué indicadores concretos de reducción de incidencia delictiva se han obtenido desde la entrada en operación parcial de la Plataforma Centinela, y qué relación directa ha establecido la SSPE entre estos resultados y el funcionamiento del sistema de videovigilancia?</w:t>
      </w:r>
    </w:p>
    <w:p w14:paraId="24C9729E" w14:textId="66EC2707" w:rsid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¿Cuál disminución de homicidios dolosos u otros delitos específicos se ha logrado hasta ahora como resultado de la Plataforma Centinela</w:t>
      </w:r>
      <w:r w:rsidR="00815760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por municipio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, con cifras concretas y comparadas año contra año? </w:t>
      </w:r>
    </w:p>
    <w:p w14:paraId="7C420230" w14:textId="77777777" w:rsidR="00136D45" w:rsidRPr="00136D45" w:rsidRDefault="00136D45" w:rsidP="00136D45">
      <w:pPr>
        <w:spacing w:after="0" w:line="480" w:lineRule="auto"/>
        <w:ind w:left="720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</w:p>
    <w:p w14:paraId="5F3EDAAF" w14:textId="6C497D01" w:rsidR="00136D45" w:rsidRP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¿Qué mecanismos de evaluación se establecieron para medir la efectividad del sistema de videovigilancia (por ejemplo, tiempos de respuesta, cantidad de delitos esclarecidos, reducción de incidentes)?</w:t>
      </w:r>
    </w:p>
    <w:p w14:paraId="612ED00F" w14:textId="4CAB01F2" w:rsidR="00136D45" w:rsidRPr="00136D45" w:rsidRDefault="00136D45" w:rsidP="00136D45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Arial" w:eastAsia="Century Gothic" w:hAnsi="Arial" w:cs="Arial"/>
          <w:bCs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>¿Cómo se garantiza que la infraestructura no sea usada para fines de espionaje político u otros usos indebidos, como lo han preguntado ciudadanos? ¿Qué controles técnicos, administrativo</w:t>
      </w:r>
      <w:r w:rsidR="00815760">
        <w:rPr>
          <w:rFonts w:ascii="Arial" w:eastAsia="Century Gothic" w:hAnsi="Arial" w:cs="Arial"/>
          <w:bCs/>
          <w:sz w:val="28"/>
          <w:szCs w:val="28"/>
          <w:lang w:eastAsia="es-MX"/>
        </w:rPr>
        <w:t>s</w:t>
      </w:r>
      <w:r w:rsidRPr="00136D45">
        <w:rPr>
          <w:rFonts w:ascii="Arial" w:eastAsia="Century Gothic" w:hAnsi="Arial" w:cs="Arial"/>
          <w:bCs/>
          <w:sz w:val="28"/>
          <w:szCs w:val="28"/>
          <w:lang w:eastAsia="es-MX"/>
        </w:rPr>
        <w:t xml:space="preserve"> existen?</w:t>
      </w:r>
    </w:p>
    <w:p w14:paraId="62AA8315" w14:textId="77777777" w:rsidR="00136D45" w:rsidRPr="00136D45" w:rsidRDefault="00136D45" w:rsidP="00136D45">
      <w:pPr>
        <w:spacing w:after="0" w:line="480" w:lineRule="auto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bookmarkEnd w:id="0"/>
    <w:p w14:paraId="3CEF7823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En virtud de lo dispuesto por las fracciones III, IV y V del artículo 66 de la Constitución Política del Estado de Chihuahua, solicito:</w:t>
      </w:r>
    </w:p>
    <w:p w14:paraId="49E09D86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4907EA1B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b/>
          <w:sz w:val="28"/>
          <w:szCs w:val="28"/>
          <w:lang w:eastAsia="es-MX"/>
        </w:rPr>
      </w:pPr>
    </w:p>
    <w:p w14:paraId="4FACF223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PRIMERO.</w:t>
      </w:r>
      <w:r w:rsidRPr="00136D45">
        <w:rPr>
          <w:rFonts w:ascii="Arial" w:eastAsia="Century Gothic" w:hAnsi="Arial" w:cs="Arial"/>
          <w:sz w:val="28"/>
          <w:szCs w:val="28"/>
          <w:lang w:eastAsia="es-MX"/>
        </w:rPr>
        <w:t xml:space="preserve"> A esta Presidencia, turnar las preguntas anteriormente formuladas a las autoridades mencionadas a más tardar en la segunda sesión ordinaria posterior a esta fecha, de conformidad con la fracción III del artículo 66 de la Constitución, avisando a la C. Gobernadora Constitucional del Estado.</w:t>
      </w:r>
    </w:p>
    <w:p w14:paraId="38D20ADF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</w:p>
    <w:p w14:paraId="6CF7E4E6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SEGUNDO.</w:t>
      </w:r>
      <w:r w:rsidRPr="00136D45">
        <w:rPr>
          <w:rFonts w:ascii="Arial" w:eastAsia="Century Gothic" w:hAnsi="Arial" w:cs="Arial"/>
          <w:sz w:val="28"/>
          <w:szCs w:val="28"/>
          <w:lang w:eastAsia="es-MX"/>
        </w:rPr>
        <w:t xml:space="preserve"> De igual manera y una vez agotados los plazos contemplados para que las autoridades emitan su respuesta, me permito solicitar a la Mesa Directiva del H. Congreso del Estado para </w:t>
      </w:r>
      <w:r w:rsidRPr="00136D45">
        <w:rPr>
          <w:rFonts w:ascii="Arial" w:eastAsia="Century Gothic" w:hAnsi="Arial" w:cs="Arial"/>
          <w:sz w:val="28"/>
          <w:szCs w:val="28"/>
          <w:lang w:eastAsia="es-MX"/>
        </w:rPr>
        <w:lastRenderedPageBreak/>
        <w:t>que, a través de su presidencia, se sirva a dar vista al pleno de la respuesta, en los términos de la fracción V del artículo 66 de la Constitución Política.</w:t>
      </w:r>
    </w:p>
    <w:p w14:paraId="7D154E3A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</w:p>
    <w:p w14:paraId="3566FEE2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 xml:space="preserve">TERCERO. </w:t>
      </w:r>
      <w:r w:rsidRPr="00136D45">
        <w:rPr>
          <w:rFonts w:ascii="Arial" w:eastAsia="Century Gothic" w:hAnsi="Arial" w:cs="Arial"/>
          <w:sz w:val="28"/>
          <w:szCs w:val="28"/>
          <w:lang w:eastAsia="es-MX"/>
        </w:rPr>
        <w:t>Una vez recibida la respuesta por el pleno, me permito solicitar a la Mesa Directiva del H. Congreso del Estado para que, a través de su presidencia, se sirva a enlistar para debate la respuesta en la sesión ordinaria inmediata siguiente a la recepción de las contestaciones correspondientes, para dar cumplimiento al procedimiento previsto en los términos de la fracción V del artículo 66 de la Constitución Política.</w:t>
      </w:r>
    </w:p>
    <w:p w14:paraId="4B4CE8A9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</w:p>
    <w:p w14:paraId="60867CF3" w14:textId="77777777" w:rsidR="00136D45" w:rsidRPr="00136D45" w:rsidRDefault="00136D45" w:rsidP="00136D45">
      <w:pPr>
        <w:spacing w:after="0" w:line="360" w:lineRule="auto"/>
        <w:jc w:val="both"/>
        <w:rPr>
          <w:rFonts w:ascii="Arial" w:eastAsia="Century Gothic" w:hAnsi="Arial" w:cs="Arial"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sz w:val="28"/>
          <w:szCs w:val="28"/>
          <w:lang w:eastAsia="es-MX"/>
        </w:rPr>
        <w:t>D A D O en el recinto oficial del Poder Legislativo, a los 14 días del mes de octubre del año dos mil veinticinco.</w:t>
      </w:r>
    </w:p>
    <w:p w14:paraId="7ACA9EDB" w14:textId="15BA8B04" w:rsidR="001D426E" w:rsidRDefault="001D426E"/>
    <w:p w14:paraId="3073E269" w14:textId="68C19455" w:rsidR="00136D45" w:rsidRDefault="00136D45"/>
    <w:p w14:paraId="32D4A7C5" w14:textId="77777777" w:rsidR="00136D45" w:rsidRPr="00136D45" w:rsidRDefault="00136D45" w:rsidP="00136D45">
      <w:pPr>
        <w:spacing w:after="0" w:line="360" w:lineRule="auto"/>
        <w:jc w:val="center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 xml:space="preserve">ATENTAMENTE </w:t>
      </w:r>
    </w:p>
    <w:p w14:paraId="2334F235" w14:textId="77777777" w:rsidR="00136D45" w:rsidRPr="00136D45" w:rsidRDefault="00136D45" w:rsidP="00136D45">
      <w:pPr>
        <w:spacing w:after="0" w:line="360" w:lineRule="auto"/>
        <w:jc w:val="center"/>
        <w:rPr>
          <w:rFonts w:ascii="Arial" w:eastAsia="Century Gothic" w:hAnsi="Arial" w:cs="Arial"/>
          <w:sz w:val="28"/>
          <w:szCs w:val="28"/>
          <w:lang w:eastAsia="es-MX"/>
        </w:rPr>
      </w:pPr>
    </w:p>
    <w:p w14:paraId="413CAA3B" w14:textId="77777777" w:rsidR="00136D45" w:rsidRPr="00136D45" w:rsidRDefault="00136D45" w:rsidP="00136D45">
      <w:pPr>
        <w:spacing w:after="0" w:line="360" w:lineRule="auto"/>
        <w:jc w:val="center"/>
        <w:rPr>
          <w:rFonts w:ascii="Arial" w:eastAsia="Century Gothic" w:hAnsi="Arial" w:cs="Arial"/>
          <w:sz w:val="28"/>
          <w:szCs w:val="28"/>
          <w:lang w:eastAsia="es-MX"/>
        </w:rPr>
      </w:pPr>
    </w:p>
    <w:p w14:paraId="4F5B5E24" w14:textId="77777777" w:rsidR="00136D45" w:rsidRPr="00136D45" w:rsidRDefault="00136D45" w:rsidP="00136D45">
      <w:pPr>
        <w:spacing w:after="0" w:line="360" w:lineRule="auto"/>
        <w:jc w:val="center"/>
        <w:rPr>
          <w:rFonts w:ascii="Arial" w:eastAsia="Century Gothic" w:hAnsi="Arial" w:cs="Arial"/>
          <w:sz w:val="28"/>
          <w:szCs w:val="28"/>
          <w:lang w:eastAsia="es-MX"/>
        </w:rPr>
      </w:pPr>
    </w:p>
    <w:p w14:paraId="7F377A91" w14:textId="77777777" w:rsidR="00136D45" w:rsidRPr="00136D45" w:rsidRDefault="00136D45" w:rsidP="00136D45">
      <w:pPr>
        <w:spacing w:after="0" w:line="360" w:lineRule="auto"/>
        <w:jc w:val="center"/>
        <w:rPr>
          <w:rFonts w:ascii="Arial" w:eastAsia="Century Gothic" w:hAnsi="Arial" w:cs="Arial"/>
          <w:b/>
          <w:sz w:val="28"/>
          <w:szCs w:val="28"/>
          <w:lang w:eastAsia="es-MX"/>
        </w:rPr>
      </w:pPr>
      <w:r w:rsidRPr="00136D45">
        <w:rPr>
          <w:rFonts w:ascii="Arial" w:eastAsia="Century Gothic" w:hAnsi="Arial" w:cs="Arial"/>
          <w:b/>
          <w:sz w:val="28"/>
          <w:szCs w:val="28"/>
          <w:lang w:eastAsia="es-MX"/>
        </w:rPr>
        <w:t>DIP. LETICIA ORTEGA MAYNEZ</w:t>
      </w:r>
    </w:p>
    <w:p w14:paraId="656477F0" w14:textId="77777777" w:rsidR="00136D45" w:rsidRDefault="00136D45" w:rsidP="00136D45">
      <w:pPr>
        <w:jc w:val="center"/>
      </w:pPr>
    </w:p>
    <w:sectPr w:rsidR="00136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3AC"/>
    <w:multiLevelType w:val="hybridMultilevel"/>
    <w:tmpl w:val="556A46E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45"/>
    <w:rsid w:val="00136D45"/>
    <w:rsid w:val="001D426E"/>
    <w:rsid w:val="00355CEF"/>
    <w:rsid w:val="00815760"/>
    <w:rsid w:val="008754EB"/>
    <w:rsid w:val="00F4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A41C"/>
  <w15:chartTrackingRefBased/>
  <w15:docId w15:val="{DA4A6B01-18AD-4481-89E9-4DB97CC1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1383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Ivonne Santamaria Barraza</dc:creator>
  <cp:keywords/>
  <dc:description/>
  <cp:lastModifiedBy>Andrea Daniela Flores Chacon</cp:lastModifiedBy>
  <cp:revision>2</cp:revision>
  <cp:lastPrinted>2025-10-13T19:57:00Z</cp:lastPrinted>
  <dcterms:created xsi:type="dcterms:W3CDTF">2025-10-13T20:39:00Z</dcterms:created>
  <dcterms:modified xsi:type="dcterms:W3CDTF">2025-10-13T20:39:00Z</dcterms:modified>
</cp:coreProperties>
</file>