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9F46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H. CONGRESO DEL ESTADO DE CHIHUAHUA</w:t>
      </w:r>
    </w:p>
    <w:p w14:paraId="55E51E8A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PRESENTE. –</w:t>
      </w:r>
    </w:p>
    <w:p w14:paraId="51D1735E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sz w:val="24"/>
          <w:szCs w:val="24"/>
          <w:shd w:val="clear" w:color="auto" w:fill="FEFFFF"/>
        </w:rPr>
      </w:pP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Quienes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suscribimos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, 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Jael Argüelles Díaz, Edin Cuauhtémoc Estrada Sotelo, Magdalena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Rentería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Pérez, Brenda Francisca Ríos Prieto, Elizabeth Guzmán Argueta, Edith Palma Ontiveros, Herminia Gómez Carrasco, Leticia Ortega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Máynez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, María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Antonieta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Pérez Reyes,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Óscar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Daniel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Avitia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A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rellanes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, Pedro Torres Estrada y Rosana Díaz Reyes,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nuestro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carácter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Diputadas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Diputados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la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Sexagésima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Octava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Legislatura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integrantes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del Grupo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Parlamentario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del Partido MORENA, con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fundamento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los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artículos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68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fracción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primera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la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Constit</w:t>
      </w:r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ución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 Política del Estado de Chihuahua: 167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fracción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primera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, 169 y 174,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todos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la Ley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Orgánica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del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Poder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Legislativo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;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así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los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numerales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75 y 76 del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Reglamento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Interior y de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Prácticas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Parlamentarias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del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Poder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Legislativo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acudimos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ante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esta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Honorab</w:t>
      </w:r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le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Asamblea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a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presentar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iniciativa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con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carácter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Decreto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a fin de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reformar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y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adicionar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disposiciones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la Ley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Estatal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Salud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para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el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establecimiento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lugares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cardioprotegidos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plazas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comerciales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, lo anterior al tenor de la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presente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:</w:t>
      </w:r>
    </w:p>
    <w:p w14:paraId="6B43B1D1" w14:textId="77777777" w:rsidR="00354FDF" w:rsidRDefault="00BB5782">
      <w:pPr>
        <w:spacing w:before="240" w:after="120" w:line="360" w:lineRule="auto"/>
        <w:jc w:val="center"/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</w:pP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Exposición</w:t>
      </w:r>
      <w:proofErr w:type="spell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de</w:t>
      </w: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motivos</w:t>
      </w:r>
      <w:proofErr w:type="spellEnd"/>
    </w:p>
    <w:p w14:paraId="1F098282" w14:textId="77777777" w:rsidR="00354FDF" w:rsidRDefault="00BB5782">
      <w:pPr>
        <w:spacing w:line="360" w:lineRule="auto"/>
        <w:ind w:firstLine="720"/>
        <w:jc w:val="both"/>
        <w:rPr>
          <w:rFonts w:ascii="Montserrat" w:eastAsia="Montserrat" w:hAnsi="Montserrat" w:cs="Montserrat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sz w:val="24"/>
          <w:szCs w:val="24"/>
        </w:rPr>
        <w:t>Cuidemos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salud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prevengamos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una de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mayores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causas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que toman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vidas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nuestro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país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.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Según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datos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proporcionados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por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Organización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Mundial de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Salud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enfermedades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cardiovasculares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representan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principal causa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defunción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alrededor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 xml:space="preserve">del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mundo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.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Aproximadamente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18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millones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personas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mueren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año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por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condiciones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asociadas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a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padecimientos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  <w:r>
        <w:rPr>
          <w:rFonts w:ascii="Montserrat" w:eastAsia="Montserrat" w:hAnsi="Montserrat" w:cs="Montserrat"/>
          <w:sz w:val="24"/>
          <w:szCs w:val="24"/>
          <w:vertAlign w:val="superscript"/>
        </w:rPr>
        <w:footnoteReference w:id="1"/>
      </w:r>
    </w:p>
    <w:p w14:paraId="4AE07823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206DB86C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sz w:val="24"/>
          <w:szCs w:val="24"/>
        </w:rPr>
        <w:lastRenderedPageBreak/>
        <w:t>Nuestro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país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no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escapa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a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tendencia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: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enfermedades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relacionadas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corazón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han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sido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consistentemente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primer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lugar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cifras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mortalidad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nacional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. Tan solo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primer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trimestre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2025,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cardiopatías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causaron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51,382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fallecimientos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1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4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México,</w:t>
      </w:r>
      <w:r>
        <w:rPr>
          <w:rFonts w:ascii="Montserrat" w:eastAsia="Montserrat" w:hAnsi="Montserrat" w:cs="Montserrat"/>
          <w:sz w:val="24"/>
          <w:szCs w:val="24"/>
          <w:vertAlign w:val="superscript"/>
        </w:rPr>
        <w:footnoteReference w:id="2"/>
      </w:r>
      <w:r>
        <w:rPr>
          <w:rFonts w:ascii="Montserrat" w:eastAsia="Montserrat" w:hAnsi="Montserrat" w:cs="Montserrat"/>
          <w:sz w:val="24"/>
          <w:szCs w:val="24"/>
        </w:rPr>
        <w:t xml:space="preserve"> 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tendencia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consistente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años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anteriores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donde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entre 150,000 y 200,000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mexicanos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mexicanas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pierden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vid</w:t>
      </w:r>
      <w:r>
        <w:rPr>
          <w:rFonts w:ascii="Montserrat" w:eastAsia="Montserrat" w:hAnsi="Montserrat" w:cs="Montserrat"/>
          <w:sz w:val="24"/>
          <w:szCs w:val="24"/>
        </w:rPr>
        <w:t>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ante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problema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anualmente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</w:p>
    <w:p w14:paraId="2C48DBAE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22070E4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Dentro de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afecciones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origen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corazón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muerte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súbita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cardiaca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(MSC)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representa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hasta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casi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 50% de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defunciones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ocasiones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es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primera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única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manifestación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enfermedad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tipo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partic</w:t>
      </w:r>
      <w:r>
        <w:rPr>
          <w:rFonts w:ascii="Montserrat" w:eastAsia="Montserrat" w:hAnsi="Montserrat" w:cs="Montserrat"/>
          <w:sz w:val="24"/>
          <w:szCs w:val="24"/>
        </w:rPr>
        <w:t>ularmente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de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cardiopatía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isquémica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. Lo anterior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subraya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necesidad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importancia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disponer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maximizar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esfuerzos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prevención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primaria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tales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procedimientos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reanimación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cardiopulmonar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básica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(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adelante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RCP)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así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uso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desfibril</w:t>
      </w:r>
      <w:r>
        <w:rPr>
          <w:rFonts w:ascii="Montserrat" w:eastAsia="Montserrat" w:hAnsi="Montserrat" w:cs="Montserrat"/>
          <w:sz w:val="24"/>
          <w:szCs w:val="24"/>
        </w:rPr>
        <w:t>ador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externo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automático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(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adelante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DEA),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elementos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cuales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es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posible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restablecer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ritmo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cardiaco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circulación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sanguínea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mejorando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pronóstico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calidad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sobrevida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  <w:r>
        <w:rPr>
          <w:rFonts w:ascii="Montserrat" w:eastAsia="Montserrat" w:hAnsi="Montserrat" w:cs="Montserrat"/>
          <w:sz w:val="24"/>
          <w:szCs w:val="24"/>
          <w:vertAlign w:val="superscript"/>
        </w:rPr>
        <w:footnoteReference w:id="3"/>
      </w:r>
    </w:p>
    <w:p w14:paraId="319783AA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1CA2EA60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presentación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más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común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una MSC es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paro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cardiaco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súbito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extr</w:t>
      </w:r>
      <w:r>
        <w:rPr>
          <w:rFonts w:ascii="Montserrat" w:eastAsia="Montserrat" w:hAnsi="Montserrat" w:cs="Montserrat"/>
          <w:sz w:val="24"/>
          <w:szCs w:val="24"/>
        </w:rPr>
        <w:t>ahospitalario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(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adelante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PCE) -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evidencia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médica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científica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indican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que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supervivencia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a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evento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depende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gran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parte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oportuna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respuesta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administrar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una RCP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temprana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además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uso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 DEA de ser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necesario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lo que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aumenta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 2</w:t>
      </w:r>
      <w:r>
        <w:rPr>
          <w:rFonts w:ascii="Montserrat" w:eastAsia="Montserrat" w:hAnsi="Montserrat" w:cs="Montserrat"/>
          <w:sz w:val="24"/>
          <w:szCs w:val="24"/>
        </w:rPr>
        <w:t xml:space="preserve">2% a un 55%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posibilidad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sobrevida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.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Según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estudios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posibilidad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sobrevivir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un PCE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empieza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decaer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entre un 7 y un 10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%  por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minuto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que se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retrasa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desfibrilación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cardiaca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  <w:r>
        <w:rPr>
          <w:rFonts w:ascii="Montserrat" w:eastAsia="Montserrat" w:hAnsi="Montserrat" w:cs="Montserrat"/>
          <w:sz w:val="24"/>
          <w:szCs w:val="24"/>
          <w:vertAlign w:val="superscript"/>
        </w:rPr>
        <w:footnoteReference w:id="4"/>
      </w:r>
      <w:r>
        <w:rPr>
          <w:rFonts w:ascii="Montserrat" w:eastAsia="Montserrat" w:hAnsi="Montserrat" w:cs="Montserrat"/>
          <w:sz w:val="24"/>
          <w:szCs w:val="24"/>
        </w:rPr>
        <w:t xml:space="preserve"> Al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suministrar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desfibrilación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primeros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5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minutos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</w:t>
      </w:r>
      <w:r>
        <w:rPr>
          <w:rFonts w:ascii="Montserrat" w:eastAsia="Montserrat" w:hAnsi="Montserrat" w:cs="Montserrat"/>
          <w:sz w:val="24"/>
          <w:szCs w:val="24"/>
        </w:rPr>
        <w:t>pisodio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es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posible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lastRenderedPageBreak/>
        <w:t>incrementar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hasta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 75%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supervivencia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ahí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importancia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disponer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desfibriladores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lo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más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cerca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posible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potenciales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víctimas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episodio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naturaleza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</w:p>
    <w:p w14:paraId="310638A5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56B7EEA0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sz w:val="24"/>
          <w:szCs w:val="24"/>
        </w:rPr>
        <w:t>Derivado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lo anterior,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desde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sociedad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civil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org</w:t>
      </w:r>
      <w:r>
        <w:rPr>
          <w:rFonts w:ascii="Montserrat" w:eastAsia="Montserrat" w:hAnsi="Montserrat" w:cs="Montserrat"/>
          <w:sz w:val="24"/>
          <w:szCs w:val="24"/>
        </w:rPr>
        <w:t>anizada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vez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más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ámbito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público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se ha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impulsado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cardioprotección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término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que ha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adquirido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mucha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relevancia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comunitaria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años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recientes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 ¿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qué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consiste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cardioprotección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?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Comprende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implementación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serie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medidas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f</w:t>
      </w:r>
      <w:r>
        <w:rPr>
          <w:rFonts w:ascii="Montserrat" w:eastAsia="Montserrat" w:hAnsi="Montserrat" w:cs="Montserrat"/>
          <w:sz w:val="24"/>
          <w:szCs w:val="24"/>
        </w:rPr>
        <w:t xml:space="preserve">in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habilitar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adecuar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alta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concurrencia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así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personal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humano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fin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convertirlas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zonas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seguras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para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visitantes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cuales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se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busca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brindar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atención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temprana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una persona que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sufre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emergencia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cardiaca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aumentan</w:t>
      </w:r>
      <w:r>
        <w:rPr>
          <w:rFonts w:ascii="Montserrat" w:eastAsia="Montserrat" w:hAnsi="Montserrat" w:cs="Montserrat"/>
          <w:sz w:val="24"/>
          <w:szCs w:val="24"/>
        </w:rPr>
        <w:t>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ello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sus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posibilidades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supervivencia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vez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trasladada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centro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médico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  <w:r>
        <w:rPr>
          <w:rFonts w:ascii="Montserrat" w:eastAsia="Montserrat" w:hAnsi="Montserrat" w:cs="Montserrat"/>
          <w:sz w:val="24"/>
          <w:szCs w:val="24"/>
          <w:vertAlign w:val="superscript"/>
        </w:rPr>
        <w:footnoteReference w:id="5"/>
      </w:r>
    </w:p>
    <w:p w14:paraId="694A6469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65FB0CC0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proofErr w:type="gramStart"/>
      <w:r>
        <w:rPr>
          <w:rFonts w:ascii="Montserrat" w:eastAsia="Montserrat" w:hAnsi="Montserrat" w:cs="Montserrat"/>
          <w:sz w:val="24"/>
          <w:szCs w:val="24"/>
        </w:rPr>
        <w:t>A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tipo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se les ha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denominado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i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</w:rPr>
        <w:t>cardioprotegidos</w:t>
      </w:r>
      <w:proofErr w:type="spellEnd"/>
      <w:r>
        <w:rPr>
          <w:rFonts w:ascii="Montserrat" w:eastAsia="Montserrat" w:hAnsi="Montserrat" w:cs="Montserrat"/>
          <w:i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cuales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es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importante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que se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cuente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sistema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que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permita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identificación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atenci</w:t>
      </w:r>
      <w:r>
        <w:rPr>
          <w:rFonts w:ascii="Montserrat" w:eastAsia="Montserrat" w:hAnsi="Montserrat" w:cs="Montserrat"/>
          <w:sz w:val="24"/>
          <w:szCs w:val="24"/>
        </w:rPr>
        <w:t>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rápida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eventos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y con base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promedio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asistentes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presencia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uno o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varios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desfibriladores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automáticos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externos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(DEA).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nuestro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país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iniciativa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ha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empezado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gramStart"/>
      <w:r>
        <w:rPr>
          <w:rFonts w:ascii="Montserrat" w:eastAsia="Montserrat" w:hAnsi="Montserrat" w:cs="Montserrat"/>
          <w:sz w:val="24"/>
          <w:szCs w:val="24"/>
        </w:rPr>
        <w:t>a</w:t>
      </w:r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implementarse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paulatinamente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partir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segundo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trimestre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del 2021.</w:t>
      </w:r>
      <w:r>
        <w:rPr>
          <w:rFonts w:ascii="Montserrat" w:eastAsia="Montserrat" w:hAnsi="Montserrat" w:cs="Montserrat"/>
          <w:sz w:val="24"/>
          <w:szCs w:val="24"/>
          <w:vertAlign w:val="superscript"/>
        </w:rPr>
        <w:footnoteReference w:id="6"/>
      </w:r>
    </w:p>
    <w:p w14:paraId="6B24FE36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05393D01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sz w:val="24"/>
          <w:szCs w:val="24"/>
        </w:rPr>
        <w:t>Desde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sociedad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médica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civil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organizada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se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han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propuesto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cuatro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ejes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esenciales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para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óptimo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funcionamiento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tipo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:</w:t>
      </w:r>
      <w:r>
        <w:rPr>
          <w:rFonts w:ascii="Montserrat" w:eastAsia="Montserrat" w:hAnsi="Montserrat" w:cs="Montserrat"/>
          <w:sz w:val="24"/>
          <w:szCs w:val="24"/>
          <w:vertAlign w:val="superscript"/>
        </w:rPr>
        <w:footnoteReference w:id="7"/>
      </w:r>
    </w:p>
    <w:p w14:paraId="7FE60BAD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375AF485" w14:textId="77777777" w:rsidR="00354FDF" w:rsidRDefault="00BB5782">
      <w:pPr>
        <w:numPr>
          <w:ilvl w:val="0"/>
          <w:numId w:val="1"/>
        </w:num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 xml:space="preserve">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respuesta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planificada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practicada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que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incluya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debida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identificación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o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señalética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equipos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DEA,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así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registro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públicos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privados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alta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afluencia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diaria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</w:p>
    <w:p w14:paraId="376351C8" w14:textId="77777777" w:rsidR="00354FDF" w:rsidRDefault="00354FDF">
      <w:pPr>
        <w:spacing w:line="360" w:lineRule="auto"/>
        <w:ind w:left="720"/>
        <w:jc w:val="both"/>
        <w:rPr>
          <w:rFonts w:ascii="Montserrat" w:eastAsia="Montserrat" w:hAnsi="Montserrat" w:cs="Montserrat"/>
          <w:sz w:val="24"/>
          <w:szCs w:val="24"/>
        </w:rPr>
      </w:pPr>
    </w:p>
    <w:p w14:paraId="784539B9" w14:textId="77777777" w:rsidR="00354FDF" w:rsidRDefault="00BB5782">
      <w:pPr>
        <w:numPr>
          <w:ilvl w:val="0"/>
          <w:numId w:val="1"/>
        </w:num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capacitación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concientización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pública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disposición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uso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del DEA por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probables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reanimadores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técnicas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RCP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porcentaje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suficiente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las personas que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trabajen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o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circundan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</w:p>
    <w:p w14:paraId="12C466C5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13A75116" w14:textId="77777777" w:rsidR="00354FDF" w:rsidRDefault="00BB5782">
      <w:pPr>
        <w:numPr>
          <w:ilvl w:val="0"/>
          <w:numId w:val="1"/>
        </w:num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Es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necesario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vínculo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integrado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Sistema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Emergencia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Médica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local para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mejorar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cadena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supervivencia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</w:p>
    <w:p w14:paraId="14DE7157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34AEE0DC" w14:textId="77777777" w:rsidR="00354FDF" w:rsidRDefault="00BB5782">
      <w:pPr>
        <w:numPr>
          <w:ilvl w:val="0"/>
          <w:numId w:val="1"/>
        </w:num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programa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evaluado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autorizado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por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diferentes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sociedades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asociaciones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médicas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nacionales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relacionadas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tema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su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respectiva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mejora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calidad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continua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retroalimentada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por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propias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personas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capacitadas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</w:p>
    <w:p w14:paraId="33F531FD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608B771F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aplicación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ciencia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preventiva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tipo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además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salvaguardar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vida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gente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se traduce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también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beneficio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para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salud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pública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reducción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la carga para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sistema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hospitalario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.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Aun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así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misma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puede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resultar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reto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que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todavía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tiene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fr</w:t>
      </w:r>
      <w:r>
        <w:rPr>
          <w:rFonts w:ascii="Montserrat" w:eastAsia="Montserrat" w:hAnsi="Montserrat" w:cs="Montserrat"/>
          <w:sz w:val="24"/>
          <w:szCs w:val="24"/>
        </w:rPr>
        <w:t>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sí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serie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obstáculos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administrativos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económicos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políticos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</w:p>
    <w:p w14:paraId="6165D3A6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1A757D05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plano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legislativo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todavía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hay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mucho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trabajo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por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realizar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: 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nivel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federal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sigue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pendiente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implementación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una ley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específica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proofErr w:type="gramStart"/>
      <w:r>
        <w:rPr>
          <w:rFonts w:ascii="Montserrat" w:eastAsia="Montserrat" w:hAnsi="Montserrat" w:cs="Montserrat"/>
          <w:sz w:val="24"/>
          <w:szCs w:val="24"/>
        </w:rPr>
        <w:t>materia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este</w:t>
      </w:r>
      <w:proofErr w:type="spellEnd"/>
      <w:proofErr w:type="gram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año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se ha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presentado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u</w:t>
      </w:r>
      <w:r>
        <w:rPr>
          <w:rFonts w:ascii="Montserrat" w:eastAsia="Montserrat" w:hAnsi="Montserrat" w:cs="Montserrat"/>
          <w:sz w:val="24"/>
          <w:szCs w:val="24"/>
        </w:rPr>
        <w:t xml:space="preserve">na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iniciativa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reforma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la Ley General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Salud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con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objetivo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ampliar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instalación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cardioprotegidos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lastRenderedPageBreak/>
        <w:t>concurridos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así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creación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del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Registro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Nacional de Paros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Cardiacos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Extrahospitalarios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.</w:t>
      </w:r>
      <w:r>
        <w:rPr>
          <w:rFonts w:ascii="Montserrat" w:eastAsia="Montserrat" w:hAnsi="Montserrat" w:cs="Montserrat"/>
          <w:sz w:val="24"/>
          <w:szCs w:val="24"/>
          <w:vertAlign w:val="superscript"/>
        </w:rPr>
        <w:footnoteReference w:id="8"/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p w14:paraId="2849EA01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36A30341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nivel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estatal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solamen</w:t>
      </w:r>
      <w:r>
        <w:rPr>
          <w:rFonts w:ascii="Montserrat" w:eastAsia="Montserrat" w:hAnsi="Montserrat" w:cs="Montserrat"/>
          <w:sz w:val="24"/>
          <w:szCs w:val="24"/>
        </w:rPr>
        <w:t>te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algunas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Entidades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federativas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manera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aislada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han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promulgado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leyes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específicas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materia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tales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: Sonora, Coahuila, Yucatán, Morelos o bien,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adecuaciones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a las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leyes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vigentes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materia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salud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para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incorporar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dichos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>: Sinaloa, Ba</w:t>
      </w:r>
      <w:r>
        <w:rPr>
          <w:rFonts w:ascii="Montserrat" w:eastAsia="Montserrat" w:hAnsi="Montserrat" w:cs="Montserrat"/>
          <w:sz w:val="24"/>
          <w:szCs w:val="24"/>
        </w:rPr>
        <w:t xml:space="preserve">ja California o Jalisco.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También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se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pueden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añadir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los </w:t>
      </w:r>
      <w:proofErr w:type="spellStart"/>
      <w:r>
        <w:rPr>
          <w:rFonts w:ascii="Montserrat" w:eastAsia="Montserrat" w:hAnsi="Montserrat" w:cs="Montserrat"/>
          <w:sz w:val="24"/>
          <w:szCs w:val="24"/>
        </w:rPr>
        <w:t>esfuerzos</w:t>
      </w:r>
      <w:proofErr w:type="spellEnd"/>
      <w:r>
        <w:rPr>
          <w:rFonts w:ascii="Montserrat" w:eastAsia="Montserrat" w:hAnsi="Montserrat" w:cs="Montserrat"/>
          <w:sz w:val="24"/>
          <w:szCs w:val="24"/>
        </w:rPr>
        <w:t xml:space="preserve"> de Aguascalientes, 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San Luis Potosí, Durango, Puebla, Hidalgo, Nayarit, Tamaulipas y Tabasco que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tienen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trámite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iniciativas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para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promulgar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o bien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adecuar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su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legislación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actual </w:t>
      </w:r>
      <w:proofErr w:type="gramStart"/>
      <w:r>
        <w:rPr>
          <w:rFonts w:ascii="Montserrat" w:eastAsia="Montserrat" w:hAnsi="Montserrat" w:cs="Montserrat"/>
          <w:sz w:val="24"/>
          <w:szCs w:val="24"/>
          <w:highlight w:val="white"/>
        </w:rPr>
        <w:t>a</w:t>
      </w:r>
      <w:proofErr w:type="gram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tendenc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>ia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. Una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mención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especial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merece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Guanajuato con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su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estrategia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“Guanajuato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Cardioprotegido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2025”,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cual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ya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dispone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marcha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cardioseguros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algunos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sus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municipios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más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importantes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>.</w:t>
      </w:r>
      <w:r>
        <w:rPr>
          <w:rFonts w:ascii="Montserrat" w:eastAsia="Montserrat" w:hAnsi="Montserrat" w:cs="Montserrat"/>
          <w:sz w:val="24"/>
          <w:szCs w:val="24"/>
          <w:highlight w:val="white"/>
          <w:vertAlign w:val="superscript"/>
        </w:rPr>
        <w:footnoteReference w:id="9"/>
      </w:r>
    </w:p>
    <w:p w14:paraId="26C094C1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</w:p>
    <w:p w14:paraId="4517762C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ámbito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local,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nuestra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legislación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sólo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contempla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obligación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disponer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capacitación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primeros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auxilios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y RCP a los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instructores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gimnasios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así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presencia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equipo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primeros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auxilios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y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Reanimación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Cardiopulmonar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Básica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tipo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establecimientos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>.</w:t>
      </w:r>
      <w:r>
        <w:rPr>
          <w:rFonts w:ascii="Montserrat" w:eastAsia="Montserrat" w:hAnsi="Montserrat" w:cs="Montserrat"/>
          <w:sz w:val="24"/>
          <w:szCs w:val="24"/>
          <w:highlight w:val="white"/>
          <w:vertAlign w:val="superscript"/>
        </w:rPr>
        <w:footnoteReference w:id="10"/>
      </w: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 </w:t>
      </w:r>
    </w:p>
    <w:p w14:paraId="301D4975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</w:p>
    <w:p w14:paraId="6E97CE50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sentido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>, Chihuah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ua debe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dar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paso 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más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proofErr w:type="gramStart"/>
      <w:r>
        <w:rPr>
          <w:rFonts w:ascii="Montserrat" w:eastAsia="Montserrat" w:hAnsi="Montserrat" w:cs="Montserrat"/>
          <w:sz w:val="24"/>
          <w:szCs w:val="24"/>
          <w:highlight w:val="white"/>
        </w:rPr>
        <w:t>cardioprotegidos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aún</w:t>
      </w:r>
      <w:proofErr w:type="spellEnd"/>
      <w:proofErr w:type="gram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cuando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sea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manera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gradual y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paulatina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.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Desde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presente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espacio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creemos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pertinente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ir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ampliando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progresivamente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número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establecimientos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a fin de que se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incorporen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al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espectro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cardiopro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>tección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>.</w:t>
      </w:r>
    </w:p>
    <w:p w14:paraId="50D2D7D6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sz w:val="24"/>
          <w:szCs w:val="24"/>
          <w:highlight w:val="white"/>
        </w:rPr>
        <w:lastRenderedPageBreak/>
        <w:t xml:space="preserve">Por sus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características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económicas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y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laborales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uno de los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establecimientos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que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concentran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más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población día con día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las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comunidades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urbanas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son las plazas o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centros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comerciales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.  No es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casualidad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que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múltiples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ataques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cardíacos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tienen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por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esc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>enario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tipo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públicos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lo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demuestran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diversas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fuentes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periodísticas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a lo largo y ancho del Estado. 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br/>
      </w:r>
    </w:p>
    <w:p w14:paraId="43AF017C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virtud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lo anterior,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estimamos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que un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buen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punto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partida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radica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incorporación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primaria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tales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lugares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a fin de que se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adecuen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para ser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cardioprotegidos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. Como lo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reiteramos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es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importante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avanzar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progresivamente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hacia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ampliación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espacios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nuestra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sociedad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pues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representan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un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eslabón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hacia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bien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común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y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salud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pública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y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aún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más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importante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un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ac</w:t>
      </w:r>
      <w:r>
        <w:rPr>
          <w:rFonts w:ascii="Montserrat" w:eastAsia="Montserrat" w:hAnsi="Montserrat" w:cs="Montserrat"/>
          <w:sz w:val="24"/>
          <w:szCs w:val="24"/>
          <w:highlight w:val="white"/>
        </w:rPr>
        <w:t>to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que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puede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marcar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diferencia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entre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vida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y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muerte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>.</w:t>
      </w:r>
    </w:p>
    <w:p w14:paraId="2BD8DC99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</w:p>
    <w:p w14:paraId="3993984C" w14:textId="77777777" w:rsidR="00354FDF" w:rsidRDefault="00BB5782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Por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todo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lo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expuesto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anteriormente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, me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permito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respetuosamente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someter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a la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consideración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esta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Soberanía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presente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proyecto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con </w:t>
      </w:r>
      <w:proofErr w:type="spellStart"/>
      <w:r>
        <w:rPr>
          <w:rFonts w:ascii="Montserrat" w:eastAsia="Montserrat" w:hAnsi="Montserrat" w:cs="Montserrat"/>
          <w:sz w:val="24"/>
          <w:szCs w:val="24"/>
          <w:highlight w:val="white"/>
        </w:rPr>
        <w:t>carácter</w:t>
      </w:r>
      <w:proofErr w:type="spellEnd"/>
      <w:r>
        <w:rPr>
          <w:rFonts w:ascii="Montserrat" w:eastAsia="Montserrat" w:hAnsi="Montserrat" w:cs="Montserrat"/>
          <w:sz w:val="24"/>
          <w:szCs w:val="24"/>
          <w:highlight w:val="white"/>
        </w:rPr>
        <w:t xml:space="preserve"> de:</w:t>
      </w:r>
    </w:p>
    <w:p w14:paraId="6E4676B8" w14:textId="77777777" w:rsidR="00354FDF" w:rsidRDefault="00BB5782">
      <w:pPr>
        <w:spacing w:before="240" w:after="120" w:line="360" w:lineRule="auto"/>
        <w:jc w:val="center"/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DECRETO</w:t>
      </w:r>
    </w:p>
    <w:p w14:paraId="20456C41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sz w:val="24"/>
          <w:szCs w:val="24"/>
          <w:shd w:val="clear" w:color="auto" w:fill="FEFFFF"/>
        </w:rPr>
      </w:pPr>
      <w:proofErr w:type="gram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ÚNICO.-</w:t>
      </w:r>
      <w:proofErr w:type="gramEnd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 </w:t>
      </w:r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Se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reforman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los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artículos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3,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inciso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B),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fracción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III,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así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como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los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numerales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261, 262 y 263, al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cual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además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se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adicionan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las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fracciones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I  y II,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todos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la Ley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Estatal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Salud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,  para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quedar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redactados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la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siguiente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manera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: </w:t>
      </w:r>
    </w:p>
    <w:p w14:paraId="2256B363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</w:pP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Artículo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3.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los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términos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de los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artículos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Tercero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y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Décimo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Tercero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, de la Ley General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Salud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, y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esta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Ley,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corresponde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al Estado, por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conducto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la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Secretaría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Salud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(...)</w:t>
      </w:r>
    </w:p>
    <w:p w14:paraId="732C9229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(...) B)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materia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salubridad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local: La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regulación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, control y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fomento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sanitario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de:  </w:t>
      </w:r>
    </w:p>
    <w:p w14:paraId="0FF02DC0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I y II …</w:t>
      </w:r>
    </w:p>
    <w:p w14:paraId="0C17E629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(..</w:t>
      </w: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.) III. Mercados,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centros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abastos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y plazas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comerciales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.</w:t>
      </w:r>
    </w:p>
    <w:p w14:paraId="0BE56A58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lastRenderedPageBreak/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Artículo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261. Para los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efectos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esta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Ley, se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entiende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por mercados y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centros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abasto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, los sitios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públicos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destinados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a la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compra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y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venta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productos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general,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preferentemente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agrícolas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y de</w:t>
      </w: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primera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necesidad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forma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permanente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o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días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determinados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.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Asimismo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, se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entiende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por plazas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comerciales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aquellos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establecimientos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que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agrupan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diversas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tiendas,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restaurantes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servicios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y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espacios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entretenimiento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un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espacio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común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, que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ofrecen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exp</w:t>
      </w:r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eriencias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comerciales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y de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esparcimiento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a los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consumidores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la forma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enlistada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el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presente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artículo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.</w:t>
      </w:r>
    </w:p>
    <w:p w14:paraId="7B2D7553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</w:pP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Artículo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262. Los mercados,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centros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abasto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y plazas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comerciales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estarán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bajo la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vigilancia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la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autoridad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sanitaria, la que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comprobará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que se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obs</w:t>
      </w: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erven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las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normas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jurídico-sanitarias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.</w:t>
      </w:r>
    </w:p>
    <w:p w14:paraId="19FAFCAC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</w:pP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Artículo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263. Los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vendedores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locatarios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y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toda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persona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cuya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actividad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esté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vinculada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con los mercados,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centros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abasto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y plazas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comerciales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estarán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obligados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gram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</w:t>
      </w:r>
      <w:proofErr w:type="gram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observar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las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condiciones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higiénicas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y de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salud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indispe</w:t>
      </w:r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nsables para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el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desempeño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de sus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actividades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sujetándose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a lo que dispone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esta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Ley, sus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Reglamentos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y las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normas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>correspondientes</w:t>
      </w:r>
      <w:proofErr w:type="spellEnd"/>
      <w:r>
        <w:rPr>
          <w:rFonts w:ascii="Montserrat" w:eastAsia="Montserrat" w:hAnsi="Montserrat" w:cs="Montserrat"/>
          <w:i/>
          <w:sz w:val="24"/>
          <w:szCs w:val="24"/>
          <w:shd w:val="clear" w:color="auto" w:fill="FEFFFF"/>
        </w:rPr>
        <w:t xml:space="preserve">.  </w:t>
      </w:r>
    </w:p>
    <w:p w14:paraId="4CBC0E5A" w14:textId="77777777" w:rsidR="00354FDF" w:rsidRDefault="00BB5782">
      <w:pPr>
        <w:numPr>
          <w:ilvl w:val="0"/>
          <w:numId w:val="2"/>
        </w:numPr>
        <w:spacing w:before="240" w:line="360" w:lineRule="auto"/>
        <w:jc w:val="both"/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</w:pP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el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caso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las plazas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comerciales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con un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aforo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superior </w:t>
      </w:r>
      <w:proofErr w:type="gram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 1000 personas</w:t>
      </w:r>
      <w:proofErr w:type="gram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, se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deberá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capacitar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a un 25% del personal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loca</w:t>
      </w:r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tario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conocimientos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primeros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auxilios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Reanimación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Cardiopulmonar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Básica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y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uso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desfibrilador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.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Asimismo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, disponer de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cuando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menos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un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equipo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</w:rPr>
        <w:t>desfibrilador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</w:rPr>
        <w:t>externo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</w:rPr>
        <w:t>automático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 (DEA) de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</w:rPr>
        <w:t>rápido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</w:rPr>
        <w:t>acceso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 y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</w:rPr>
        <w:t>uso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</w:rPr>
        <w:t>en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</w:rPr>
        <w:t xml:space="preserve"> la plaza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</w:rPr>
        <w:t>comercial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</w:rPr>
        <w:t>.</w:t>
      </w:r>
    </w:p>
    <w:p w14:paraId="657F718D" w14:textId="77777777" w:rsidR="00354FDF" w:rsidRDefault="00BB5782">
      <w:pPr>
        <w:numPr>
          <w:ilvl w:val="0"/>
          <w:numId w:val="2"/>
        </w:numPr>
        <w:spacing w:after="120" w:line="360" w:lineRule="auto"/>
        <w:jc w:val="both"/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</w:pP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Ninguna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persona que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intervenga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buena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fe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el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uso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los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equipos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desfibriladores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(DEA) o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el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proceso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de la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reanimación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cardiopulmonar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,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podrá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ser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sujeta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a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responsabilidad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 penal, civil o </w:t>
      </w:r>
      <w:proofErr w:type="spellStart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>administrativa</w:t>
      </w:r>
      <w:proofErr w:type="spellEnd"/>
      <w:r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  <w:t xml:space="preserve">. </w:t>
      </w:r>
    </w:p>
    <w:p w14:paraId="65342CC6" w14:textId="77777777" w:rsidR="00354FDF" w:rsidRDefault="00354FDF">
      <w:pPr>
        <w:spacing w:before="240" w:after="120" w:line="360" w:lineRule="auto"/>
        <w:ind w:left="720"/>
        <w:jc w:val="both"/>
        <w:rPr>
          <w:rFonts w:ascii="Montserrat" w:eastAsia="Montserrat" w:hAnsi="Montserrat" w:cs="Montserrat"/>
          <w:b/>
          <w:i/>
          <w:sz w:val="24"/>
          <w:szCs w:val="24"/>
          <w:shd w:val="clear" w:color="auto" w:fill="FEFFFF"/>
        </w:rPr>
      </w:pPr>
    </w:p>
    <w:p w14:paraId="1DA6A01E" w14:textId="77777777" w:rsidR="00354FDF" w:rsidRDefault="00BB5782">
      <w:pPr>
        <w:spacing w:before="120" w:after="120" w:line="360" w:lineRule="auto"/>
        <w:jc w:val="center"/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lastRenderedPageBreak/>
        <w:t>TRANSITORIOS</w:t>
      </w:r>
    </w:p>
    <w:p w14:paraId="1C595FDD" w14:textId="77777777" w:rsidR="00354FDF" w:rsidRDefault="00BB5782">
      <w:pPr>
        <w:spacing w:before="120" w:after="120" w:line="360" w:lineRule="auto"/>
        <w:jc w:val="both"/>
        <w:rPr>
          <w:rFonts w:ascii="Montserrat" w:eastAsia="Montserrat" w:hAnsi="Montserrat" w:cs="Montserrat"/>
          <w:sz w:val="24"/>
          <w:szCs w:val="24"/>
          <w:shd w:val="clear" w:color="auto" w:fill="FEFFFF"/>
        </w:rPr>
      </w:pPr>
      <w:proofErr w:type="gramStart"/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PRIMERO.-</w:t>
      </w:r>
      <w:proofErr w:type="gram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El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presente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Decreto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entrará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vigor a los 30 días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siguientes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su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publicación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Periódico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Oficial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del Estado.</w:t>
      </w:r>
    </w:p>
    <w:p w14:paraId="2BBF6745" w14:textId="77777777" w:rsidR="00354FDF" w:rsidRDefault="00BB5782">
      <w:pPr>
        <w:spacing w:before="120" w:after="120" w:line="360" w:lineRule="auto"/>
        <w:jc w:val="both"/>
        <w:rPr>
          <w:rFonts w:ascii="Montserrat" w:eastAsia="Montserrat" w:hAnsi="Montserrat" w:cs="Montserrat"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ECONÓMICO:</w:t>
      </w:r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Aprobado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que sea,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turnese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a la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Secretaría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para que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elabore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la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Minuta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Decreto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los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términos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que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deba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publicarse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.</w:t>
      </w:r>
    </w:p>
    <w:p w14:paraId="68E98E91" w14:textId="77777777" w:rsidR="00354FDF" w:rsidRDefault="00BB5782">
      <w:pPr>
        <w:spacing w:before="240" w:after="120" w:line="360" w:lineRule="auto"/>
        <w:jc w:val="both"/>
        <w:rPr>
          <w:rFonts w:ascii="Montserrat" w:eastAsia="Montserrat" w:hAnsi="Montserrat" w:cs="Montserrat"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Dado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en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el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Recinto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Oficial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del Honorable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Congreso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del Estado, a los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treinta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días del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mes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septiembre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del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año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 xml:space="preserve"> dos mil </w:t>
      </w:r>
      <w:proofErr w:type="spellStart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veinticinco</w:t>
      </w:r>
      <w:proofErr w:type="spellEnd"/>
      <w:r>
        <w:rPr>
          <w:rFonts w:ascii="Montserrat" w:eastAsia="Montserrat" w:hAnsi="Montserrat" w:cs="Montserrat"/>
          <w:sz w:val="24"/>
          <w:szCs w:val="24"/>
          <w:shd w:val="clear" w:color="auto" w:fill="FEFFFF"/>
        </w:rPr>
        <w:t>.</w:t>
      </w:r>
    </w:p>
    <w:p w14:paraId="630F3BF9" w14:textId="77777777" w:rsidR="00354FDF" w:rsidRDefault="00354FDF">
      <w:pPr>
        <w:spacing w:before="240" w:after="120" w:line="360" w:lineRule="auto"/>
        <w:jc w:val="both"/>
        <w:rPr>
          <w:rFonts w:ascii="Montserrat" w:eastAsia="Montserrat" w:hAnsi="Montserrat" w:cs="Montserrat"/>
          <w:sz w:val="24"/>
          <w:szCs w:val="24"/>
          <w:shd w:val="clear" w:color="auto" w:fill="FEFFFF"/>
        </w:rPr>
      </w:pPr>
    </w:p>
    <w:p w14:paraId="5A7C9D7E" w14:textId="77777777" w:rsidR="00354FDF" w:rsidRDefault="00354FDF">
      <w:pPr>
        <w:spacing w:before="240" w:after="120" w:line="360" w:lineRule="auto"/>
        <w:jc w:val="both"/>
        <w:rPr>
          <w:rFonts w:ascii="Montserrat" w:eastAsia="Montserrat" w:hAnsi="Montserrat" w:cs="Montserrat"/>
          <w:sz w:val="24"/>
          <w:szCs w:val="24"/>
          <w:shd w:val="clear" w:color="auto" w:fill="FEFFFF"/>
        </w:rPr>
      </w:pPr>
    </w:p>
    <w:p w14:paraId="79B2C309" w14:textId="77777777" w:rsidR="00354FDF" w:rsidRDefault="00BB5782">
      <w:pPr>
        <w:spacing w:before="240" w:after="120"/>
        <w:jc w:val="center"/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>A T E N T A M E N T E</w:t>
      </w:r>
    </w:p>
    <w:p w14:paraId="59F12F6C" w14:textId="77777777" w:rsidR="00354FDF" w:rsidRDefault="00BB5782">
      <w:pPr>
        <w:spacing w:before="240" w:after="120"/>
        <w:jc w:val="center"/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</w:pPr>
      <w:r>
        <w:rPr>
          <w:rFonts w:ascii="Montserrat" w:eastAsia="Montserrat" w:hAnsi="Montserrat" w:cs="Montserrat"/>
          <w:b/>
          <w:sz w:val="24"/>
          <w:szCs w:val="24"/>
          <w:shd w:val="clear" w:color="auto" w:fill="FEFFFF"/>
        </w:rPr>
        <w:t xml:space="preserve">GRUPO PARLAMENTARIO DE MORENA </w:t>
      </w:r>
    </w:p>
    <w:p w14:paraId="14B52584" w14:textId="77777777" w:rsidR="00354FDF" w:rsidRDefault="00BB5782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 </w:t>
      </w:r>
    </w:p>
    <w:tbl>
      <w:tblPr>
        <w:tblStyle w:val="a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4215"/>
      </w:tblGrid>
      <w:tr w:rsidR="00354FDF" w14:paraId="6596BD03" w14:textId="77777777">
        <w:trPr>
          <w:trHeight w:val="855"/>
        </w:trPr>
        <w:tc>
          <w:tcPr>
            <w:tcW w:w="9000" w:type="dxa"/>
            <w:gridSpan w:val="2"/>
            <w:tcBorders>
              <w:top w:val="single" w:sz="7" w:space="0" w:color="FFFFFF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0648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Jael Argüelles Díaz </w:t>
            </w:r>
          </w:p>
        </w:tc>
      </w:tr>
      <w:tr w:rsidR="00354FDF" w14:paraId="76AC7446" w14:textId="77777777">
        <w:trPr>
          <w:trHeight w:val="1125"/>
        </w:trPr>
        <w:tc>
          <w:tcPr>
            <w:tcW w:w="4785" w:type="dxa"/>
            <w:tcBorders>
              <w:top w:val="nil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E1985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7D85DFB3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Edin Cuauhtémoc Estrada Sotelo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3D4CF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2667C991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Magdalena </w:t>
            </w: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Rentería</w:t>
            </w:r>
            <w:proofErr w:type="spellEnd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 Pérez </w:t>
            </w:r>
          </w:p>
        </w:tc>
      </w:tr>
      <w:tr w:rsidR="00354FDF" w14:paraId="4C5F6FE9" w14:textId="77777777">
        <w:trPr>
          <w:trHeight w:val="1125"/>
        </w:trPr>
        <w:tc>
          <w:tcPr>
            <w:tcW w:w="4785" w:type="dxa"/>
            <w:tcBorders>
              <w:top w:val="nil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8EE6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7777F5ED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Brenda Francisca Ríos Prieto 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8646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57860AF6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Elizabeth Guzmán Argueta</w:t>
            </w:r>
          </w:p>
        </w:tc>
      </w:tr>
      <w:tr w:rsidR="00354FDF" w14:paraId="5F33A7B9" w14:textId="77777777">
        <w:trPr>
          <w:trHeight w:val="1125"/>
        </w:trPr>
        <w:tc>
          <w:tcPr>
            <w:tcW w:w="4785" w:type="dxa"/>
            <w:tcBorders>
              <w:top w:val="nil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10BE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4E700D5C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Edith Palma Ontiveros 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4F13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688F5EC5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Herminia Gómez Carrasco</w:t>
            </w:r>
          </w:p>
        </w:tc>
      </w:tr>
      <w:tr w:rsidR="00354FDF" w14:paraId="12F429ED" w14:textId="77777777">
        <w:trPr>
          <w:trHeight w:val="1365"/>
        </w:trPr>
        <w:tc>
          <w:tcPr>
            <w:tcW w:w="4785" w:type="dxa"/>
            <w:tcBorders>
              <w:top w:val="nil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3D38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lastRenderedPageBreak/>
              <w:t xml:space="preserve"> </w:t>
            </w:r>
          </w:p>
          <w:p w14:paraId="79578573" w14:textId="77777777" w:rsidR="00354FDF" w:rsidRDefault="00354FDF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  <w:p w14:paraId="2DA79380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Leticia Ortega </w:t>
            </w: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Máynez</w:t>
            </w:r>
            <w:proofErr w:type="spellEnd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 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5FC2" w14:textId="77777777" w:rsidR="00354FDF" w:rsidRDefault="00BB5782">
            <w:pPr>
              <w:spacing w:before="240" w:after="120" w:line="360" w:lineRule="auto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 </w:t>
            </w:r>
          </w:p>
          <w:p w14:paraId="71B0492D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María </w:t>
            </w: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Antonieta</w:t>
            </w:r>
            <w:proofErr w:type="spellEnd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 Pérez Reyes</w:t>
            </w:r>
          </w:p>
        </w:tc>
      </w:tr>
      <w:tr w:rsidR="00354FDF" w14:paraId="4FF37FE8" w14:textId="77777777">
        <w:trPr>
          <w:trHeight w:val="1125"/>
        </w:trPr>
        <w:tc>
          <w:tcPr>
            <w:tcW w:w="4785" w:type="dxa"/>
            <w:tcBorders>
              <w:top w:val="nil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93633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62A118D8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Óscar</w:t>
            </w:r>
            <w:proofErr w:type="spellEnd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 Daniel </w:t>
            </w: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Avitia</w:t>
            </w:r>
            <w:proofErr w:type="spellEnd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 </w:t>
            </w:r>
            <w:proofErr w:type="spellStart"/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Arellanes</w:t>
            </w:r>
            <w:proofErr w:type="spellEnd"/>
          </w:p>
        </w:tc>
        <w:tc>
          <w:tcPr>
            <w:tcW w:w="4215" w:type="dxa"/>
            <w:tcBorders>
              <w:top w:val="nil"/>
              <w:left w:val="nil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F9E6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7979C7D0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 xml:space="preserve">Pedro Torres Estrada </w:t>
            </w:r>
          </w:p>
        </w:tc>
      </w:tr>
      <w:tr w:rsidR="00354FDF" w14:paraId="2EE8500F" w14:textId="77777777">
        <w:trPr>
          <w:trHeight w:val="1125"/>
        </w:trPr>
        <w:tc>
          <w:tcPr>
            <w:tcW w:w="9000" w:type="dxa"/>
            <w:gridSpan w:val="2"/>
            <w:tcBorders>
              <w:top w:val="nil"/>
              <w:left w:val="single" w:sz="7" w:space="0" w:color="FFFFFF"/>
              <w:bottom w:val="single" w:sz="7" w:space="0" w:color="FFFFFF"/>
              <w:right w:val="single" w:sz="7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EBF2C" w14:textId="77777777" w:rsidR="00354FDF" w:rsidRDefault="00BB5782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</w:t>
            </w:r>
          </w:p>
          <w:p w14:paraId="5878D74B" w14:textId="77777777" w:rsidR="00354FDF" w:rsidRDefault="00BB5782">
            <w:pPr>
              <w:spacing w:before="240" w:after="120"/>
              <w:jc w:val="center"/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  <w:shd w:val="clear" w:color="auto" w:fill="FEFFFF"/>
              </w:rPr>
              <w:t>Rosana Díaz Reyes</w:t>
            </w:r>
          </w:p>
        </w:tc>
      </w:tr>
    </w:tbl>
    <w:p w14:paraId="215413F0" w14:textId="77777777" w:rsidR="00354FDF" w:rsidRDefault="00354FDF">
      <w:pPr>
        <w:spacing w:before="240" w:after="24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318D926A" w14:textId="77777777" w:rsidR="00354FDF" w:rsidRDefault="00354FDF">
      <w:pPr>
        <w:spacing w:before="240" w:after="240" w:line="36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1F36B724" w14:textId="77777777" w:rsidR="00354FDF" w:rsidRDefault="00354FDF">
      <w:pPr>
        <w:spacing w:line="360" w:lineRule="auto"/>
        <w:jc w:val="both"/>
        <w:rPr>
          <w:rFonts w:ascii="Montserrat" w:eastAsia="Montserrat" w:hAnsi="Montserrat" w:cs="Montserrat"/>
          <w:sz w:val="24"/>
          <w:szCs w:val="24"/>
          <w:highlight w:val="white"/>
        </w:rPr>
      </w:pPr>
    </w:p>
    <w:sectPr w:rsidR="00354FDF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1E363" w14:textId="77777777" w:rsidR="00000000" w:rsidRDefault="00BB5782">
      <w:pPr>
        <w:spacing w:line="240" w:lineRule="auto"/>
      </w:pPr>
      <w:r>
        <w:separator/>
      </w:r>
    </w:p>
  </w:endnote>
  <w:endnote w:type="continuationSeparator" w:id="0">
    <w:p w14:paraId="38B5CA78" w14:textId="77777777" w:rsidR="00000000" w:rsidRDefault="00BB57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C9043" w14:textId="77777777" w:rsidR="00000000" w:rsidRDefault="00BB5782">
      <w:pPr>
        <w:spacing w:line="240" w:lineRule="auto"/>
      </w:pPr>
      <w:r>
        <w:separator/>
      </w:r>
    </w:p>
  </w:footnote>
  <w:footnote w:type="continuationSeparator" w:id="0">
    <w:p w14:paraId="470C0A2D" w14:textId="77777777" w:rsidR="00000000" w:rsidRDefault="00BB5782">
      <w:pPr>
        <w:spacing w:line="240" w:lineRule="auto"/>
      </w:pPr>
      <w:r>
        <w:continuationSeparator/>
      </w:r>
    </w:p>
  </w:footnote>
  <w:footnote w:id="1">
    <w:p w14:paraId="15CA5CCE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Consultable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: </w:t>
      </w:r>
      <w:hyperlink r:id="rId1" w:anchor="tab=tab_1">
        <w:r>
          <w:rPr>
            <w:color w:val="1155CC"/>
            <w:sz w:val="20"/>
            <w:szCs w:val="20"/>
            <w:u w:val="single"/>
          </w:rPr>
          <w:t>https://www.who.int/es/health-topics/cardiovascular-diseases#tab=tab_1</w:t>
        </w:r>
      </w:hyperlink>
    </w:p>
    <w:p w14:paraId="0F570B81" w14:textId="77777777" w:rsidR="00354FDF" w:rsidRDefault="00354FDF">
      <w:pPr>
        <w:spacing w:line="240" w:lineRule="auto"/>
        <w:rPr>
          <w:sz w:val="20"/>
          <w:szCs w:val="20"/>
        </w:rPr>
      </w:pPr>
    </w:p>
  </w:footnote>
  <w:footnote w:id="2">
    <w:p w14:paraId="1960FDFA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Fuente:  </w:t>
      </w:r>
      <w:hyperlink r:id="rId2">
        <w:r>
          <w:rPr>
            <w:color w:val="1155CC"/>
            <w:sz w:val="20"/>
            <w:szCs w:val="20"/>
            <w:u w:val="single"/>
          </w:rPr>
          <w:t>https://www.inegi.org.mx/contenidos/saladeprensa/boletines/2025/edr/edr2025_09_CP.pdf</w:t>
        </w:r>
      </w:hyperlink>
    </w:p>
    <w:p w14:paraId="38FC1672" w14:textId="77777777" w:rsidR="00354FDF" w:rsidRDefault="00354FDF">
      <w:pPr>
        <w:spacing w:line="240" w:lineRule="auto"/>
        <w:rPr>
          <w:sz w:val="20"/>
          <w:szCs w:val="20"/>
        </w:rPr>
      </w:pPr>
    </w:p>
  </w:footnote>
  <w:footnote w:id="3">
    <w:p w14:paraId="39F5D6DA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“</w:t>
      </w:r>
      <w:proofErr w:type="spellStart"/>
      <w:r>
        <w:rPr>
          <w:i/>
          <w:sz w:val="20"/>
          <w:szCs w:val="20"/>
        </w:rPr>
        <w:t>Espacios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cardioprotegidos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en</w:t>
      </w:r>
      <w:proofErr w:type="spellEnd"/>
      <w:r>
        <w:rPr>
          <w:i/>
          <w:sz w:val="20"/>
          <w:szCs w:val="20"/>
        </w:rPr>
        <w:t xml:space="preserve"> México: </w:t>
      </w:r>
      <w:proofErr w:type="spellStart"/>
      <w:r>
        <w:rPr>
          <w:i/>
          <w:sz w:val="20"/>
          <w:szCs w:val="20"/>
        </w:rPr>
        <w:t>acciones</w:t>
      </w:r>
      <w:proofErr w:type="spellEnd"/>
      <w:r>
        <w:rPr>
          <w:i/>
          <w:sz w:val="20"/>
          <w:szCs w:val="20"/>
        </w:rPr>
        <w:t xml:space="preserve"> para </w:t>
      </w:r>
      <w:proofErr w:type="spellStart"/>
      <w:r>
        <w:rPr>
          <w:i/>
          <w:sz w:val="20"/>
          <w:szCs w:val="20"/>
        </w:rPr>
        <w:t>prevenir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muerte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súbita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cardiaca</w:t>
      </w:r>
      <w:proofErr w:type="spellEnd"/>
      <w:r>
        <w:rPr>
          <w:i/>
          <w:sz w:val="20"/>
          <w:szCs w:val="20"/>
        </w:rPr>
        <w:t xml:space="preserve">. Una </w:t>
      </w:r>
      <w:proofErr w:type="spellStart"/>
      <w:r>
        <w:rPr>
          <w:i/>
          <w:sz w:val="20"/>
          <w:szCs w:val="20"/>
        </w:rPr>
        <w:t>postura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profesionales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salud</w:t>
      </w:r>
      <w:proofErr w:type="spellEnd"/>
      <w:r>
        <w:rPr>
          <w:i/>
          <w:sz w:val="20"/>
          <w:szCs w:val="20"/>
        </w:rPr>
        <w:t xml:space="preserve">”, </w:t>
      </w:r>
      <w:r>
        <w:rPr>
          <w:sz w:val="20"/>
          <w:szCs w:val="20"/>
        </w:rPr>
        <w:t>consultable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: </w:t>
      </w:r>
    </w:p>
    <w:p w14:paraId="27402EF5" w14:textId="77777777" w:rsidR="00354FDF" w:rsidRDefault="00BB5782">
      <w:pPr>
        <w:spacing w:line="240" w:lineRule="auto"/>
        <w:rPr>
          <w:sz w:val="20"/>
          <w:szCs w:val="20"/>
        </w:rPr>
      </w:pPr>
      <w:hyperlink r:id="rId3">
        <w:r>
          <w:rPr>
            <w:color w:val="1155CC"/>
            <w:sz w:val="20"/>
            <w:szCs w:val="20"/>
            <w:u w:val="single"/>
          </w:rPr>
          <w:t>https://saludpublica.mx/index.php/spm/article/view/14698/12451</w:t>
        </w:r>
      </w:hyperlink>
    </w:p>
    <w:p w14:paraId="64562499" w14:textId="77777777" w:rsidR="00354FDF" w:rsidRDefault="00354FDF">
      <w:pPr>
        <w:spacing w:line="240" w:lineRule="auto"/>
        <w:rPr>
          <w:sz w:val="20"/>
          <w:szCs w:val="20"/>
        </w:rPr>
      </w:pPr>
    </w:p>
  </w:footnote>
  <w:footnote w:id="4">
    <w:p w14:paraId="57C6F93E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Idem.</w:t>
      </w:r>
    </w:p>
  </w:footnote>
  <w:footnote w:id="5">
    <w:p w14:paraId="07549C70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Información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consultada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sitio web: </w:t>
      </w:r>
      <w:hyperlink r:id="rId4">
        <w:r>
          <w:rPr>
            <w:color w:val="1155CC"/>
            <w:sz w:val="20"/>
            <w:szCs w:val="20"/>
            <w:u w:val="single"/>
          </w:rPr>
          <w:t>h</w:t>
        </w:r>
        <w:r>
          <w:rPr>
            <w:color w:val="1155CC"/>
            <w:sz w:val="20"/>
            <w:szCs w:val="20"/>
            <w:u w:val="single"/>
          </w:rPr>
          <w:t>ttps://mexicocardioprotegido.com</w:t>
        </w:r>
      </w:hyperlink>
      <w:r>
        <w:rPr>
          <w:sz w:val="20"/>
          <w:szCs w:val="20"/>
        </w:rPr>
        <w:tab/>
      </w:r>
    </w:p>
    <w:p w14:paraId="54023127" w14:textId="77777777" w:rsidR="00354FDF" w:rsidRDefault="00354FDF">
      <w:pPr>
        <w:spacing w:line="240" w:lineRule="auto"/>
        <w:rPr>
          <w:sz w:val="20"/>
          <w:szCs w:val="20"/>
        </w:rPr>
      </w:pPr>
    </w:p>
  </w:footnote>
  <w:footnote w:id="6">
    <w:p w14:paraId="73249568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Idem</w:t>
      </w:r>
    </w:p>
    <w:p w14:paraId="5D84BABA" w14:textId="77777777" w:rsidR="00354FDF" w:rsidRDefault="00354FDF">
      <w:pPr>
        <w:spacing w:line="240" w:lineRule="auto"/>
        <w:rPr>
          <w:sz w:val="20"/>
          <w:szCs w:val="20"/>
        </w:rPr>
      </w:pPr>
    </w:p>
  </w:footnote>
  <w:footnote w:id="7">
    <w:p w14:paraId="47FC6CD4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Medidas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propuestas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“</w:t>
      </w:r>
      <w:proofErr w:type="spellStart"/>
      <w:r>
        <w:rPr>
          <w:i/>
          <w:sz w:val="20"/>
          <w:szCs w:val="20"/>
        </w:rPr>
        <w:t>Espacios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cardioprotegidos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en</w:t>
      </w:r>
      <w:proofErr w:type="spellEnd"/>
      <w:r>
        <w:rPr>
          <w:i/>
          <w:sz w:val="20"/>
          <w:szCs w:val="20"/>
        </w:rPr>
        <w:t xml:space="preserve"> México: </w:t>
      </w:r>
      <w:proofErr w:type="spellStart"/>
      <w:r>
        <w:rPr>
          <w:i/>
          <w:sz w:val="20"/>
          <w:szCs w:val="20"/>
        </w:rPr>
        <w:t>acciones</w:t>
      </w:r>
      <w:proofErr w:type="spellEnd"/>
      <w:r>
        <w:rPr>
          <w:i/>
          <w:sz w:val="20"/>
          <w:szCs w:val="20"/>
        </w:rPr>
        <w:t xml:space="preserve"> para </w:t>
      </w:r>
      <w:proofErr w:type="spellStart"/>
      <w:r>
        <w:rPr>
          <w:i/>
          <w:sz w:val="20"/>
          <w:szCs w:val="20"/>
        </w:rPr>
        <w:t>prevenir</w:t>
      </w:r>
      <w:proofErr w:type="spellEnd"/>
      <w:r>
        <w:rPr>
          <w:i/>
          <w:sz w:val="20"/>
          <w:szCs w:val="20"/>
        </w:rPr>
        <w:t xml:space="preserve"> la </w:t>
      </w:r>
      <w:proofErr w:type="spellStart"/>
      <w:r>
        <w:rPr>
          <w:i/>
          <w:sz w:val="20"/>
          <w:szCs w:val="20"/>
        </w:rPr>
        <w:t>muerte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súbita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cardiaca</w:t>
      </w:r>
      <w:proofErr w:type="spellEnd"/>
      <w:r>
        <w:rPr>
          <w:i/>
          <w:sz w:val="20"/>
          <w:szCs w:val="20"/>
        </w:rPr>
        <w:t xml:space="preserve">. Una </w:t>
      </w:r>
      <w:proofErr w:type="spellStart"/>
      <w:r>
        <w:rPr>
          <w:i/>
          <w:sz w:val="20"/>
          <w:szCs w:val="20"/>
        </w:rPr>
        <w:t>postura</w:t>
      </w:r>
      <w:proofErr w:type="spellEnd"/>
      <w:r>
        <w:rPr>
          <w:i/>
          <w:sz w:val="20"/>
          <w:szCs w:val="20"/>
        </w:rPr>
        <w:t xml:space="preserve"> de </w:t>
      </w:r>
      <w:proofErr w:type="spellStart"/>
      <w:r>
        <w:rPr>
          <w:i/>
          <w:sz w:val="20"/>
          <w:szCs w:val="20"/>
        </w:rPr>
        <w:t>profesionales</w:t>
      </w:r>
      <w:proofErr w:type="spellEnd"/>
      <w:r>
        <w:rPr>
          <w:i/>
          <w:sz w:val="20"/>
          <w:szCs w:val="20"/>
        </w:rPr>
        <w:t xml:space="preserve"> de la </w:t>
      </w:r>
      <w:proofErr w:type="spellStart"/>
      <w:r>
        <w:rPr>
          <w:i/>
          <w:sz w:val="20"/>
          <w:szCs w:val="20"/>
        </w:rPr>
        <w:t>salud</w:t>
      </w:r>
      <w:proofErr w:type="spellEnd"/>
      <w:r>
        <w:rPr>
          <w:sz w:val="20"/>
          <w:szCs w:val="20"/>
        </w:rPr>
        <w:t xml:space="preserve"> </w:t>
      </w:r>
      <w:hyperlink r:id="rId5">
        <w:r>
          <w:rPr>
            <w:color w:val="1155CC"/>
            <w:sz w:val="20"/>
            <w:szCs w:val="20"/>
            <w:u w:val="single"/>
          </w:rPr>
          <w:t>https://saludpublica.mx/index.php/spm/article/</w:t>
        </w:r>
        <w:r>
          <w:rPr>
            <w:color w:val="1155CC"/>
            <w:sz w:val="20"/>
            <w:szCs w:val="20"/>
            <w:u w:val="single"/>
          </w:rPr>
          <w:t>view/14698/12451</w:t>
        </w:r>
      </w:hyperlink>
    </w:p>
    <w:p w14:paraId="39E7D323" w14:textId="77777777" w:rsidR="00354FDF" w:rsidRDefault="00354FDF">
      <w:pPr>
        <w:spacing w:line="240" w:lineRule="auto"/>
        <w:rPr>
          <w:sz w:val="20"/>
          <w:szCs w:val="20"/>
        </w:rPr>
      </w:pPr>
    </w:p>
  </w:footnote>
  <w:footnote w:id="8">
    <w:p w14:paraId="0D9BC28E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Iniciativa</w:t>
      </w:r>
      <w:proofErr w:type="spellEnd"/>
      <w:r>
        <w:rPr>
          <w:sz w:val="20"/>
          <w:szCs w:val="20"/>
        </w:rPr>
        <w:t xml:space="preserve"> con </w:t>
      </w:r>
      <w:proofErr w:type="spellStart"/>
      <w:r>
        <w:rPr>
          <w:sz w:val="20"/>
          <w:szCs w:val="20"/>
        </w:rPr>
        <w:t>carácter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decreto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reforma</w:t>
      </w:r>
      <w:proofErr w:type="spellEnd"/>
      <w:r>
        <w:rPr>
          <w:sz w:val="20"/>
          <w:szCs w:val="20"/>
        </w:rPr>
        <w:t xml:space="preserve"> y </w:t>
      </w:r>
      <w:proofErr w:type="spellStart"/>
      <w:r>
        <w:rPr>
          <w:sz w:val="20"/>
          <w:szCs w:val="20"/>
        </w:rPr>
        <w:t>adiciona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diversas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disposiciones</w:t>
      </w:r>
      <w:proofErr w:type="spellEnd"/>
      <w:r>
        <w:rPr>
          <w:sz w:val="20"/>
          <w:szCs w:val="20"/>
        </w:rPr>
        <w:t xml:space="preserve"> de la Ley General de </w:t>
      </w:r>
      <w:proofErr w:type="spellStart"/>
      <w:r>
        <w:rPr>
          <w:sz w:val="20"/>
          <w:szCs w:val="20"/>
        </w:rPr>
        <w:t>Salud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materia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muerte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súbita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cardiaca</w:t>
      </w:r>
      <w:proofErr w:type="spellEnd"/>
      <w:r>
        <w:rPr>
          <w:sz w:val="20"/>
          <w:szCs w:val="20"/>
        </w:rPr>
        <w:t xml:space="preserve">. Se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consultar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: </w:t>
      </w:r>
      <w:hyperlink r:id="rId6">
        <w:r>
          <w:rPr>
            <w:color w:val="1155CC"/>
            <w:sz w:val="20"/>
            <w:szCs w:val="20"/>
            <w:u w:val="single"/>
          </w:rPr>
          <w:t>https://sil.gobernacion.gob.mx/Archivos/Documentos/2025/04/asun_4880903_20250422_1745367994.pdf</w:t>
        </w:r>
      </w:hyperlink>
    </w:p>
    <w:p w14:paraId="2B837716" w14:textId="77777777" w:rsidR="00354FDF" w:rsidRDefault="00354FDF">
      <w:pPr>
        <w:spacing w:line="240" w:lineRule="auto"/>
        <w:rPr>
          <w:sz w:val="20"/>
          <w:szCs w:val="20"/>
        </w:rPr>
      </w:pPr>
    </w:p>
  </w:footnote>
  <w:footnote w:id="9">
    <w:p w14:paraId="6D7C54FD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 xml:space="preserve">Un </w:t>
      </w:r>
      <w:proofErr w:type="spellStart"/>
      <w:r>
        <w:rPr>
          <w:sz w:val="20"/>
          <w:szCs w:val="20"/>
        </w:rPr>
        <w:t>resumen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esta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estrategia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puede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consultar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boletín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siguente</w:t>
      </w:r>
      <w:proofErr w:type="spellEnd"/>
      <w:r>
        <w:rPr>
          <w:sz w:val="20"/>
          <w:szCs w:val="20"/>
        </w:rPr>
        <w:t xml:space="preserve">: </w:t>
      </w:r>
      <w:hyperlink r:id="rId7">
        <w:r>
          <w:rPr>
            <w:color w:val="1155CC"/>
            <w:sz w:val="20"/>
            <w:szCs w:val="20"/>
            <w:u w:val="single"/>
          </w:rPr>
          <w:t>https://boletines.guanajuato.gob.mx/2025/09/01/ssg-pone-en-marcha-estrategia-guanajuato-cardioprotegido-2025/</w:t>
        </w:r>
      </w:hyperlink>
    </w:p>
    <w:p w14:paraId="55D5717C" w14:textId="77777777" w:rsidR="00354FDF" w:rsidRDefault="00354FDF">
      <w:pPr>
        <w:spacing w:line="240" w:lineRule="auto"/>
        <w:rPr>
          <w:sz w:val="20"/>
          <w:szCs w:val="20"/>
        </w:rPr>
      </w:pPr>
    </w:p>
  </w:footnote>
  <w:footnote w:id="10">
    <w:p w14:paraId="786F7A62" w14:textId="77777777" w:rsidR="00354FDF" w:rsidRDefault="00BB5782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Artículos</w:t>
      </w:r>
      <w:proofErr w:type="spellEnd"/>
      <w:r>
        <w:rPr>
          <w:sz w:val="20"/>
          <w:szCs w:val="20"/>
        </w:rPr>
        <w:t xml:space="preserve"> 309 y 310 de la Ley </w:t>
      </w:r>
      <w:proofErr w:type="spellStart"/>
      <w:r>
        <w:rPr>
          <w:sz w:val="20"/>
          <w:szCs w:val="20"/>
        </w:rPr>
        <w:t>Estatal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Salud</w:t>
      </w:r>
      <w:proofErr w:type="spellEnd"/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B567" w14:textId="77777777" w:rsidR="00354FDF" w:rsidRDefault="00354F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47C"/>
    <w:multiLevelType w:val="multilevel"/>
    <w:tmpl w:val="6544401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26052A5"/>
    <w:multiLevelType w:val="multilevel"/>
    <w:tmpl w:val="7DD4AC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DF"/>
    <w:rsid w:val="00354FDF"/>
    <w:rsid w:val="00B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C7AB8"/>
  <w15:docId w15:val="{CFF929A6-A0F1-484C-BEBE-3D66BFEE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ludpublica.mx/index.php/spm/article/view/14698/12451" TargetMode="External"/><Relationship Id="rId7" Type="http://schemas.openxmlformats.org/officeDocument/2006/relationships/hyperlink" Target="https://boletines.guanajuato.gob.mx/2025/09/01/ssg-pone-en-marcha-estrategia-guanajuato-cardioprotegido-2025/" TargetMode="External"/><Relationship Id="rId2" Type="http://schemas.openxmlformats.org/officeDocument/2006/relationships/hyperlink" Target="https://www.inegi.org.mx/contenidos/saladeprensa/boletines/2025/edr/edr2025_09_CP.pdf" TargetMode="External"/><Relationship Id="rId1" Type="http://schemas.openxmlformats.org/officeDocument/2006/relationships/hyperlink" Target="https://www.who.int/es/health-topics/cardiovascular-diseases" TargetMode="External"/><Relationship Id="rId6" Type="http://schemas.openxmlformats.org/officeDocument/2006/relationships/hyperlink" Target="https://sil.gobernacion.gob.mx/Archivos/Documentos/2025/04/asun_4880903_20250422_1745367994.pdf" TargetMode="External"/><Relationship Id="rId5" Type="http://schemas.openxmlformats.org/officeDocument/2006/relationships/hyperlink" Target="https://saludpublica.mx/index.php/spm/article/view/14698/12451" TargetMode="External"/><Relationship Id="rId4" Type="http://schemas.openxmlformats.org/officeDocument/2006/relationships/hyperlink" Target="https://mexicocardioprotegi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1752</Words>
  <Characters>9641</Characters>
  <Application>Microsoft Office Word</Application>
  <DocSecurity>0</DocSecurity>
  <Lines>80</Lines>
  <Paragraphs>22</Paragraphs>
  <ScaleCrop>false</ScaleCrop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Daniela Flores Chacon</dc:creator>
  <cp:lastModifiedBy>Andrea Daniela Flores Chacon</cp:lastModifiedBy>
  <cp:revision>2</cp:revision>
  <dcterms:created xsi:type="dcterms:W3CDTF">2025-09-25T16:19:00Z</dcterms:created>
  <dcterms:modified xsi:type="dcterms:W3CDTF">2025-09-25T16:19:00Z</dcterms:modified>
</cp:coreProperties>
</file>