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2152" w:rsidRDefault="00FF2152"/>
    <w:p w14:paraId="00000002" w14:textId="77777777" w:rsidR="00FF2152" w:rsidRDefault="00FF2152"/>
    <w:p w14:paraId="00000003" w14:textId="77777777" w:rsidR="00FF2152" w:rsidRDefault="00FF2152"/>
    <w:p w14:paraId="00000004" w14:textId="77777777" w:rsidR="00FF2152" w:rsidRDefault="00FF2152">
      <w:pPr>
        <w:spacing w:line="360" w:lineRule="auto"/>
        <w:rPr>
          <w:b/>
          <w:sz w:val="28"/>
          <w:szCs w:val="28"/>
        </w:rPr>
      </w:pPr>
    </w:p>
    <w:p w14:paraId="00000005" w14:textId="77777777" w:rsidR="00FF2152" w:rsidRDefault="00CD30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H. CONGRESO DEL ESTADO DE CHIHUAHUA </w:t>
      </w:r>
    </w:p>
    <w:p w14:paraId="00000006" w14:textId="77777777" w:rsidR="00FF2152" w:rsidRDefault="00CD30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PRESENTE.</w:t>
      </w:r>
    </w:p>
    <w:p w14:paraId="00000007" w14:textId="77777777" w:rsidR="00FF2152" w:rsidRDefault="00CD3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Quien suscribe Rosana Díaz Reyes, Diputada de la Sexagésima Octava Legislatura e integrante del Grupo Parlamentario de MORENA, con fundamento en lo dispuesto por el artículo 66 de la Constitución Política del Estado, presento las siguientes preguntas a lo</w:t>
      </w:r>
      <w:r>
        <w:rPr>
          <w:sz w:val="28"/>
          <w:szCs w:val="28"/>
        </w:rPr>
        <w:t xml:space="preserve">s titulares de la Secretaría de Seguridad Pública del Estado y a la Secretaría de Hacienda del Estado de Chihuahua, al tenor de la siguiente: </w:t>
      </w:r>
    </w:p>
    <w:p w14:paraId="00000008" w14:textId="77777777" w:rsidR="00FF2152" w:rsidRDefault="00FF2152">
      <w:pPr>
        <w:spacing w:line="360" w:lineRule="auto"/>
        <w:jc w:val="both"/>
        <w:rPr>
          <w:sz w:val="28"/>
          <w:szCs w:val="28"/>
        </w:rPr>
      </w:pPr>
    </w:p>
    <w:p w14:paraId="00000009" w14:textId="77777777" w:rsidR="00FF2152" w:rsidRDefault="00CD30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 DE MOTIVOS</w:t>
      </w:r>
    </w:p>
    <w:p w14:paraId="0000000A" w14:textId="77777777" w:rsidR="00FF2152" w:rsidRDefault="00FF2152">
      <w:pPr>
        <w:spacing w:line="360" w:lineRule="auto"/>
        <w:jc w:val="center"/>
        <w:rPr>
          <w:b/>
          <w:sz w:val="28"/>
          <w:szCs w:val="28"/>
        </w:rPr>
      </w:pPr>
    </w:p>
    <w:p w14:paraId="0000000B" w14:textId="77777777" w:rsidR="00FF2152" w:rsidRDefault="00CD3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Torre Centinela, ubicada en Ciudad Juárez, ha sido anunciada como una de las principal</w:t>
      </w:r>
      <w:r>
        <w:rPr>
          <w:sz w:val="28"/>
          <w:szCs w:val="28"/>
        </w:rPr>
        <w:t>es apuestas del Gobierno del Estado de Chihuahua en materia de seguridad pública. Este complejo de alta tecnología, destinado a fungir como centro neurálgico de vigilancia e inteligencia policial, implica una inversión superior a los 4,700 millones de peso</w:t>
      </w:r>
      <w:r>
        <w:rPr>
          <w:sz w:val="28"/>
          <w:szCs w:val="28"/>
        </w:rPr>
        <w:t>s y forma parte de la denominada Plataforma Centinela.</w:t>
      </w:r>
    </w:p>
    <w:p w14:paraId="0000000C" w14:textId="77777777" w:rsidR="00FF2152" w:rsidRDefault="00FF2152">
      <w:pPr>
        <w:spacing w:line="360" w:lineRule="auto"/>
        <w:jc w:val="both"/>
        <w:rPr>
          <w:sz w:val="28"/>
          <w:szCs w:val="28"/>
        </w:rPr>
      </w:pPr>
    </w:p>
    <w:p w14:paraId="0000000D" w14:textId="77777777" w:rsidR="00FF2152" w:rsidRDefault="00CD3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Sin embargo, desde su arranque en agosto de 2022, el proyecto ha sufrido múltiples reprogramaciones y modificaciones, pasando de una fecha original de conclusión en febrero de 2024, a una nueva estima</w:t>
      </w:r>
      <w:r>
        <w:rPr>
          <w:sz w:val="28"/>
          <w:szCs w:val="28"/>
        </w:rPr>
        <w:t xml:space="preserve">ción para octubre de 2025. A pesar del impacto presupuestal y social de esta obra, existen reservas sobre la transparencia del proceso de contratación —adjudicado de manera directa a la empresa </w:t>
      </w:r>
      <w:proofErr w:type="spellStart"/>
      <w:r>
        <w:rPr>
          <w:sz w:val="28"/>
          <w:szCs w:val="28"/>
        </w:rPr>
        <w:t>Seguritech</w:t>
      </w:r>
      <w:proofErr w:type="spellEnd"/>
      <w:r>
        <w:rPr>
          <w:sz w:val="28"/>
          <w:szCs w:val="28"/>
        </w:rPr>
        <w:t xml:space="preserve"> Privada S.A. de C.V. -- y sobre el seguimiento pres</w:t>
      </w:r>
      <w:r>
        <w:rPr>
          <w:sz w:val="28"/>
          <w:szCs w:val="28"/>
        </w:rPr>
        <w:t>upuestal que ha tenido el mismo.</w:t>
      </w:r>
    </w:p>
    <w:p w14:paraId="0000000E" w14:textId="77777777" w:rsidR="00FF2152" w:rsidRDefault="00FF2152">
      <w:pPr>
        <w:spacing w:line="360" w:lineRule="auto"/>
        <w:jc w:val="both"/>
        <w:rPr>
          <w:sz w:val="28"/>
          <w:szCs w:val="28"/>
        </w:rPr>
      </w:pPr>
    </w:p>
    <w:p w14:paraId="0000000F" w14:textId="77777777" w:rsidR="00FF2152" w:rsidRDefault="00CD3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Diversas voces de la sociedad civil, medios de comunicación y legisladores han manifestado inquietudes por la opacidad y la falta de información pública detallada respecto al avance físico, el ejercicio de recursos y las m</w:t>
      </w:r>
      <w:r>
        <w:rPr>
          <w:sz w:val="28"/>
          <w:szCs w:val="28"/>
        </w:rPr>
        <w:t xml:space="preserve">odificaciones contractuales. En particular, las diputadas y diputados del grupo parlamentario de Morena han expresado su interés en constatar personalmente el estado actual del proyecto, así como en garantizar que los recursos públicos se estén utilizando </w:t>
      </w:r>
      <w:r>
        <w:rPr>
          <w:sz w:val="28"/>
          <w:szCs w:val="28"/>
        </w:rPr>
        <w:t>de manera adecuada, eficiente y sin sobrecostos.</w:t>
      </w:r>
    </w:p>
    <w:p w14:paraId="00000010" w14:textId="77777777" w:rsidR="00FF2152" w:rsidRDefault="00FF2152">
      <w:pPr>
        <w:spacing w:line="360" w:lineRule="auto"/>
        <w:jc w:val="both"/>
        <w:rPr>
          <w:sz w:val="28"/>
          <w:szCs w:val="28"/>
        </w:rPr>
      </w:pPr>
    </w:p>
    <w:p w14:paraId="00000011" w14:textId="77777777" w:rsidR="00FF2152" w:rsidRDefault="00CD3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ello, se considera necesario solicitar información puntual a las autoridades responsables del desarrollo de esta obra, principalmente a la Secretaría de Seguridad Pública del Estado y a la Secretaría de</w:t>
      </w:r>
      <w:r>
        <w:rPr>
          <w:sz w:val="28"/>
          <w:szCs w:val="28"/>
        </w:rPr>
        <w:t xml:space="preserve"> Hacienda, para esclarecer las condiciones actuales, las razones de los retrasos, y el impacto financiero derivado de los ajustes técnicos y ampliaciones de plazo.</w:t>
      </w:r>
    </w:p>
    <w:p w14:paraId="00000012" w14:textId="77777777" w:rsidR="00FF2152" w:rsidRDefault="00FF2152">
      <w:pPr>
        <w:spacing w:line="360" w:lineRule="auto"/>
        <w:jc w:val="both"/>
        <w:rPr>
          <w:sz w:val="28"/>
          <w:szCs w:val="28"/>
        </w:rPr>
      </w:pPr>
    </w:p>
    <w:p w14:paraId="00000013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¿Cuál es el avance físico y financiero actualizado de la Torre Centinela al mes actual?</w:t>
      </w:r>
    </w:p>
    <w:p w14:paraId="00000014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15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¿Cuál es la fecha oficial de conclusión del proyecto y bajo qué documento se estableció?</w:t>
      </w:r>
    </w:p>
    <w:p w14:paraId="00000016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17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¿Qué causas técnicas o administrativas provocaron la ampliación del plazo originalmente establecido?</w:t>
      </w:r>
    </w:p>
    <w:p w14:paraId="00000018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19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¿Cuánto ha costado la modificación en la cimentación d</w:t>
      </w:r>
      <w:r>
        <w:rPr>
          <w:b/>
          <w:sz w:val="28"/>
          <w:szCs w:val="28"/>
        </w:rPr>
        <w:t>e la obra y otros ajustes estructurales?</w:t>
      </w:r>
    </w:p>
    <w:p w14:paraId="0000001A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1B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¿Se han generado sobrecostos por el retraso? En su caso, ¿cuál es el monto estimado?</w:t>
      </w:r>
    </w:p>
    <w:p w14:paraId="0000001C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1D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¿El contrato con </w:t>
      </w:r>
      <w:proofErr w:type="spellStart"/>
      <w:r>
        <w:rPr>
          <w:b/>
          <w:sz w:val="28"/>
          <w:szCs w:val="28"/>
        </w:rPr>
        <w:t>Seguritech</w:t>
      </w:r>
      <w:proofErr w:type="spellEnd"/>
      <w:r>
        <w:rPr>
          <w:b/>
          <w:sz w:val="28"/>
          <w:szCs w:val="28"/>
        </w:rPr>
        <w:t xml:space="preserve"> contempla cláusulas de penalización por incumplimiento o retrasos? ¿Se han aplicado?</w:t>
      </w:r>
    </w:p>
    <w:p w14:paraId="0000001E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1F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¿Qué criterios se utilizaron para adjudicar el contrato de manera directa a dicha empresa?</w:t>
      </w:r>
    </w:p>
    <w:p w14:paraId="00000020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21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¿Qué instancias supervisan actualmente la</w:t>
      </w:r>
      <w:r>
        <w:rPr>
          <w:b/>
          <w:sz w:val="28"/>
          <w:szCs w:val="28"/>
        </w:rPr>
        <w:t xml:space="preserve"> ejecución del proyecto y cómo se ha documentado su seguimiento?</w:t>
      </w:r>
    </w:p>
    <w:p w14:paraId="00000022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23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¿Por qué motivos se ha clasificado como reservada la información contractual y presupuestal del proyecto? ¿Hay previsión de transparentarla?</w:t>
      </w:r>
    </w:p>
    <w:p w14:paraId="00000024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25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¿Qué impactos se esperan obtener en mater</w:t>
      </w:r>
      <w:r>
        <w:rPr>
          <w:b/>
          <w:sz w:val="28"/>
          <w:szCs w:val="28"/>
        </w:rPr>
        <w:t>ia de seguridad tras la puesta en operación de la Torre Centinela y cómo se evaluarán esos resultados?</w:t>
      </w:r>
    </w:p>
    <w:p w14:paraId="00000026" w14:textId="77777777" w:rsidR="00FF2152" w:rsidRDefault="00FF2152">
      <w:pPr>
        <w:spacing w:line="360" w:lineRule="auto"/>
        <w:jc w:val="both"/>
        <w:rPr>
          <w:b/>
          <w:sz w:val="28"/>
          <w:szCs w:val="28"/>
        </w:rPr>
      </w:pPr>
    </w:p>
    <w:p w14:paraId="00000027" w14:textId="77777777" w:rsidR="00FF2152" w:rsidRDefault="00CD30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¿Existe la posibilidad de que las diputadas y diputados del Congreso del Estado realicen una visita técnica a la Torre Centinela para constatar pers</w:t>
      </w:r>
      <w:r>
        <w:rPr>
          <w:b/>
          <w:sz w:val="28"/>
          <w:szCs w:val="28"/>
        </w:rPr>
        <w:t>onalmente el avance físico de la obra y verificar el ejercicio de los recursos públicos?</w:t>
      </w:r>
    </w:p>
    <w:p w14:paraId="00000028" w14:textId="77777777" w:rsidR="00FF2152" w:rsidRDefault="00FF2152">
      <w:pPr>
        <w:spacing w:line="360" w:lineRule="auto"/>
        <w:jc w:val="center"/>
        <w:rPr>
          <w:b/>
          <w:sz w:val="28"/>
          <w:szCs w:val="28"/>
        </w:rPr>
      </w:pPr>
    </w:p>
    <w:p w14:paraId="00000029" w14:textId="77777777" w:rsidR="00FF2152" w:rsidRDefault="00CD30C6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D A D 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en Ciudad Juárez, Chihuahua al día 27 del mes de mayo del 2025. </w:t>
      </w:r>
    </w:p>
    <w:p w14:paraId="0000002A" w14:textId="77777777" w:rsidR="00FF2152" w:rsidRDefault="00FF2152">
      <w:pPr>
        <w:spacing w:line="360" w:lineRule="auto"/>
        <w:jc w:val="both"/>
        <w:rPr>
          <w:sz w:val="28"/>
          <w:szCs w:val="28"/>
        </w:rPr>
      </w:pPr>
    </w:p>
    <w:p w14:paraId="0000002B" w14:textId="77777777" w:rsidR="00FF2152" w:rsidRDefault="00CD30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ATENTAMENTE</w:t>
      </w:r>
    </w:p>
    <w:p w14:paraId="0000002C" w14:textId="77777777" w:rsidR="00FF2152" w:rsidRDefault="00FF2152">
      <w:pPr>
        <w:spacing w:line="360" w:lineRule="auto"/>
        <w:jc w:val="center"/>
        <w:rPr>
          <w:b/>
          <w:sz w:val="28"/>
          <w:szCs w:val="28"/>
        </w:rPr>
      </w:pPr>
    </w:p>
    <w:p w14:paraId="0000002D" w14:textId="77777777" w:rsidR="00FF2152" w:rsidRDefault="00FF2152">
      <w:pPr>
        <w:spacing w:line="360" w:lineRule="auto"/>
        <w:jc w:val="center"/>
        <w:rPr>
          <w:b/>
          <w:sz w:val="28"/>
          <w:szCs w:val="28"/>
        </w:rPr>
      </w:pPr>
    </w:p>
    <w:p w14:paraId="0000002E" w14:textId="77777777" w:rsidR="00FF2152" w:rsidRDefault="00CD30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DIP. ROSANA DÍAZ REYES</w:t>
      </w:r>
    </w:p>
    <w:p w14:paraId="0000002F" w14:textId="77777777" w:rsidR="00FF2152" w:rsidRDefault="00FF2152"/>
    <w:sectPr w:rsidR="00FF215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168C" w14:textId="77777777" w:rsidR="00000000" w:rsidRDefault="00CD30C6">
      <w:pPr>
        <w:spacing w:line="240" w:lineRule="auto"/>
      </w:pPr>
      <w:r>
        <w:separator/>
      </w:r>
    </w:p>
  </w:endnote>
  <w:endnote w:type="continuationSeparator" w:id="0">
    <w:p w14:paraId="224F2A89" w14:textId="77777777" w:rsidR="00000000" w:rsidRDefault="00CD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9A64" w14:textId="77777777" w:rsidR="00000000" w:rsidRDefault="00CD30C6">
      <w:pPr>
        <w:spacing w:line="240" w:lineRule="auto"/>
      </w:pPr>
      <w:r>
        <w:separator/>
      </w:r>
    </w:p>
  </w:footnote>
  <w:footnote w:type="continuationSeparator" w:id="0">
    <w:p w14:paraId="194A5B30" w14:textId="77777777" w:rsidR="00000000" w:rsidRDefault="00CD3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FF2152" w:rsidRDefault="00CD30C6">
    <w:pPr>
      <w:jc w:val="right"/>
      <w:rPr>
        <w:i/>
        <w:sz w:val="24"/>
        <w:szCs w:val="24"/>
      </w:rPr>
    </w:pPr>
    <w:r>
      <w:rPr>
        <w:i/>
        <w:sz w:val="24"/>
        <w:szCs w:val="24"/>
      </w:rPr>
      <w:t>Grupo Parlamentario de MORENA</w:t>
    </w:r>
  </w:p>
  <w:p w14:paraId="00000031" w14:textId="77777777" w:rsidR="00FF2152" w:rsidRDefault="00CD30C6">
    <w:pPr>
      <w:jc w:val="right"/>
      <w:rPr>
        <w:i/>
        <w:sz w:val="24"/>
        <w:szCs w:val="24"/>
      </w:rPr>
    </w:pPr>
    <w:proofErr w:type="spellStart"/>
    <w:r>
      <w:rPr>
        <w:i/>
        <w:sz w:val="24"/>
        <w:szCs w:val="24"/>
      </w:rPr>
      <w:t>Dip</w:t>
    </w:r>
    <w:proofErr w:type="spellEnd"/>
    <w:r>
      <w:rPr>
        <w:i/>
        <w:sz w:val="24"/>
        <w:szCs w:val="24"/>
      </w:rPr>
      <w:t>. Rosana Díaz Reyes</w:t>
    </w:r>
  </w:p>
  <w:p w14:paraId="00000032" w14:textId="77777777" w:rsidR="00FF2152" w:rsidRDefault="00FF21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52"/>
    <w:rsid w:val="00CD30C6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FEE30-ECAA-411D-89B4-DE0B54F1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Daniela Flores Chacon</dc:creator>
  <cp:lastModifiedBy>Andrea Daniela Flores Chacon</cp:lastModifiedBy>
  <cp:revision>2</cp:revision>
  <dcterms:created xsi:type="dcterms:W3CDTF">2025-05-26T19:45:00Z</dcterms:created>
  <dcterms:modified xsi:type="dcterms:W3CDTF">2025-05-26T19:45:00Z</dcterms:modified>
</cp:coreProperties>
</file>